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F1E3392" w:rsidR="009125CE" w:rsidRPr="00E127A1" w:rsidRDefault="000011E2" w:rsidP="000011E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127A1">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61758930">
            <wp:simplePos x="0" y="0"/>
            <wp:positionH relativeFrom="margin">
              <wp:posOffset>42545</wp:posOffset>
            </wp:positionH>
            <wp:positionV relativeFrom="margin">
              <wp:posOffset>-274320</wp:posOffset>
            </wp:positionV>
            <wp:extent cx="1633855" cy="1516380"/>
            <wp:effectExtent l="0" t="0" r="444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3855" cy="1516380"/>
                    </a:xfrm>
                    <a:prstGeom prst="rect">
                      <a:avLst/>
                    </a:prstGeom>
                  </pic:spPr>
                </pic:pic>
              </a:graphicData>
            </a:graphic>
            <wp14:sizeRelH relativeFrom="margin">
              <wp14:pctWidth>0</wp14:pctWidth>
            </wp14:sizeRelH>
            <wp14:sizeRelV relativeFrom="margin">
              <wp14:pctHeight>0</wp14:pctHeight>
            </wp14:sizeRelV>
          </wp:anchor>
        </w:drawing>
      </w:r>
      <w:r w:rsidR="009125CE" w:rsidRPr="00E127A1">
        <w:rPr>
          <w:rFonts w:ascii="Sakkal Majalla" w:hAnsi="Sakkal Majalla" w:cs="Sakkal Majalla"/>
          <w:b/>
          <w:bCs/>
          <w:color w:val="000000" w:themeColor="text1"/>
          <w:sz w:val="32"/>
          <w:szCs w:val="32"/>
          <w:rtl/>
          <w:lang w:bidi="ar-EG"/>
        </w:rPr>
        <w:t xml:space="preserve">جامعة ميدأوشن </w:t>
      </w:r>
    </w:p>
    <w:p w14:paraId="1E957002" w14:textId="5F976C2F" w:rsidR="00F546CE" w:rsidRPr="00E127A1" w:rsidRDefault="009125CE" w:rsidP="000011E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127A1">
        <w:rPr>
          <w:rFonts w:ascii="Sakkal Majalla" w:hAnsi="Sakkal Majalla" w:cs="Sakkal Majalla"/>
          <w:b/>
          <w:bCs/>
          <w:color w:val="000000" w:themeColor="text1"/>
          <w:sz w:val="32"/>
          <w:szCs w:val="32"/>
          <w:rtl/>
          <w:lang w:bidi="ar-EG"/>
        </w:rPr>
        <w:t xml:space="preserve">كلية الإدارة </w:t>
      </w:r>
    </w:p>
    <w:p w14:paraId="0217C513" w14:textId="7A6F1135" w:rsidR="009125CE" w:rsidRPr="00E127A1" w:rsidRDefault="009125CE" w:rsidP="000011E2">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E127A1">
        <w:rPr>
          <w:rFonts w:ascii="Sakkal Majalla" w:hAnsi="Sakkal Majalla" w:cs="Sakkal Majalla"/>
          <w:b/>
          <w:bCs/>
          <w:color w:val="000000" w:themeColor="text1"/>
          <w:sz w:val="32"/>
          <w:szCs w:val="32"/>
          <w:rtl/>
          <w:lang w:bidi="ar-EG"/>
        </w:rPr>
        <w:t>قسم / تخصص</w:t>
      </w:r>
      <w:r w:rsidR="0054227D" w:rsidRPr="00E127A1">
        <w:rPr>
          <w:rFonts w:ascii="Sakkal Majalla" w:hAnsi="Sakkal Majalla" w:cs="Sakkal Majalla"/>
          <w:b/>
          <w:bCs/>
          <w:color w:val="000000" w:themeColor="text1"/>
          <w:sz w:val="32"/>
          <w:szCs w:val="32"/>
          <w:rtl/>
          <w:lang w:bidi="ar-EG"/>
        </w:rPr>
        <w:t xml:space="preserve"> إدارة المخاطر</w:t>
      </w:r>
    </w:p>
    <w:p w14:paraId="40DD4514" w14:textId="3DE34E8A" w:rsidR="0054227D" w:rsidRPr="00E127A1" w:rsidRDefault="0054227D" w:rsidP="000011E2">
      <w:pPr>
        <w:spacing w:before="100" w:beforeAutospacing="1" w:after="100" w:afterAutospacing="1" w:line="360" w:lineRule="auto"/>
        <w:jc w:val="center"/>
        <w:rPr>
          <w:rFonts w:ascii="Sakkal Majalla" w:eastAsia="Times New Roman" w:hAnsi="Sakkal Majalla" w:cs="Sakkal Majalla"/>
          <w:b/>
          <w:bCs/>
          <w:color w:val="000000" w:themeColor="text1"/>
          <w:kern w:val="0"/>
          <w:sz w:val="40"/>
          <w:szCs w:val="40"/>
          <w14:ligatures w14:val="none"/>
        </w:rPr>
      </w:pPr>
      <w:r w:rsidRPr="00E127A1">
        <w:rPr>
          <w:rFonts w:ascii="Sakkal Majalla" w:eastAsia="Times New Roman" w:hAnsi="Sakkal Majalla" w:cs="Sakkal Majalla"/>
          <w:b/>
          <w:bCs/>
          <w:color w:val="000000" w:themeColor="text1"/>
          <w:kern w:val="0"/>
          <w:sz w:val="40"/>
          <w:szCs w:val="40"/>
          <w:rtl/>
          <w14:ligatures w14:val="none"/>
        </w:rPr>
        <w:t xml:space="preserve">فاعلية إدارة الأزمات البيئية في </w:t>
      </w:r>
      <w:r w:rsidR="00A5475D" w:rsidRPr="00E127A1">
        <w:rPr>
          <w:rFonts w:ascii="Sakkal Majalla" w:eastAsia="Times New Roman" w:hAnsi="Sakkal Majalla" w:cs="Sakkal Majalla"/>
          <w:b/>
          <w:bCs/>
          <w:color w:val="000000" w:themeColor="text1"/>
          <w:kern w:val="0"/>
          <w:sz w:val="40"/>
          <w:szCs w:val="40"/>
          <w:rtl/>
          <w14:ligatures w14:val="none"/>
        </w:rPr>
        <w:t>تعزيز جاهزية المنشآت الصناعية ل</w:t>
      </w:r>
      <w:r w:rsidRPr="00E127A1">
        <w:rPr>
          <w:rFonts w:ascii="Sakkal Majalla" w:eastAsia="Times New Roman" w:hAnsi="Sakkal Majalla" w:cs="Sakkal Majalla"/>
          <w:b/>
          <w:bCs/>
          <w:color w:val="000000" w:themeColor="text1"/>
          <w:kern w:val="0"/>
          <w:sz w:val="40"/>
          <w:szCs w:val="40"/>
          <w:rtl/>
          <w14:ligatures w14:val="none"/>
        </w:rPr>
        <w:t xml:space="preserve">مواجهة التسربات الكيميائية في </w:t>
      </w:r>
      <w:r w:rsidR="00A5475D" w:rsidRPr="00E127A1">
        <w:rPr>
          <w:rFonts w:ascii="Sakkal Majalla" w:eastAsia="Times New Roman" w:hAnsi="Sakkal Majalla" w:cs="Sakkal Majalla"/>
          <w:b/>
          <w:bCs/>
          <w:color w:val="000000" w:themeColor="text1"/>
          <w:kern w:val="0"/>
          <w:sz w:val="40"/>
          <w:szCs w:val="40"/>
          <w:rtl/>
          <w14:ligatures w14:val="none"/>
        </w:rPr>
        <w:t>المنطقة الشرقية بالمملكة العربية السعودية</w:t>
      </w:r>
    </w:p>
    <w:p w14:paraId="124F78B9" w14:textId="77777777" w:rsidR="000011E2" w:rsidRPr="00E127A1" w:rsidRDefault="0054227D" w:rsidP="000011E2">
      <w:pPr>
        <w:spacing w:before="100" w:beforeAutospacing="1" w:after="100" w:afterAutospacing="1" w:line="360" w:lineRule="auto"/>
        <w:jc w:val="center"/>
        <w:rPr>
          <w:rFonts w:ascii="Sakkal Majalla" w:eastAsia="Times New Roman" w:hAnsi="Sakkal Majalla" w:cs="Sakkal Majalla"/>
          <w:b/>
          <w:bCs/>
          <w:color w:val="000000" w:themeColor="text1"/>
          <w:kern w:val="0"/>
          <w:sz w:val="36"/>
          <w:szCs w:val="36"/>
          <w14:ligatures w14:val="none"/>
        </w:rPr>
      </w:pPr>
      <w:r w:rsidRPr="00E127A1">
        <w:rPr>
          <w:rFonts w:ascii="Sakkal Majalla" w:eastAsia="Times New Roman" w:hAnsi="Sakkal Majalla" w:cs="Sakkal Majalla"/>
          <w:b/>
          <w:bCs/>
          <w:color w:val="000000" w:themeColor="text1"/>
          <w:kern w:val="0"/>
          <w:sz w:val="36"/>
          <w:szCs w:val="36"/>
          <w:rtl/>
          <w14:ligatures w14:val="none"/>
        </w:rPr>
        <w:t>إعداد الطالب</w:t>
      </w:r>
    </w:p>
    <w:p w14:paraId="209E9D3E" w14:textId="0D9384CC" w:rsidR="000011E2" w:rsidRPr="00E127A1" w:rsidRDefault="0054227D" w:rsidP="000011E2">
      <w:pPr>
        <w:spacing w:before="100" w:beforeAutospacing="1" w:after="100" w:afterAutospacing="1" w:line="360" w:lineRule="auto"/>
        <w:jc w:val="center"/>
        <w:rPr>
          <w:rFonts w:ascii="Sakkal Majalla" w:eastAsia="Times New Roman" w:hAnsi="Sakkal Majalla" w:cs="Sakkal Majalla"/>
          <w:color w:val="000000" w:themeColor="text1"/>
          <w:kern w:val="0"/>
          <w:sz w:val="36"/>
          <w:szCs w:val="36"/>
          <w14:ligatures w14:val="none"/>
        </w:rPr>
      </w:pPr>
      <w:r w:rsidRPr="00E127A1">
        <w:rPr>
          <w:rFonts w:ascii="Sakkal Majalla" w:eastAsia="Times New Roman" w:hAnsi="Sakkal Majalla" w:cs="Sakkal Majalla"/>
          <w:b/>
          <w:bCs/>
          <w:color w:val="000000" w:themeColor="text1"/>
          <w:kern w:val="0"/>
          <w:sz w:val="36"/>
          <w:szCs w:val="36"/>
          <w:rtl/>
          <w14:ligatures w14:val="none"/>
        </w:rPr>
        <w:t xml:space="preserve">محمد عوض </w:t>
      </w:r>
      <w:r w:rsidR="00315D65" w:rsidRPr="00E127A1">
        <w:rPr>
          <w:rFonts w:ascii="Sakkal Majalla" w:eastAsia="Times New Roman" w:hAnsi="Sakkal Majalla" w:cs="Sakkal Majalla"/>
          <w:b/>
          <w:bCs/>
          <w:color w:val="000000" w:themeColor="text1"/>
          <w:kern w:val="0"/>
          <w:sz w:val="36"/>
          <w:szCs w:val="36"/>
          <w:rtl/>
          <w14:ligatures w14:val="none"/>
        </w:rPr>
        <w:t xml:space="preserve">علي </w:t>
      </w:r>
      <w:r w:rsidRPr="00E127A1">
        <w:rPr>
          <w:rFonts w:ascii="Sakkal Majalla" w:eastAsia="Times New Roman" w:hAnsi="Sakkal Majalla" w:cs="Sakkal Majalla"/>
          <w:b/>
          <w:bCs/>
          <w:color w:val="000000" w:themeColor="text1"/>
          <w:kern w:val="0"/>
          <w:sz w:val="36"/>
          <w:szCs w:val="36"/>
          <w:rtl/>
          <w14:ligatures w14:val="none"/>
        </w:rPr>
        <w:t>اليامي</w:t>
      </w:r>
    </w:p>
    <w:p w14:paraId="0E926109" w14:textId="5448E025" w:rsidR="0054227D" w:rsidRPr="00E127A1" w:rsidRDefault="000011E2" w:rsidP="000011E2">
      <w:pPr>
        <w:spacing w:before="100" w:beforeAutospacing="1" w:after="100" w:afterAutospacing="1" w:line="360" w:lineRule="auto"/>
        <w:jc w:val="center"/>
        <w:rPr>
          <w:rFonts w:ascii="Sakkal Majalla" w:eastAsia="Times New Roman" w:hAnsi="Sakkal Majalla" w:cs="Sakkal Majalla"/>
          <w:color w:val="000000" w:themeColor="text1"/>
          <w:kern w:val="0"/>
          <w:sz w:val="36"/>
          <w:szCs w:val="36"/>
          <w:rtl/>
          <w14:ligatures w14:val="none"/>
        </w:rPr>
      </w:pPr>
      <w:r w:rsidRPr="00E127A1">
        <w:rPr>
          <w:rFonts w:ascii="Sakkal Majalla" w:eastAsia="Times New Roman" w:hAnsi="Sakkal Majalla" w:cs="Sakkal Majalla"/>
          <w:color w:val="000000" w:themeColor="text1"/>
          <w:kern w:val="0"/>
          <w:sz w:val="36"/>
          <w:szCs w:val="36"/>
          <w14:ligatures w14:val="none"/>
        </w:rPr>
        <w:t>252000694</w:t>
      </w:r>
    </w:p>
    <w:p w14:paraId="31DE9D84" w14:textId="77777777" w:rsidR="0054227D" w:rsidRPr="00E127A1" w:rsidRDefault="0054227D" w:rsidP="000011E2">
      <w:pPr>
        <w:spacing w:before="100" w:beforeAutospacing="1" w:after="100" w:afterAutospacing="1" w:line="360" w:lineRule="auto"/>
        <w:jc w:val="center"/>
        <w:rPr>
          <w:rFonts w:ascii="Sakkal Majalla" w:eastAsia="Times New Roman" w:hAnsi="Sakkal Majalla" w:cs="Sakkal Majalla"/>
          <w:b/>
          <w:bCs/>
          <w:color w:val="000000" w:themeColor="text1"/>
          <w:kern w:val="0"/>
          <w:sz w:val="36"/>
          <w:szCs w:val="36"/>
          <w14:ligatures w14:val="none"/>
        </w:rPr>
      </w:pPr>
      <w:r w:rsidRPr="00E127A1">
        <w:rPr>
          <w:rFonts w:ascii="Sakkal Majalla" w:eastAsia="Times New Roman" w:hAnsi="Sakkal Majalla" w:cs="Sakkal Majalla"/>
          <w:b/>
          <w:bCs/>
          <w:color w:val="000000" w:themeColor="text1"/>
          <w:kern w:val="0"/>
          <w:sz w:val="36"/>
          <w:szCs w:val="36"/>
          <w:rtl/>
          <w14:ligatures w14:val="none"/>
        </w:rPr>
        <w:t>إشراف</w:t>
      </w:r>
      <w:r w:rsidRPr="00E127A1">
        <w:rPr>
          <w:rFonts w:ascii="Sakkal Majalla" w:eastAsia="Times New Roman" w:hAnsi="Sakkal Majalla" w:cs="Sakkal Majalla"/>
          <w:b/>
          <w:bCs/>
          <w:color w:val="000000" w:themeColor="text1"/>
          <w:kern w:val="0"/>
          <w:sz w:val="36"/>
          <w:szCs w:val="36"/>
          <w14:ligatures w14:val="none"/>
        </w:rPr>
        <w:t>:</w:t>
      </w:r>
    </w:p>
    <w:p w14:paraId="444DA28D" w14:textId="4932B75C" w:rsidR="0054227D" w:rsidRPr="00E127A1" w:rsidRDefault="0054227D" w:rsidP="000011E2">
      <w:pPr>
        <w:spacing w:before="100" w:beforeAutospacing="1" w:after="100" w:afterAutospacing="1" w:line="360" w:lineRule="auto"/>
        <w:jc w:val="center"/>
        <w:rPr>
          <w:rFonts w:ascii="Sakkal Majalla" w:eastAsia="Times New Roman" w:hAnsi="Sakkal Majalla" w:cs="Sakkal Majalla"/>
          <w:color w:val="000000" w:themeColor="text1"/>
          <w:kern w:val="0"/>
          <w:sz w:val="36"/>
          <w:szCs w:val="36"/>
          <w14:ligatures w14:val="none"/>
        </w:rPr>
      </w:pPr>
      <w:r w:rsidRPr="00E127A1">
        <w:rPr>
          <w:rFonts w:ascii="Sakkal Majalla" w:eastAsia="Times New Roman" w:hAnsi="Sakkal Majalla" w:cs="Sakkal Majalla"/>
          <w:b/>
          <w:bCs/>
          <w:color w:val="000000" w:themeColor="text1"/>
          <w:kern w:val="0"/>
          <w:sz w:val="36"/>
          <w:szCs w:val="36"/>
          <w:rtl/>
          <w14:ligatures w14:val="none"/>
        </w:rPr>
        <w:t>د. الفيصل عبدالحميد محمد</w:t>
      </w:r>
    </w:p>
    <w:p w14:paraId="7161CDA4" w14:textId="39B11F03" w:rsidR="0054227D" w:rsidRPr="00E127A1" w:rsidRDefault="0054227D" w:rsidP="000011E2">
      <w:pPr>
        <w:spacing w:before="100" w:beforeAutospacing="1" w:after="100" w:afterAutospacing="1" w:line="360" w:lineRule="auto"/>
        <w:jc w:val="center"/>
        <w:rPr>
          <w:rFonts w:ascii="Sakkal Majalla" w:eastAsia="Times New Roman" w:hAnsi="Sakkal Majalla" w:cs="Sakkal Majalla"/>
          <w:color w:val="000000" w:themeColor="text1"/>
          <w:kern w:val="0"/>
          <w:sz w:val="36"/>
          <w:szCs w:val="36"/>
          <w14:ligatures w14:val="none"/>
        </w:rPr>
      </w:pPr>
      <w:r w:rsidRPr="00E127A1">
        <w:rPr>
          <w:rFonts w:ascii="Sakkal Majalla" w:eastAsia="Times New Roman" w:hAnsi="Sakkal Majalla" w:cs="Sakkal Majalla"/>
          <w:b/>
          <w:bCs/>
          <w:color w:val="000000" w:themeColor="text1"/>
          <w:kern w:val="0"/>
          <w:sz w:val="36"/>
          <w:szCs w:val="36"/>
          <w:rtl/>
          <w14:ligatures w14:val="none"/>
        </w:rPr>
        <w:t>د. فايز جراد</w:t>
      </w:r>
    </w:p>
    <w:p w14:paraId="479221FB" w14:textId="77777777" w:rsidR="000011E2" w:rsidRPr="00E127A1" w:rsidRDefault="0054227D" w:rsidP="000011E2">
      <w:pPr>
        <w:spacing w:before="100" w:beforeAutospacing="1" w:after="100" w:afterAutospacing="1" w:line="360" w:lineRule="auto"/>
        <w:jc w:val="center"/>
        <w:rPr>
          <w:rFonts w:ascii="Sakkal Majalla" w:eastAsia="Times New Roman" w:hAnsi="Sakkal Majalla" w:cs="Sakkal Majalla"/>
          <w:b/>
          <w:bCs/>
          <w:color w:val="000000" w:themeColor="text1"/>
          <w:kern w:val="0"/>
          <w:sz w:val="36"/>
          <w:szCs w:val="36"/>
          <w14:ligatures w14:val="none"/>
        </w:rPr>
        <w:sectPr w:rsidR="000011E2" w:rsidRPr="00E127A1" w:rsidSect="000011E2">
          <w:type w:val="continuous"/>
          <w:pgSz w:w="11906" w:h="16838" w:code="9"/>
          <w:pgMar w:top="1440" w:right="1985" w:bottom="1440" w:left="1418" w:header="720" w:footer="720" w:gutter="567"/>
          <w:pgNumType w:fmt="arabicAbjad" w:start="1"/>
          <w:cols w:space="708"/>
          <w:bidi/>
          <w:rtlGutter/>
          <w:docGrid w:linePitch="360"/>
        </w:sectPr>
      </w:pPr>
      <w:r w:rsidRPr="00E127A1">
        <w:rPr>
          <w:rFonts w:ascii="Sakkal Majalla" w:eastAsia="Times New Roman" w:hAnsi="Sakkal Majalla" w:cs="Sakkal Majalla"/>
          <w:b/>
          <w:bCs/>
          <w:color w:val="000000" w:themeColor="text1"/>
          <w:kern w:val="0"/>
          <w:sz w:val="36"/>
          <w:szCs w:val="36"/>
          <w14:ligatures w14:val="none"/>
        </w:rPr>
        <w:t>2025 – 2026</w:t>
      </w:r>
    </w:p>
    <w:p w14:paraId="2FAC3073" w14:textId="77777777" w:rsidR="0054227D" w:rsidRPr="00E127A1" w:rsidRDefault="0054227D" w:rsidP="000011E2">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36"/>
          <w:sz w:val="40"/>
          <w:szCs w:val="40"/>
          <w14:ligatures w14:val="none"/>
        </w:rPr>
      </w:pPr>
      <w:bookmarkStart w:id="0" w:name="_Toc228121460"/>
      <w:r w:rsidRPr="00E127A1">
        <w:rPr>
          <w:rFonts w:ascii="Sakkal Majalla" w:eastAsia="Times New Roman" w:hAnsi="Sakkal Majalla" w:cs="Sakkal Majalla"/>
          <w:b/>
          <w:bCs/>
          <w:color w:val="000000" w:themeColor="text1"/>
          <w:kern w:val="36"/>
          <w:sz w:val="40"/>
          <w:szCs w:val="40"/>
          <w:rtl/>
          <w14:ligatures w14:val="none"/>
        </w:rPr>
        <w:lastRenderedPageBreak/>
        <w:t>الفصل الأول: الإطار العام للدراسة</w:t>
      </w:r>
      <w:bookmarkEnd w:id="0"/>
    </w:p>
    <w:p w14:paraId="36DABB1F" w14:textId="2E1E517E" w:rsidR="007467C7" w:rsidRPr="00E127A1" w:rsidRDefault="000011E2" w:rsidP="000011E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 w:name="_Toc228121461"/>
      <w:r w:rsidRPr="00E127A1">
        <w:rPr>
          <w:rFonts w:ascii="Sakkal Majalla" w:eastAsia="Times New Roman" w:hAnsi="Sakkal Majalla" w:cs="Sakkal Majalla" w:hint="cs"/>
          <w:b/>
          <w:bCs/>
          <w:color w:val="000000" w:themeColor="text1"/>
          <w:kern w:val="0"/>
          <w:sz w:val="36"/>
          <w:szCs w:val="36"/>
          <w:rtl/>
          <w14:ligatures w14:val="none"/>
        </w:rPr>
        <w:t xml:space="preserve">1.1 </w:t>
      </w:r>
      <w:r w:rsidR="007467C7" w:rsidRPr="00E127A1">
        <w:rPr>
          <w:rFonts w:ascii="Sakkal Majalla" w:eastAsia="Times New Roman" w:hAnsi="Sakkal Majalla" w:cs="Sakkal Majalla"/>
          <w:b/>
          <w:bCs/>
          <w:color w:val="000000" w:themeColor="text1"/>
          <w:kern w:val="0"/>
          <w:sz w:val="36"/>
          <w:szCs w:val="36"/>
          <w:rtl/>
          <w14:ligatures w14:val="none"/>
        </w:rPr>
        <w:t>مقدمة الدراسة</w:t>
      </w:r>
      <w:bookmarkEnd w:id="1"/>
    </w:p>
    <w:p w14:paraId="004958AD"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يشهد العالم المعاصر تحولات متسارعة في البيئة الاقتصادية والصناعية والبيئية، فرضت على المنظمات بمختلف أنواعها ضرورة تبني مقاربات إدارية حديثة ومتكاملة للتعامل مع الأزمات التي أصبحت سمة ملازمة للعصر الراهن. فالأزمات بطبيعتها أحداث مفاجئة وضاغطة تتطلب من المنظمات والدول توقعها ومواجهتها بتخطيط جيد وإدارة فاعلة تُمكّن من الحد من آثارها بأقل تكلفة ممكنة سواء كانت مادية أو بشرية أو بيئية (المبارك، </w:t>
      </w:r>
      <w:r w:rsidRPr="00E127A1">
        <w:rPr>
          <w:rFonts w:ascii="Sakkal Majalla" w:eastAsia="Times New Roman" w:hAnsi="Sakkal Majalla" w:cs="Sakkal Majalla"/>
          <w:color w:val="000000" w:themeColor="text1"/>
          <w:kern w:val="0"/>
          <w:sz w:val="28"/>
          <w:szCs w:val="28"/>
          <w14:ligatures w14:val="none"/>
        </w:rPr>
        <w:t xml:space="preserve">2022). </w:t>
      </w:r>
      <w:r w:rsidRPr="00E127A1">
        <w:rPr>
          <w:rFonts w:ascii="Sakkal Majalla" w:eastAsia="Times New Roman" w:hAnsi="Sakkal Majalla" w:cs="Sakkal Majalla"/>
          <w:color w:val="000000" w:themeColor="text1"/>
          <w:kern w:val="0"/>
          <w:sz w:val="28"/>
          <w:szCs w:val="28"/>
          <w:rtl/>
          <w14:ligatures w14:val="none"/>
        </w:rPr>
        <w:t>وقد أثبتت التجارب الدولية أن المنظمات التي تتبنى إدارة استراتيجية للأزمات تكون أكثر قدرة على البقاء والاستمرار، إذ تُعد الإدارة الاستراتيجية أداة فعالة لمنع وتصفية ظواهر الأزمات وزيادة كفاءة تنفيذ الخطط الاستراتيجية لمواجهتها (أبو سليم، 2022)</w:t>
      </w:r>
      <w:r w:rsidRPr="00E127A1">
        <w:rPr>
          <w:rFonts w:ascii="Sakkal Majalla" w:eastAsia="Times New Roman" w:hAnsi="Sakkal Majalla" w:cs="Sakkal Majalla"/>
          <w:color w:val="000000" w:themeColor="text1"/>
          <w:kern w:val="0"/>
          <w:sz w:val="28"/>
          <w:szCs w:val="28"/>
          <w14:ligatures w14:val="none"/>
        </w:rPr>
        <w:t>.</w:t>
      </w:r>
    </w:p>
    <w:p w14:paraId="18DB921B"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وتكتسب إدارة الأزمات البيئية أهمية خاصة ومتنامية في ظل التطور الصناعي المتسارع وما يرافقه من مخاطر بيئية متعددة، إذ أن التخطيط الاستراتيجي أصبح ضرورة حتمية للحكومات والمؤسسات في مواجهة الأزمات البيئية التي تتزايد وتيرتها وتعقيدها في العالم المعاصر، حيث يوفر التخطيط الاستراتيجي إطاراً علمياً متيناً لتقييم المخاطر وتخصيص الموارد وتنسيق الجهود والتحسين المستمر</w:t>
      </w:r>
      <w:r w:rsidRPr="00E127A1">
        <w:rPr>
          <w:rFonts w:ascii="Sakkal Majalla" w:eastAsia="Times New Roman" w:hAnsi="Sakkal Majalla" w:cs="Sakkal Majalla"/>
          <w:color w:val="000000" w:themeColor="text1"/>
          <w:kern w:val="0"/>
          <w:sz w:val="28"/>
          <w:szCs w:val="28"/>
          <w14:ligatures w14:val="none"/>
        </w:rPr>
        <w:t xml:space="preserve"> (Hamza, Elemam &amp; Abuosekken, 2023). </w:t>
      </w:r>
      <w:r w:rsidRPr="00E127A1">
        <w:rPr>
          <w:rFonts w:ascii="Sakkal Majalla" w:eastAsia="Times New Roman" w:hAnsi="Sakkal Majalla" w:cs="Sakkal Majalla"/>
          <w:color w:val="000000" w:themeColor="text1"/>
          <w:kern w:val="0"/>
          <w:sz w:val="28"/>
          <w:szCs w:val="28"/>
          <w:rtl/>
          <w14:ligatures w14:val="none"/>
        </w:rPr>
        <w:t>كما أن فاعلية أدوات إدارة الأزمات في البيئة الصناعية باتت تستلزم دمج التقنيات الحديثة كنظم المعلومات الجغرافية والذكاء الاصطناعي لتعزيز دقة التنبؤ بمناطق الخطر وتحسين آليات الاستجابة للتسربات الكيميائية والحوادث الصناعية</w:t>
      </w:r>
      <w:r w:rsidRPr="00E127A1">
        <w:rPr>
          <w:rFonts w:ascii="Sakkal Majalla" w:eastAsia="Times New Roman" w:hAnsi="Sakkal Majalla" w:cs="Sakkal Majalla"/>
          <w:color w:val="000000" w:themeColor="text1"/>
          <w:kern w:val="0"/>
          <w:sz w:val="28"/>
          <w:szCs w:val="28"/>
          <w14:ligatures w14:val="none"/>
        </w:rPr>
        <w:t xml:space="preserve"> (Glova Végsöová &amp; Grabara, 2024).</w:t>
      </w:r>
    </w:p>
    <w:p w14:paraId="3A80E48F" w14:textId="0AECF731"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ومن جهة أخرى، تُعد جاهزية المنشآت الصناعية ركيزة أساسية في منظومة إدارة الأزمات، إذ تعكس قدرة المنظمات على التنبؤ بالمتغيرات الداخلية والخارجية والاستعداد لمواجهتها بمرونة وكفاءة عالية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 xml:space="preserve">فالجاهزية الاستراتيجية بأبعادها المختلفة تؤدي دوراً فاعلاً ومهماً في تحقيق النجاح المنظمي، كونها أحد المؤشرات الأساسية في الإدارة الاستراتيجية التي تُمكّن المنظمات من التكيف مع التغيرات البيئية </w:t>
      </w:r>
      <w:r w:rsidRPr="00E127A1">
        <w:rPr>
          <w:rFonts w:ascii="Sakkal Majalla" w:eastAsia="Times New Roman" w:hAnsi="Sakkal Majalla" w:cs="Sakkal Majalla"/>
          <w:color w:val="000000" w:themeColor="text1"/>
          <w:kern w:val="0"/>
          <w:sz w:val="28"/>
          <w:szCs w:val="28"/>
          <w:rtl/>
          <w14:ligatures w14:val="none"/>
        </w:rPr>
        <w:lastRenderedPageBreak/>
        <w:t xml:space="preserve">المحيطة (البصو، 2025). وقد أثبتت الدراسات أن الجاهزية التنظيمية بمكوناتها من دعم الإدارة العليا والثقافة التنظيمية والمرونة التنظيمية ووضوح الرؤية تُسهم إسهاماً مباشراً في تعزيز قدرة المنظمات على التجديد والتطوير المستمر </w:t>
      </w:r>
      <w:r w:rsidR="000011E2" w:rsidRPr="00E127A1">
        <w:rPr>
          <w:rFonts w:ascii="Sakkal Majalla" w:eastAsia="Times New Roman" w:hAnsi="Sakkal Majalla" w:cs="Sakkal Majalla" w:hint="cs"/>
          <w:color w:val="000000" w:themeColor="text1"/>
          <w:kern w:val="0"/>
          <w:sz w:val="28"/>
          <w:szCs w:val="28"/>
          <w:rtl/>
          <w14:ligatures w14:val="none"/>
        </w:rPr>
        <w:t>(</w:t>
      </w:r>
      <w:r w:rsidRPr="00E127A1">
        <w:rPr>
          <w:rFonts w:ascii="Sakkal Majalla" w:eastAsia="Times New Roman" w:hAnsi="Sakkal Majalla" w:cs="Sakkal Majalla"/>
          <w:color w:val="000000" w:themeColor="text1"/>
          <w:kern w:val="0"/>
          <w:sz w:val="28"/>
          <w:szCs w:val="28"/>
          <w:rtl/>
          <w14:ligatures w14:val="none"/>
        </w:rPr>
        <w:t>حسين وعلوان، 2023</w:t>
      </w:r>
      <w:r w:rsidR="000011E2" w:rsidRPr="00E127A1">
        <w:rPr>
          <w:rFonts w:ascii="Sakkal Majalla" w:eastAsia="Times New Roman" w:hAnsi="Sakkal Majalla" w:cs="Sakkal Majalla" w:hint="cs"/>
          <w:color w:val="000000" w:themeColor="text1"/>
          <w:kern w:val="0"/>
          <w:sz w:val="28"/>
          <w:szCs w:val="28"/>
          <w:rtl/>
          <w14:ligatures w14:val="none"/>
        </w:rPr>
        <w:t>)</w:t>
      </w:r>
    </w:p>
    <w:p w14:paraId="7DCD267B"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وفي السياق الصناعي تحديداً، تبرز أهمية الجاهزية بوصفها خط الدفاع الأول في مواجهة حالات الطوارئ والأزمات البيئية، حيث أن المنشآت الصناعية الكبرى بحكم حجمها وتعقيد عملياتها تكون أكثر عرضة للحوادث والكوارث، مما يجعل الجاهزية الفعالة لحالات الطوارئ أمراً حيوياً لحماية الأرواح والممتلكات والبيئة</w:t>
      </w:r>
      <w:r w:rsidRPr="00E127A1">
        <w:rPr>
          <w:rFonts w:ascii="Sakkal Majalla" w:eastAsia="Times New Roman" w:hAnsi="Sakkal Majalla" w:cs="Sakkal Majalla"/>
          <w:color w:val="000000" w:themeColor="text1"/>
          <w:kern w:val="0"/>
          <w:sz w:val="28"/>
          <w:szCs w:val="28"/>
          <w14:ligatures w14:val="none"/>
        </w:rPr>
        <w:t xml:space="preserve"> (Rajlić, Panić &amp; Đoković, 2025). </w:t>
      </w:r>
      <w:r w:rsidRPr="00E127A1">
        <w:rPr>
          <w:rFonts w:ascii="Sakkal Majalla" w:eastAsia="Times New Roman" w:hAnsi="Sakkal Majalla" w:cs="Sakkal Majalla"/>
          <w:color w:val="000000" w:themeColor="text1"/>
          <w:kern w:val="0"/>
          <w:sz w:val="28"/>
          <w:szCs w:val="28"/>
          <w:rtl/>
          <w14:ligatures w14:val="none"/>
        </w:rPr>
        <w:t>كما أن التطور التكنولوجي المتسارع أتاح إمكانيات غير مسبوقة لتعزيز جاهزية المنشآت من خلال دمج إنترنت الأشياء والمستشعرات الذكية في منظومات الاستجابة للطوارئ وإدارة الكوارث</w:t>
      </w:r>
      <w:r w:rsidRPr="00E127A1">
        <w:rPr>
          <w:rFonts w:ascii="Sakkal Majalla" w:eastAsia="Times New Roman" w:hAnsi="Sakkal Majalla" w:cs="Sakkal Majalla"/>
          <w:color w:val="000000" w:themeColor="text1"/>
          <w:kern w:val="0"/>
          <w:sz w:val="28"/>
          <w:szCs w:val="28"/>
          <w14:ligatures w14:val="none"/>
        </w:rPr>
        <w:t xml:space="preserve"> (Damaševičius, Bacanin &amp; Misra, 2023).</w:t>
      </w:r>
    </w:p>
    <w:p w14:paraId="424A3B9D"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وانطلاقاً من هذا الترابط الوثيق بين إدارة الأزمات البيئية وجاهزية المنشآت الصناعية، وفي ظل ما تشهده المنطقة الشرقية بالمملكة العربية السعودية من تركز صناعي كثيف يتعامل مع كميات كبيرة من المواد الكيميائية الخطرة، فإن دراسة أثر إدارة الأزمات البيئية على تعزيز جاهزية هذه المنشآت لمواجهة التسربات الكيميائية يُعد أمراً بالغ الأهمية، لا سيما في ضوء مستهدفات رؤية المملكة 2030 التي تُولي حماية البيئة والتنمية الصناعية المستدامة اهتماماً بالغاً (عبدالله، 2024)</w:t>
      </w:r>
      <w:r w:rsidRPr="00E127A1">
        <w:rPr>
          <w:rFonts w:ascii="Sakkal Majalla" w:eastAsia="Times New Roman" w:hAnsi="Sakkal Majalla" w:cs="Sakkal Majalla"/>
          <w:color w:val="000000" w:themeColor="text1"/>
          <w:kern w:val="0"/>
          <w:sz w:val="28"/>
          <w:szCs w:val="28"/>
          <w14:ligatures w14:val="none"/>
        </w:rPr>
        <w:t>.</w:t>
      </w:r>
    </w:p>
    <w:p w14:paraId="34DDC47C"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وبناءً على ما سبق، تأتي هذه الدراسة لتتناول أثر إدارة الأزمات البيئية بأبعادها (التخطيط الاستراتيجي للأزمات البيئية، الاستجابة السريعة للتسربات الكيميائية، التنسيق المؤسسي لمواجهة الأزمات، التقييم البيئي والتحسين المستمر) على تعزيز جاهزية المنشآت الصناعية لمواجهة التسربات الكيميائية في المنطقة الشرقية بالمملكة العربية السعودية، ساعيةً إلى تقديم إطار علمي وعملي يُسهم في تعزيز منظومة السلامة البيئية والصناعية بما يتوافق مع أفضل الممارسات الدولية ويُلبي متطلبات التنمية الصناعية المستدامة في المملكة</w:t>
      </w:r>
      <w:r w:rsidRPr="00E127A1">
        <w:rPr>
          <w:rFonts w:ascii="Sakkal Majalla" w:eastAsia="Times New Roman" w:hAnsi="Sakkal Majalla" w:cs="Sakkal Majalla"/>
          <w:color w:val="000000" w:themeColor="text1"/>
          <w:kern w:val="0"/>
          <w:sz w:val="28"/>
          <w:szCs w:val="28"/>
          <w14:ligatures w14:val="none"/>
        </w:rPr>
        <w:t>.</w:t>
      </w:r>
    </w:p>
    <w:p w14:paraId="24DCD172" w14:textId="5A059492" w:rsidR="007467C7" w:rsidRPr="00E127A1" w:rsidRDefault="000011E2" w:rsidP="000011E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 w:name="_Toc228121462"/>
      <w:r w:rsidRPr="00E127A1">
        <w:rPr>
          <w:rFonts w:ascii="Sakkal Majalla" w:eastAsia="Times New Roman" w:hAnsi="Sakkal Majalla" w:cs="Sakkal Majalla" w:hint="cs"/>
          <w:b/>
          <w:bCs/>
          <w:color w:val="000000" w:themeColor="text1"/>
          <w:kern w:val="0"/>
          <w:sz w:val="36"/>
          <w:szCs w:val="36"/>
          <w:rtl/>
          <w14:ligatures w14:val="none"/>
        </w:rPr>
        <w:t xml:space="preserve">2.1 </w:t>
      </w:r>
      <w:r w:rsidR="007467C7" w:rsidRPr="00E127A1">
        <w:rPr>
          <w:rFonts w:ascii="Sakkal Majalla" w:eastAsia="Times New Roman" w:hAnsi="Sakkal Majalla" w:cs="Sakkal Majalla"/>
          <w:b/>
          <w:bCs/>
          <w:color w:val="000000" w:themeColor="text1"/>
          <w:kern w:val="0"/>
          <w:sz w:val="36"/>
          <w:szCs w:val="36"/>
          <w:rtl/>
          <w14:ligatures w14:val="none"/>
        </w:rPr>
        <w:t>مشكلة الدراسة</w:t>
      </w:r>
      <w:bookmarkEnd w:id="2"/>
    </w:p>
    <w:p w14:paraId="465BBBBC"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تُمثل المنطقة الشرقية بالمملكة العربية السعودية الشريان الاقتصادي الحيوي للمملكة، إذ تحتضن أكبر تجمع صناعي على مستوى الشرق الأوسط يضم مئات المنشآت الصناعية العاملة في قطاعات البتروكيماويات والتكرير والصناعات التحويلية والكيميائية، حيث تتعامل هذه المنشآت يومياً مع كميات هائلة من المواد الكيميائية الخطرة التي تتنوع بين مواد سامة وقابلة للاشتعال ومواد مسببة للتآكل. وقد أسهم هذا التركز الصناعي الكثيف في تصاعد المخاوف البيئية المرتبطة باحتمالية وقوع تسربات كيميائية قد تُفضي إلى كوارث بيئية وصحية واقتصادية جسيمة تطال العاملين والمجتمعات المحلية المجاورة والنظم البيئية المحيطة على حد سواء</w:t>
      </w:r>
      <w:r w:rsidRPr="00E127A1">
        <w:rPr>
          <w:rFonts w:ascii="Sakkal Majalla" w:eastAsia="Times New Roman" w:hAnsi="Sakkal Majalla" w:cs="Sakkal Majalla"/>
          <w:color w:val="000000" w:themeColor="text1"/>
          <w:kern w:val="0"/>
          <w:sz w:val="28"/>
          <w:szCs w:val="28"/>
          <w14:ligatures w14:val="none"/>
        </w:rPr>
        <w:t>.</w:t>
      </w:r>
    </w:p>
    <w:p w14:paraId="483DF36A"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وعلى الرغم من الجهود المبذولة في تطوير منظومات السلامة الصناعية، إلا أن الواقع العملي يكشف عن وجود تحديات جوهرية تواجه المنشآت الصناعية في المنطقة الشرقية فيما يتعلق بإدارة الأزمات البيئية الناجمة عن التسربات الكيميائية. فقد أشارت التقارير الصادرة عن الجهات الرقابية المختصة إلى تكرار حوادث التسرب الكيميائي في بعض المنشآت الصناعية بالمنطقة، مما يُشير إلى وجود فجوات حقيقية في منظومة التخطيط الاستراتيجي للأزمات البيئية وآليات الاستجابة السريعة وأساليب التنسيق المؤسسي بين الجهات المعنية ومستوى التقييم البيئي والتحسين المستمر. كما أن بعض المنشآت لا تزال تتبنى مقاربات تقليدية تفتقر إلى الشمولية والاستباقية في التعامل مع الأزمات البيئية، وتعتمد على ردود أفعال آنية بدلاً من تبني منهجيات منظمة ومتكاملة لإدارة هذه الأزمات</w:t>
      </w:r>
      <w:r w:rsidRPr="00E127A1">
        <w:rPr>
          <w:rFonts w:ascii="Sakkal Majalla" w:eastAsia="Times New Roman" w:hAnsi="Sakkal Majalla" w:cs="Sakkal Majalla"/>
          <w:color w:val="000000" w:themeColor="text1"/>
          <w:kern w:val="0"/>
          <w:sz w:val="28"/>
          <w:szCs w:val="28"/>
          <w14:ligatures w14:val="none"/>
        </w:rPr>
        <w:t>.</w:t>
      </w:r>
    </w:p>
    <w:p w14:paraId="0BAFF45D"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وتزداد حدة هذه المشكلة في ضوء التوسع الصناعي المتسارع الذي تشهده المنطقة الشرقية ضمن مستهدفات رؤية المملكة 2030 وبرنامج تطوير الصناعة الوطنية واللوجستيات (ندلب)، والذي يستلزم بالضرورة مضاعفة القدرات والجاهزية لمواجهة الأزمات البيئية المحتملة التي قد تتزايد وتيرتها وتعقيدها مع ازدياد حجم العمليات الصناعية وتنوع المواد الكيميائية المستخدمة. ولا يقتصر أثر التسربات الكيميائية على الأضرار المباشرة التي تلحق بالعاملين والمنشآت فحسب، بل يمتد ليشمل تلوث التربة والمياه الجوفية والهواء المحيط، فضلاً عن التداعيات الاقتصادية الجسيمة المتمثلة في توقف خطوط الإنتاج وتكاليف المعالجة البيئية والتعويضات والغرامات التنظيمية، وهو ما يُلقي بظلاله على تنافسية المنشآت واستدامة عملياتها</w:t>
      </w:r>
      <w:r w:rsidRPr="00E127A1">
        <w:rPr>
          <w:rFonts w:ascii="Sakkal Majalla" w:eastAsia="Times New Roman" w:hAnsi="Sakkal Majalla" w:cs="Sakkal Majalla"/>
          <w:color w:val="000000" w:themeColor="text1"/>
          <w:kern w:val="0"/>
          <w:sz w:val="28"/>
          <w:szCs w:val="28"/>
          <w14:ligatures w14:val="none"/>
        </w:rPr>
        <w:t>.</w:t>
      </w:r>
    </w:p>
    <w:p w14:paraId="783E58DE"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ومن خلال الاطلاع على الدراسات السابقة، لاحظ الباحث ندرة الدراسات التي تناولت العلاقة بين إدارة الأزمات البيئية وجاهزية المنشآت الصناعية في سياق التسربات الكيميائية تحديداً في البيئة السعودية، إذ ركزت معظم الدراسات على إدارة الأزمات بشكل عام دون التخصص في الأزمات البيئية المرتبطة بالتسربات الكيميائية في القطاع الصناعي. وهو ما أكدته دراسة</w:t>
      </w:r>
      <w:r w:rsidRPr="00E127A1">
        <w:rPr>
          <w:rFonts w:ascii="Sakkal Majalla" w:eastAsia="Times New Roman" w:hAnsi="Sakkal Majalla" w:cs="Sakkal Majalla"/>
          <w:color w:val="000000" w:themeColor="text1"/>
          <w:kern w:val="0"/>
          <w:sz w:val="28"/>
          <w:szCs w:val="28"/>
          <w14:ligatures w14:val="none"/>
        </w:rPr>
        <w:t xml:space="preserve"> (Rajlić, Panić &amp; Đoković, 2025) </w:t>
      </w:r>
      <w:r w:rsidRPr="00E127A1">
        <w:rPr>
          <w:rFonts w:ascii="Sakkal Majalla" w:eastAsia="Times New Roman" w:hAnsi="Sakkal Majalla" w:cs="Sakkal Majalla"/>
          <w:color w:val="000000" w:themeColor="text1"/>
          <w:kern w:val="0"/>
          <w:sz w:val="28"/>
          <w:szCs w:val="28"/>
          <w:rtl/>
          <w14:ligatures w14:val="none"/>
        </w:rPr>
        <w:t>التي أشارت إلى أن كثيراً من المنشآت الصناعية تفتقر إلى التطبيق العملي لخطط الطوارئ رغم وجودها وثائقياً، وما أوصت به دراسة</w:t>
      </w:r>
      <w:r w:rsidRPr="00E127A1">
        <w:rPr>
          <w:rFonts w:ascii="Sakkal Majalla" w:eastAsia="Times New Roman" w:hAnsi="Sakkal Majalla" w:cs="Sakkal Majalla"/>
          <w:color w:val="000000" w:themeColor="text1"/>
          <w:kern w:val="0"/>
          <w:sz w:val="28"/>
          <w:szCs w:val="28"/>
          <w14:ligatures w14:val="none"/>
        </w:rPr>
        <w:t xml:space="preserve"> (Glova Végsöová &amp; Grabara, 2024) </w:t>
      </w:r>
      <w:r w:rsidRPr="00E127A1">
        <w:rPr>
          <w:rFonts w:ascii="Sakkal Majalla" w:eastAsia="Times New Roman" w:hAnsi="Sakkal Majalla" w:cs="Sakkal Majalla"/>
          <w:color w:val="000000" w:themeColor="text1"/>
          <w:kern w:val="0"/>
          <w:sz w:val="28"/>
          <w:szCs w:val="28"/>
          <w:rtl/>
          <w14:ligatures w14:val="none"/>
        </w:rPr>
        <w:t>بضرورة تطوير أدوات إدارة الأزمات في المنشآت الصناعية لتعزيز استدامة السلامة الصناعية</w:t>
      </w:r>
      <w:r w:rsidRPr="00E127A1">
        <w:rPr>
          <w:rFonts w:ascii="Sakkal Majalla" w:eastAsia="Times New Roman" w:hAnsi="Sakkal Majalla" w:cs="Sakkal Majalla"/>
          <w:color w:val="000000" w:themeColor="text1"/>
          <w:kern w:val="0"/>
          <w:sz w:val="28"/>
          <w:szCs w:val="28"/>
          <w14:ligatures w14:val="none"/>
        </w:rPr>
        <w:t>.</w:t>
      </w:r>
    </w:p>
    <w:p w14:paraId="0AE428A0"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وعليه، تتبلور مشكلة الدراسة في السؤال الرئيسي التالي</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b/>
          <w:bCs/>
          <w:color w:val="000000" w:themeColor="text1"/>
          <w:kern w:val="0"/>
          <w:sz w:val="28"/>
          <w:szCs w:val="28"/>
          <w:rtl/>
          <w14:ligatures w14:val="none"/>
        </w:rPr>
        <w:t>ما أثر إدارة الأزمات البيئية بأبعادها (التخطيط الاستراتيجي للأزمات البيئية، الاستجابة السريعة للتسربات الكيميائية، التنسيق المؤسسي لمواجهة الأزمات، التقييم البيئي والتحسين المستمر) على تعزيز جاهزية المنشآت الصناعية لمواجهة التسربات الكيميائية في المنطقة الشرقية بالمملكة العربية السعودية؟</w:t>
      </w:r>
    </w:p>
    <w:p w14:paraId="541FE9EB" w14:textId="45164376" w:rsidR="007467C7" w:rsidRPr="00E127A1" w:rsidRDefault="000011E2" w:rsidP="000011E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 w:name="_Toc228121463"/>
      <w:r w:rsidRPr="00E127A1">
        <w:rPr>
          <w:rFonts w:ascii="Sakkal Majalla" w:eastAsia="Times New Roman" w:hAnsi="Sakkal Majalla" w:cs="Sakkal Majalla" w:hint="cs"/>
          <w:b/>
          <w:bCs/>
          <w:color w:val="000000" w:themeColor="text1"/>
          <w:kern w:val="0"/>
          <w:sz w:val="36"/>
          <w:szCs w:val="36"/>
          <w:rtl/>
          <w14:ligatures w14:val="none"/>
        </w:rPr>
        <w:t xml:space="preserve">3.1 </w:t>
      </w:r>
      <w:r w:rsidR="007467C7" w:rsidRPr="00E127A1">
        <w:rPr>
          <w:rFonts w:ascii="Sakkal Majalla" w:eastAsia="Times New Roman" w:hAnsi="Sakkal Majalla" w:cs="Sakkal Majalla"/>
          <w:b/>
          <w:bCs/>
          <w:color w:val="000000" w:themeColor="text1"/>
          <w:kern w:val="0"/>
          <w:sz w:val="36"/>
          <w:szCs w:val="36"/>
          <w:rtl/>
          <w14:ligatures w14:val="none"/>
        </w:rPr>
        <w:t>أهداف الدراسة</w:t>
      </w:r>
      <w:bookmarkEnd w:id="3"/>
    </w:p>
    <w:p w14:paraId="675DC305"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الهدف الرئيسي</w:t>
      </w:r>
      <w:r w:rsidRPr="00E127A1">
        <w:rPr>
          <w:rFonts w:ascii="Sakkal Majalla" w:eastAsia="Times New Roman" w:hAnsi="Sakkal Majalla" w:cs="Sakkal Majalla"/>
          <w:b/>
          <w:bCs/>
          <w:color w:val="000000" w:themeColor="text1"/>
          <w:kern w:val="0"/>
          <w:sz w:val="32"/>
          <w:szCs w:val="32"/>
          <w14:ligatures w14:val="none"/>
        </w:rPr>
        <w:t>:</w:t>
      </w:r>
    </w:p>
    <w:p w14:paraId="130F912D"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تهدف هذه الدراسة إلى دراسة أثر إدارة الأزمات البيئية بأبعادها (التخطيط الاستراتيجي للأزمات البيئية، الاستجابة السريعة للتسربات الكيميائية، التنسيق المؤسسي لمواجهة الأزمات، التقييم البيئي والتحسين المستمر) على تعزيز جاهزية المنشآت الصناعية لمواجهة التسربات الكيميائية في 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57413693"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الأهداف الفرعية</w:t>
      </w:r>
      <w:r w:rsidRPr="00E127A1">
        <w:rPr>
          <w:rFonts w:ascii="Sakkal Majalla" w:eastAsia="Times New Roman" w:hAnsi="Sakkal Majalla" w:cs="Sakkal Majalla"/>
          <w:b/>
          <w:bCs/>
          <w:color w:val="000000" w:themeColor="text1"/>
          <w:kern w:val="0"/>
          <w:sz w:val="32"/>
          <w:szCs w:val="32"/>
          <w14:ligatures w14:val="none"/>
        </w:rPr>
        <w:t>:</w:t>
      </w:r>
    </w:p>
    <w:p w14:paraId="7BD78D53"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وتتفرع من هذا الهدف الرئيسي عدة أهداف فرعية تتمثل فيما يلي</w:t>
      </w:r>
      <w:r w:rsidRPr="00E127A1">
        <w:rPr>
          <w:rFonts w:ascii="Sakkal Majalla" w:eastAsia="Times New Roman" w:hAnsi="Sakkal Majalla" w:cs="Sakkal Majalla"/>
          <w:b/>
          <w:bCs/>
          <w:color w:val="000000" w:themeColor="text1"/>
          <w:kern w:val="0"/>
          <w:sz w:val="28"/>
          <w:szCs w:val="28"/>
          <w14:ligatures w14:val="none"/>
        </w:rPr>
        <w:t>:</w:t>
      </w:r>
    </w:p>
    <w:p w14:paraId="1755A6E3" w14:textId="3480B24E" w:rsidR="007467C7" w:rsidRPr="00E127A1" w:rsidRDefault="007467C7" w:rsidP="00062076">
      <w:pPr>
        <w:pStyle w:val="a8"/>
        <w:numPr>
          <w:ilvl w:val="0"/>
          <w:numId w:val="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التعرف على أثر التخطيط الاستراتيجي للأزمات البيئية على تعزيز جاهزية المنشآت الصناعية لمواجهة التسربات الكيميائية في 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4BEFFE26" w14:textId="07DA5910" w:rsidR="007467C7" w:rsidRPr="00E127A1" w:rsidRDefault="007467C7" w:rsidP="00062076">
      <w:pPr>
        <w:pStyle w:val="a8"/>
        <w:numPr>
          <w:ilvl w:val="0"/>
          <w:numId w:val="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قياس أثر الاستجابة السريعة للتسربات الكيميائية على تعزيز جاهزية المنشآت الصناعية لمواجهة التسربات الكيميائية في 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50F5CDAC" w14:textId="435020BA" w:rsidR="007467C7" w:rsidRPr="00E127A1" w:rsidRDefault="007467C7" w:rsidP="00062076">
      <w:pPr>
        <w:pStyle w:val="a8"/>
        <w:numPr>
          <w:ilvl w:val="0"/>
          <w:numId w:val="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تحديد أثر التنسيق المؤسسي لمواجهة الأزمات على تعزيز جاهزية المنشآت الصناعية لمواجهة التسربات الكيميائية في 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3E9798D4" w14:textId="6AA20CEC" w:rsidR="007467C7" w:rsidRPr="00E127A1" w:rsidRDefault="007467C7" w:rsidP="00062076">
      <w:pPr>
        <w:pStyle w:val="a8"/>
        <w:numPr>
          <w:ilvl w:val="0"/>
          <w:numId w:val="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الكشف عن أثر التقييم البيئي والتحسين المستمر على تعزيز جاهزية المنشآت الصناعية لمواجهة التسربات الكيميائية في </w:t>
      </w:r>
    </w:p>
    <w:p w14:paraId="58CED774" w14:textId="273CC940" w:rsidR="007467C7" w:rsidRPr="00E127A1" w:rsidRDefault="007467C7" w:rsidP="00062076">
      <w:pPr>
        <w:pStyle w:val="a8"/>
        <w:numPr>
          <w:ilvl w:val="0"/>
          <w:numId w:val="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تقديم توصيات ومقترحات عملية تسهم في تعزيز فاعلية إدارة الأزمات البيئية ورفع مستوى جاهزية المنشآت الصناعية لمواجهة التسربات الكيميائية في المنطقة الشرقية</w:t>
      </w:r>
      <w:r w:rsidRPr="00E127A1">
        <w:rPr>
          <w:rFonts w:ascii="Sakkal Majalla" w:eastAsia="Times New Roman" w:hAnsi="Sakkal Majalla" w:cs="Sakkal Majalla"/>
          <w:color w:val="000000" w:themeColor="text1"/>
          <w:kern w:val="0"/>
          <w:sz w:val="28"/>
          <w:szCs w:val="28"/>
          <w14:ligatures w14:val="none"/>
        </w:rPr>
        <w:t>.</w:t>
      </w:r>
    </w:p>
    <w:p w14:paraId="4B733CF3" w14:textId="2F636CA7" w:rsidR="007467C7" w:rsidRPr="00E127A1" w:rsidRDefault="000011E2" w:rsidP="000011E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4" w:name="_Toc228121464"/>
      <w:r w:rsidRPr="00E127A1">
        <w:rPr>
          <w:rFonts w:ascii="Sakkal Majalla" w:eastAsia="Times New Roman" w:hAnsi="Sakkal Majalla" w:cs="Sakkal Majalla" w:hint="cs"/>
          <w:b/>
          <w:bCs/>
          <w:color w:val="000000" w:themeColor="text1"/>
          <w:kern w:val="0"/>
          <w:sz w:val="36"/>
          <w:szCs w:val="36"/>
          <w:rtl/>
          <w14:ligatures w14:val="none"/>
        </w:rPr>
        <w:t xml:space="preserve">4.1 </w:t>
      </w:r>
      <w:r w:rsidR="007467C7" w:rsidRPr="00E127A1">
        <w:rPr>
          <w:rFonts w:ascii="Sakkal Majalla" w:eastAsia="Times New Roman" w:hAnsi="Sakkal Majalla" w:cs="Sakkal Majalla"/>
          <w:b/>
          <w:bCs/>
          <w:color w:val="000000" w:themeColor="text1"/>
          <w:kern w:val="0"/>
          <w:sz w:val="36"/>
          <w:szCs w:val="36"/>
          <w:rtl/>
          <w14:ligatures w14:val="none"/>
        </w:rPr>
        <w:t>أسئلة الدراسة</w:t>
      </w:r>
      <w:bookmarkEnd w:id="4"/>
    </w:p>
    <w:p w14:paraId="1EF60781"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السؤال الرئيسي</w:t>
      </w:r>
      <w:r w:rsidRPr="00E127A1">
        <w:rPr>
          <w:rFonts w:ascii="Sakkal Majalla" w:eastAsia="Times New Roman" w:hAnsi="Sakkal Majalla" w:cs="Sakkal Majalla"/>
          <w:b/>
          <w:bCs/>
          <w:color w:val="000000" w:themeColor="text1"/>
          <w:kern w:val="0"/>
          <w:sz w:val="32"/>
          <w:szCs w:val="32"/>
          <w14:ligatures w14:val="none"/>
        </w:rPr>
        <w:t>:</w:t>
      </w:r>
    </w:p>
    <w:p w14:paraId="5F8A8F71"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ما أثر إدارة الأزمات البيئية بأبعادها (التخطيط الاستراتيجي للأزمات البيئية، الاستجابة السريعة للتسربات الكيميائية، التنسيق المؤسسي لمواجهة الأزمات، التقييم البيئي والتحسين المستمر) على تعزيز جاهزية المنشآت الصناعية لمواجهة التسربات الكيميائية في المنطقة الشرقية بالمملكة العربية السعودية؟</w:t>
      </w:r>
    </w:p>
    <w:p w14:paraId="61ADC900"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الأسئلة الفرعية</w:t>
      </w:r>
      <w:r w:rsidRPr="00E127A1">
        <w:rPr>
          <w:rFonts w:ascii="Sakkal Majalla" w:eastAsia="Times New Roman" w:hAnsi="Sakkal Majalla" w:cs="Sakkal Majalla"/>
          <w:b/>
          <w:bCs/>
          <w:color w:val="000000" w:themeColor="text1"/>
          <w:kern w:val="0"/>
          <w:sz w:val="32"/>
          <w:szCs w:val="32"/>
          <w14:ligatures w14:val="none"/>
        </w:rPr>
        <w:t>:</w:t>
      </w:r>
    </w:p>
    <w:p w14:paraId="6304F4DE"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وينبثق من هذا السؤال الرئيسي الأسئلة الفرعية التالية</w:t>
      </w:r>
      <w:r w:rsidRPr="00E127A1">
        <w:rPr>
          <w:rFonts w:ascii="Sakkal Majalla" w:eastAsia="Times New Roman" w:hAnsi="Sakkal Majalla" w:cs="Sakkal Majalla"/>
          <w:b/>
          <w:bCs/>
          <w:color w:val="000000" w:themeColor="text1"/>
          <w:kern w:val="0"/>
          <w:sz w:val="28"/>
          <w:szCs w:val="28"/>
          <w14:ligatures w14:val="none"/>
        </w:rPr>
        <w:t>:</w:t>
      </w:r>
    </w:p>
    <w:p w14:paraId="5032C9C1" w14:textId="2F42EADD" w:rsidR="007467C7" w:rsidRPr="00E127A1" w:rsidRDefault="007467C7" w:rsidP="00062076">
      <w:pPr>
        <w:pStyle w:val="a8"/>
        <w:numPr>
          <w:ilvl w:val="0"/>
          <w:numId w:val="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ما أثر التخطيط الاستراتيجي للأزمات البيئية على تعزيز جاهزية المنشآت الصناعية لمواجهة التسربات الكيميائية في المنطقة الشرقية بالمملكة العربية السعودية؟</w:t>
      </w:r>
    </w:p>
    <w:p w14:paraId="4772DA8A" w14:textId="4FB452F3" w:rsidR="007467C7" w:rsidRPr="00E127A1" w:rsidRDefault="007467C7" w:rsidP="00062076">
      <w:pPr>
        <w:pStyle w:val="a8"/>
        <w:numPr>
          <w:ilvl w:val="0"/>
          <w:numId w:val="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ما أثر الاستجابة السريعة للتسربات الكيميائية على تعزيز جاهزية المنشآت الصناعية لمواجهة التسربات الكيميائية في المنطقة الشرقية بالمملكة العربية السعودية؟</w:t>
      </w:r>
    </w:p>
    <w:p w14:paraId="1C36A96A" w14:textId="7A619182" w:rsidR="007467C7" w:rsidRPr="00E127A1" w:rsidRDefault="007467C7" w:rsidP="00062076">
      <w:pPr>
        <w:pStyle w:val="a8"/>
        <w:numPr>
          <w:ilvl w:val="0"/>
          <w:numId w:val="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ما أثر التنسيق المؤسسي لمواجهة الأزمات على تعزيز جاهزية المنشآت الصناعية لمواجهة التسربات الكيميائية في المنطقة الشرقية بالمملكة العربية السعودية؟</w:t>
      </w:r>
    </w:p>
    <w:p w14:paraId="780E13B5" w14:textId="4EBB3FF1" w:rsidR="007467C7" w:rsidRPr="00E127A1" w:rsidRDefault="007467C7" w:rsidP="00062076">
      <w:pPr>
        <w:pStyle w:val="a8"/>
        <w:numPr>
          <w:ilvl w:val="0"/>
          <w:numId w:val="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ما أثر التقييم البيئي والتحسين المستمر على تعزيز جاهزية المنشآت الصناعية لمواجهة التسربات الكيميائية في المنطقة الشرقية بالمملكة العربية السعودية؟</w:t>
      </w:r>
    </w:p>
    <w:p w14:paraId="1EC8FDD4" w14:textId="1B27D8E8" w:rsidR="007467C7" w:rsidRPr="00E127A1" w:rsidRDefault="000011E2" w:rsidP="000011E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 w:name="_Toc228121465"/>
      <w:r w:rsidRPr="00E127A1">
        <w:rPr>
          <w:rFonts w:ascii="Sakkal Majalla" w:eastAsia="Times New Roman" w:hAnsi="Sakkal Majalla" w:cs="Sakkal Majalla" w:hint="cs"/>
          <w:b/>
          <w:bCs/>
          <w:color w:val="000000" w:themeColor="text1"/>
          <w:kern w:val="0"/>
          <w:sz w:val="36"/>
          <w:szCs w:val="36"/>
          <w:rtl/>
          <w14:ligatures w14:val="none"/>
        </w:rPr>
        <w:t xml:space="preserve">5.1 </w:t>
      </w:r>
      <w:r w:rsidR="007467C7" w:rsidRPr="00E127A1">
        <w:rPr>
          <w:rFonts w:ascii="Sakkal Majalla" w:eastAsia="Times New Roman" w:hAnsi="Sakkal Majalla" w:cs="Sakkal Majalla"/>
          <w:b/>
          <w:bCs/>
          <w:color w:val="000000" w:themeColor="text1"/>
          <w:kern w:val="0"/>
          <w:sz w:val="36"/>
          <w:szCs w:val="36"/>
          <w:rtl/>
          <w14:ligatures w14:val="none"/>
        </w:rPr>
        <w:t>فروض الدراسة</w:t>
      </w:r>
      <w:bookmarkEnd w:id="5"/>
    </w:p>
    <w:p w14:paraId="1FBE70B4"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الفرضية الرئيسية</w:t>
      </w:r>
      <w:r w:rsidRPr="00E127A1">
        <w:rPr>
          <w:rFonts w:ascii="Sakkal Majalla" w:eastAsia="Times New Roman" w:hAnsi="Sakkal Majalla" w:cs="Sakkal Majalla"/>
          <w:b/>
          <w:bCs/>
          <w:color w:val="000000" w:themeColor="text1"/>
          <w:kern w:val="0"/>
          <w:sz w:val="32"/>
          <w:szCs w:val="32"/>
          <w14:ligatures w14:val="none"/>
        </w:rPr>
        <w:t>:</w:t>
      </w:r>
    </w:p>
    <w:p w14:paraId="67F67631" w14:textId="77777777" w:rsidR="007467C7" w:rsidRPr="00E127A1" w:rsidRDefault="007467C7" w:rsidP="00062076">
      <w:pPr>
        <w:pStyle w:val="a8"/>
        <w:numPr>
          <w:ilvl w:val="0"/>
          <w:numId w:val="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14:ligatures w14:val="none"/>
        </w:rPr>
        <w:t xml:space="preserve">H1: </w:t>
      </w:r>
      <w:r w:rsidRPr="00E127A1">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Cambria" w:eastAsia="Times New Roman" w:hAnsi="Cambria" w:cs="Cambria"/>
          <w:color w:val="000000" w:themeColor="text1"/>
          <w:kern w:val="0"/>
          <w:sz w:val="28"/>
          <w:szCs w:val="28"/>
          <w14:ligatures w14:val="none"/>
        </w:rPr>
        <w:t>α</w:t>
      </w:r>
      <w:r w:rsidRPr="00E127A1">
        <w:rPr>
          <w:rFonts w:ascii="Sakkal Majalla" w:eastAsia="Times New Roman" w:hAnsi="Sakkal Majalla" w:cs="Sakkal Majalla"/>
          <w:color w:val="000000" w:themeColor="text1"/>
          <w:kern w:val="0"/>
          <w:sz w:val="28"/>
          <w:szCs w:val="28"/>
          <w14:ligatures w14:val="none"/>
        </w:rPr>
        <w:t xml:space="preserve"> ≤ 0.05) </w:t>
      </w:r>
      <w:r w:rsidRPr="00E127A1">
        <w:rPr>
          <w:rFonts w:ascii="Sakkal Majalla" w:eastAsia="Times New Roman" w:hAnsi="Sakkal Majalla" w:cs="Sakkal Majalla"/>
          <w:color w:val="000000" w:themeColor="text1"/>
          <w:kern w:val="0"/>
          <w:sz w:val="28"/>
          <w:szCs w:val="28"/>
          <w:rtl/>
          <w14:ligatures w14:val="none"/>
        </w:rPr>
        <w:t>لإدارة الأزمات البيئية بأبعادها (التخطيط الاستراتيجي للأزمات البيئية، الاستجابة السريعة للتسربات الكيميائية، التنسيق المؤسسي لمواجهة الأزمات، التقييم البيئي والتحسين المستمر) على تعزيز جاهزية المنشآت الصناعية لمواجهة التسربات الكيميائية في 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7521169B"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الفرضيات الفرعية</w:t>
      </w:r>
      <w:r w:rsidRPr="00E127A1">
        <w:rPr>
          <w:rFonts w:ascii="Sakkal Majalla" w:eastAsia="Times New Roman" w:hAnsi="Sakkal Majalla" w:cs="Sakkal Majalla"/>
          <w:b/>
          <w:bCs/>
          <w:color w:val="000000" w:themeColor="text1"/>
          <w:kern w:val="0"/>
          <w:sz w:val="32"/>
          <w:szCs w:val="32"/>
          <w14:ligatures w14:val="none"/>
        </w:rPr>
        <w:t>:</w:t>
      </w:r>
    </w:p>
    <w:p w14:paraId="116D2C3A"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وتتفرع من الفرضية الرئيسية الفرضيات الفرعية التالية</w:t>
      </w:r>
      <w:r w:rsidRPr="00E127A1">
        <w:rPr>
          <w:rFonts w:ascii="Sakkal Majalla" w:eastAsia="Times New Roman" w:hAnsi="Sakkal Majalla" w:cs="Sakkal Majalla"/>
          <w:b/>
          <w:bCs/>
          <w:color w:val="000000" w:themeColor="text1"/>
          <w:kern w:val="0"/>
          <w:sz w:val="28"/>
          <w:szCs w:val="28"/>
          <w14:ligatures w14:val="none"/>
        </w:rPr>
        <w:t>:</w:t>
      </w:r>
    </w:p>
    <w:p w14:paraId="2446608C" w14:textId="77777777" w:rsidR="007467C7" w:rsidRPr="00E127A1" w:rsidRDefault="007467C7" w:rsidP="00062076">
      <w:pPr>
        <w:pStyle w:val="a8"/>
        <w:numPr>
          <w:ilvl w:val="0"/>
          <w:numId w:val="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14:ligatures w14:val="none"/>
        </w:rPr>
        <w:t>H1-1:</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Cambria" w:eastAsia="Times New Roman" w:hAnsi="Cambria" w:cs="Cambria"/>
          <w:color w:val="000000" w:themeColor="text1"/>
          <w:kern w:val="0"/>
          <w:sz w:val="28"/>
          <w:szCs w:val="28"/>
          <w14:ligatures w14:val="none"/>
        </w:rPr>
        <w:t>α</w:t>
      </w:r>
      <w:r w:rsidRPr="00E127A1">
        <w:rPr>
          <w:rFonts w:ascii="Sakkal Majalla" w:eastAsia="Times New Roman" w:hAnsi="Sakkal Majalla" w:cs="Sakkal Majalla"/>
          <w:color w:val="000000" w:themeColor="text1"/>
          <w:kern w:val="0"/>
          <w:sz w:val="28"/>
          <w:szCs w:val="28"/>
          <w14:ligatures w14:val="none"/>
        </w:rPr>
        <w:t xml:space="preserve"> ≤ 0.05) </w:t>
      </w:r>
      <w:r w:rsidRPr="00E127A1">
        <w:rPr>
          <w:rFonts w:ascii="Sakkal Majalla" w:eastAsia="Times New Roman" w:hAnsi="Sakkal Majalla" w:cs="Sakkal Majalla"/>
          <w:color w:val="000000" w:themeColor="text1"/>
          <w:kern w:val="0"/>
          <w:sz w:val="28"/>
          <w:szCs w:val="28"/>
          <w:rtl/>
          <w14:ligatures w14:val="none"/>
        </w:rPr>
        <w:t>للتخطيط الاستراتيجي للأزمات البيئية على تعزيز جاهزية المنشآت الصناعية لمواجهة التسربات الكيميائية في 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3AF2AC88" w14:textId="77777777" w:rsidR="007467C7" w:rsidRPr="00E127A1" w:rsidRDefault="007467C7" w:rsidP="00062076">
      <w:pPr>
        <w:pStyle w:val="a8"/>
        <w:numPr>
          <w:ilvl w:val="0"/>
          <w:numId w:val="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14:ligatures w14:val="none"/>
        </w:rPr>
        <w:t>H1-2:</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Cambria" w:eastAsia="Times New Roman" w:hAnsi="Cambria" w:cs="Cambria"/>
          <w:color w:val="000000" w:themeColor="text1"/>
          <w:kern w:val="0"/>
          <w:sz w:val="28"/>
          <w:szCs w:val="28"/>
          <w14:ligatures w14:val="none"/>
        </w:rPr>
        <w:t>α</w:t>
      </w:r>
      <w:r w:rsidRPr="00E127A1">
        <w:rPr>
          <w:rFonts w:ascii="Sakkal Majalla" w:eastAsia="Times New Roman" w:hAnsi="Sakkal Majalla" w:cs="Sakkal Majalla"/>
          <w:color w:val="000000" w:themeColor="text1"/>
          <w:kern w:val="0"/>
          <w:sz w:val="28"/>
          <w:szCs w:val="28"/>
          <w14:ligatures w14:val="none"/>
        </w:rPr>
        <w:t xml:space="preserve"> ≤ 0.05) </w:t>
      </w:r>
      <w:r w:rsidRPr="00E127A1">
        <w:rPr>
          <w:rFonts w:ascii="Sakkal Majalla" w:eastAsia="Times New Roman" w:hAnsi="Sakkal Majalla" w:cs="Sakkal Majalla"/>
          <w:color w:val="000000" w:themeColor="text1"/>
          <w:kern w:val="0"/>
          <w:sz w:val="28"/>
          <w:szCs w:val="28"/>
          <w:rtl/>
          <w14:ligatures w14:val="none"/>
        </w:rPr>
        <w:t>للاستجابة السريعة للتسربات الكيميائية على تعزيز جاهزية المنشآت الصناعية لمواجهة التسربات الكيميائية في 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0AD1B6CD" w14:textId="77777777" w:rsidR="007467C7" w:rsidRPr="00E127A1" w:rsidRDefault="007467C7" w:rsidP="00062076">
      <w:pPr>
        <w:pStyle w:val="a8"/>
        <w:numPr>
          <w:ilvl w:val="0"/>
          <w:numId w:val="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14:ligatures w14:val="none"/>
        </w:rPr>
        <w:lastRenderedPageBreak/>
        <w:t>H1-3:</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Cambria" w:eastAsia="Times New Roman" w:hAnsi="Cambria" w:cs="Cambria"/>
          <w:color w:val="000000" w:themeColor="text1"/>
          <w:kern w:val="0"/>
          <w:sz w:val="28"/>
          <w:szCs w:val="28"/>
          <w14:ligatures w14:val="none"/>
        </w:rPr>
        <w:t>α</w:t>
      </w:r>
      <w:r w:rsidRPr="00E127A1">
        <w:rPr>
          <w:rFonts w:ascii="Sakkal Majalla" w:eastAsia="Times New Roman" w:hAnsi="Sakkal Majalla" w:cs="Sakkal Majalla"/>
          <w:color w:val="000000" w:themeColor="text1"/>
          <w:kern w:val="0"/>
          <w:sz w:val="28"/>
          <w:szCs w:val="28"/>
          <w14:ligatures w14:val="none"/>
        </w:rPr>
        <w:t xml:space="preserve"> ≤ 0.05) </w:t>
      </w:r>
      <w:r w:rsidRPr="00E127A1">
        <w:rPr>
          <w:rFonts w:ascii="Sakkal Majalla" w:eastAsia="Times New Roman" w:hAnsi="Sakkal Majalla" w:cs="Sakkal Majalla"/>
          <w:color w:val="000000" w:themeColor="text1"/>
          <w:kern w:val="0"/>
          <w:sz w:val="28"/>
          <w:szCs w:val="28"/>
          <w:rtl/>
          <w14:ligatures w14:val="none"/>
        </w:rPr>
        <w:t>للتنسيق المؤسسي لمواجهة الأزمات على تعزيز جاهزية المنشآت الصناعية لمواجهة التسربات الكيميائية في 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2A5E7E56" w14:textId="77777777" w:rsidR="007467C7" w:rsidRPr="00E127A1" w:rsidRDefault="007467C7" w:rsidP="00062076">
      <w:pPr>
        <w:pStyle w:val="a8"/>
        <w:numPr>
          <w:ilvl w:val="0"/>
          <w:numId w:val="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14:ligatures w14:val="none"/>
        </w:rPr>
        <w:t>H1-4:</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Cambria" w:eastAsia="Times New Roman" w:hAnsi="Cambria" w:cs="Cambria"/>
          <w:color w:val="000000" w:themeColor="text1"/>
          <w:kern w:val="0"/>
          <w:sz w:val="28"/>
          <w:szCs w:val="28"/>
          <w14:ligatures w14:val="none"/>
        </w:rPr>
        <w:t>α</w:t>
      </w:r>
      <w:r w:rsidRPr="00E127A1">
        <w:rPr>
          <w:rFonts w:ascii="Sakkal Majalla" w:eastAsia="Times New Roman" w:hAnsi="Sakkal Majalla" w:cs="Sakkal Majalla"/>
          <w:color w:val="000000" w:themeColor="text1"/>
          <w:kern w:val="0"/>
          <w:sz w:val="28"/>
          <w:szCs w:val="28"/>
          <w14:ligatures w14:val="none"/>
        </w:rPr>
        <w:t xml:space="preserve"> ≤ 0.05) </w:t>
      </w:r>
      <w:r w:rsidRPr="00E127A1">
        <w:rPr>
          <w:rFonts w:ascii="Sakkal Majalla" w:eastAsia="Times New Roman" w:hAnsi="Sakkal Majalla" w:cs="Sakkal Majalla"/>
          <w:color w:val="000000" w:themeColor="text1"/>
          <w:kern w:val="0"/>
          <w:sz w:val="28"/>
          <w:szCs w:val="28"/>
          <w:rtl/>
          <w14:ligatures w14:val="none"/>
        </w:rPr>
        <w:t>للتقييم البيئي والتحسين المستمر على تعزيز جاهزية المنشآت الصناعية لمواجهة التسربات الكيميائية في 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68D29908" w14:textId="09D1681E" w:rsidR="007467C7" w:rsidRPr="00E127A1" w:rsidRDefault="000011E2" w:rsidP="000011E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 w:name="_Toc228121466"/>
      <w:r w:rsidRPr="00E127A1">
        <w:rPr>
          <w:rFonts w:ascii="Sakkal Majalla" w:eastAsia="Times New Roman" w:hAnsi="Sakkal Majalla" w:cs="Sakkal Majalla" w:hint="cs"/>
          <w:b/>
          <w:bCs/>
          <w:color w:val="000000" w:themeColor="text1"/>
          <w:kern w:val="0"/>
          <w:sz w:val="36"/>
          <w:szCs w:val="36"/>
          <w:rtl/>
          <w14:ligatures w14:val="none"/>
        </w:rPr>
        <w:t xml:space="preserve">6.1 </w:t>
      </w:r>
      <w:r w:rsidR="007467C7" w:rsidRPr="00E127A1">
        <w:rPr>
          <w:rFonts w:ascii="Sakkal Majalla" w:eastAsia="Times New Roman" w:hAnsi="Sakkal Majalla" w:cs="Sakkal Majalla"/>
          <w:b/>
          <w:bCs/>
          <w:color w:val="000000" w:themeColor="text1"/>
          <w:kern w:val="0"/>
          <w:sz w:val="36"/>
          <w:szCs w:val="36"/>
          <w:rtl/>
          <w14:ligatures w14:val="none"/>
        </w:rPr>
        <w:t>أهمية الدراسة</w:t>
      </w:r>
      <w:bookmarkEnd w:id="6"/>
    </w:p>
    <w:p w14:paraId="7245C841"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أولاً: الأهمية العلمية (النظرية)</w:t>
      </w:r>
      <w:r w:rsidRPr="00E127A1">
        <w:rPr>
          <w:rFonts w:ascii="Sakkal Majalla" w:eastAsia="Times New Roman" w:hAnsi="Sakkal Majalla" w:cs="Sakkal Majalla"/>
          <w:b/>
          <w:bCs/>
          <w:color w:val="000000" w:themeColor="text1"/>
          <w:kern w:val="0"/>
          <w:sz w:val="32"/>
          <w:szCs w:val="32"/>
          <w14:ligatures w14:val="none"/>
        </w:rPr>
        <w:t>:</w:t>
      </w:r>
    </w:p>
    <w:p w14:paraId="7A206B95" w14:textId="77777777" w:rsidR="007467C7" w:rsidRPr="00E127A1" w:rsidRDefault="007467C7" w:rsidP="00062076">
      <w:pPr>
        <w:pStyle w:val="a8"/>
        <w:numPr>
          <w:ilvl w:val="0"/>
          <w:numId w:val="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إثراء الأدب النظري</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تُسهم هذه الدراسة في إثراء المكتبة العربية والأدبيات الأكاديمية المتعلقة بإدارة الأزمات البيئية وجاهزية المنشآت الصناعية، وهو مجال يُعاني من ندرة نسبية في الدراسات العربية خاصةً في سياق التسربات الكيميائية بالمنطقة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48CC2AA4" w14:textId="77777777" w:rsidR="007467C7" w:rsidRPr="00E127A1" w:rsidRDefault="007467C7" w:rsidP="00062076">
      <w:pPr>
        <w:pStyle w:val="a8"/>
        <w:numPr>
          <w:ilvl w:val="0"/>
          <w:numId w:val="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بناء إطار مفاهيمي متكامل</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تُقدم الدراسة إطاراً نظرياً يربط بين إدارة الأزمات البيئية بأبعادها الأربعة (التخطيط الاستراتيجي للأزمات البيئية، الاستجابة السريعة للتسربات الكيميائية، التنسيق المؤسسي لمواجهة الأزمات، التقييم البيئي والتحسين المستمر) وجاهزية المنشآت الصناعية، مما يُسهم في تطوير نموذج نظري قابل للاختبار والتطبيق في بيئات صناعية مختلفة</w:t>
      </w:r>
      <w:r w:rsidRPr="00E127A1">
        <w:rPr>
          <w:rFonts w:ascii="Sakkal Majalla" w:eastAsia="Times New Roman" w:hAnsi="Sakkal Majalla" w:cs="Sakkal Majalla"/>
          <w:color w:val="000000" w:themeColor="text1"/>
          <w:kern w:val="0"/>
          <w:sz w:val="28"/>
          <w:szCs w:val="28"/>
          <w14:ligatures w14:val="none"/>
        </w:rPr>
        <w:t>.</w:t>
      </w:r>
    </w:p>
    <w:p w14:paraId="5B8CA4A0" w14:textId="77777777" w:rsidR="007467C7" w:rsidRPr="00E127A1" w:rsidRDefault="007467C7" w:rsidP="00062076">
      <w:pPr>
        <w:pStyle w:val="a8"/>
        <w:numPr>
          <w:ilvl w:val="0"/>
          <w:numId w:val="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سد الفجوة البحثية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تُعالج الدراسة فجوة بحثية واضحة تتمثل في قلة الدراسات التي تناولت العلاقة بين إدارة الأزمات البيئية وجاهزية المنشآت الصناعية في سياق التسربات الكيميائية تحديداً، مما يفتح آفاقاً جديدة للباحثين لاستكمال البحث في هذا المجال</w:t>
      </w:r>
      <w:r w:rsidRPr="00E127A1">
        <w:rPr>
          <w:rFonts w:ascii="Sakkal Majalla" w:eastAsia="Times New Roman" w:hAnsi="Sakkal Majalla" w:cs="Sakkal Majalla"/>
          <w:color w:val="000000" w:themeColor="text1"/>
          <w:kern w:val="0"/>
          <w:sz w:val="28"/>
          <w:szCs w:val="28"/>
          <w14:ligatures w14:val="none"/>
        </w:rPr>
        <w:t>.</w:t>
      </w:r>
    </w:p>
    <w:p w14:paraId="3D94802B" w14:textId="77777777" w:rsidR="007467C7" w:rsidRPr="00E127A1" w:rsidRDefault="007467C7" w:rsidP="00062076">
      <w:pPr>
        <w:pStyle w:val="a8"/>
        <w:numPr>
          <w:ilvl w:val="0"/>
          <w:numId w:val="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تعزيز المعرفة النظرية بأبعاد جديدة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تُضيف الدراسة أبعاداً جديدة لمفهوم إدارة الأزمات البيئية من خلال تكييف الأبعاد النظرية مع خصوصية البيئة الصناعية السعودية وطبيعة التسربات الكيميائية، مما يُساهم في تطوير المفاهيم والنظريات ذات الصلة</w:t>
      </w:r>
      <w:r w:rsidRPr="00E127A1">
        <w:rPr>
          <w:rFonts w:ascii="Sakkal Majalla" w:eastAsia="Times New Roman" w:hAnsi="Sakkal Majalla" w:cs="Sakkal Majalla"/>
          <w:color w:val="000000" w:themeColor="text1"/>
          <w:kern w:val="0"/>
          <w:sz w:val="28"/>
          <w:szCs w:val="28"/>
          <w14:ligatures w14:val="none"/>
        </w:rPr>
        <w:t>.</w:t>
      </w:r>
    </w:p>
    <w:p w14:paraId="0505B6A2" w14:textId="77777777" w:rsidR="007467C7" w:rsidRPr="00E127A1" w:rsidRDefault="007467C7" w:rsidP="00062076">
      <w:pPr>
        <w:pStyle w:val="a8"/>
        <w:numPr>
          <w:ilvl w:val="0"/>
          <w:numId w:val="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lastRenderedPageBreak/>
        <w:t>توفير أداة قياس موثوقة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تُطور الدراسة أداة قياس (استبانة) محكمة علمياً لقياس أبعاد إدارة الأزمات البيئية وجاهزية المنشآت الصناعية، يمكن أن تُستخدم من قبل الباحثين في دراسات مستقبلية مماثلة</w:t>
      </w:r>
      <w:r w:rsidRPr="00E127A1">
        <w:rPr>
          <w:rFonts w:ascii="Sakkal Majalla" w:eastAsia="Times New Roman" w:hAnsi="Sakkal Majalla" w:cs="Sakkal Majalla"/>
          <w:color w:val="000000" w:themeColor="text1"/>
          <w:kern w:val="0"/>
          <w:sz w:val="28"/>
          <w:szCs w:val="28"/>
          <w14:ligatures w14:val="none"/>
        </w:rPr>
        <w:t>.</w:t>
      </w:r>
    </w:p>
    <w:p w14:paraId="473C237E" w14:textId="77777777" w:rsidR="007467C7" w:rsidRPr="00E127A1" w:rsidRDefault="007467C7" w:rsidP="00062076">
      <w:pPr>
        <w:pStyle w:val="a8"/>
        <w:numPr>
          <w:ilvl w:val="0"/>
          <w:numId w:val="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تأسيس قاعدة مرجعية للدراسات المستقبلية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تُوفر الدراسة قاعدة بيانات ونتائج علمية يمكن أن تكون مرجعاً أساسياً للباحثين والمهتمين بمجالات إدارة الأزمات البيئية والسلامة الصناعية والاستعداد لمواجهة التسربات الكيميائية</w:t>
      </w:r>
      <w:r w:rsidRPr="00E127A1">
        <w:rPr>
          <w:rFonts w:ascii="Sakkal Majalla" w:eastAsia="Times New Roman" w:hAnsi="Sakkal Majalla" w:cs="Sakkal Majalla"/>
          <w:color w:val="000000" w:themeColor="text1"/>
          <w:kern w:val="0"/>
          <w:sz w:val="28"/>
          <w:szCs w:val="28"/>
          <w14:ligatures w14:val="none"/>
        </w:rPr>
        <w:t>.</w:t>
      </w:r>
    </w:p>
    <w:p w14:paraId="692A6CEA"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ثانياً: الأهمية العملية (التطبيقية)</w:t>
      </w:r>
      <w:r w:rsidRPr="00E127A1">
        <w:rPr>
          <w:rFonts w:ascii="Sakkal Majalla" w:eastAsia="Times New Roman" w:hAnsi="Sakkal Majalla" w:cs="Sakkal Majalla"/>
          <w:b/>
          <w:bCs/>
          <w:color w:val="000000" w:themeColor="text1"/>
          <w:kern w:val="0"/>
          <w:sz w:val="32"/>
          <w:szCs w:val="32"/>
          <w14:ligatures w14:val="none"/>
        </w:rPr>
        <w:t>:</w:t>
      </w:r>
    </w:p>
    <w:p w14:paraId="1BA14C8A" w14:textId="77777777" w:rsidR="007467C7" w:rsidRPr="00E127A1" w:rsidRDefault="007467C7" w:rsidP="00062076">
      <w:pPr>
        <w:pStyle w:val="a8"/>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دعم صنّاع القرار في القطاع الصناعي</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تُزود الدراسة مديري المنشآت الصناعية وصنّاع القرار في المنطقة الشرقية بنتائج وتوصيات عملية تُساعدهم في تحسين سياسات وإجراءات إدارة الأزمات البيئية وتعزيز مستوى الجاهزية لمواجهة التسربات الكيميائية</w:t>
      </w:r>
      <w:r w:rsidRPr="00E127A1">
        <w:rPr>
          <w:rFonts w:ascii="Sakkal Majalla" w:eastAsia="Times New Roman" w:hAnsi="Sakkal Majalla" w:cs="Sakkal Majalla"/>
          <w:color w:val="000000" w:themeColor="text1"/>
          <w:kern w:val="0"/>
          <w:sz w:val="28"/>
          <w:szCs w:val="28"/>
          <w14:ligatures w14:val="none"/>
        </w:rPr>
        <w:t>.</w:t>
      </w:r>
    </w:p>
    <w:p w14:paraId="16020375" w14:textId="77777777" w:rsidR="007467C7" w:rsidRPr="00E127A1" w:rsidRDefault="007467C7" w:rsidP="00062076">
      <w:pPr>
        <w:pStyle w:val="a8"/>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تعزيز منظومة السلامة الصناعية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تُسهم نتائج الدراسة في تطوير منظومة السلامة الصناعية في المنشآت الصناعية بالمنطقة الشرقية من خلال تحديد نقاط القوة والضعف في ممارسات إدارة الأزمات البيئية الحالية واقتراح آليات تحسينها</w:t>
      </w:r>
      <w:r w:rsidRPr="00E127A1">
        <w:rPr>
          <w:rFonts w:ascii="Sakkal Majalla" w:eastAsia="Times New Roman" w:hAnsi="Sakkal Majalla" w:cs="Sakkal Majalla"/>
          <w:color w:val="000000" w:themeColor="text1"/>
          <w:kern w:val="0"/>
          <w:sz w:val="28"/>
          <w:szCs w:val="28"/>
          <w14:ligatures w14:val="none"/>
        </w:rPr>
        <w:t>.</w:t>
      </w:r>
    </w:p>
    <w:p w14:paraId="664B5141" w14:textId="77777777" w:rsidR="007467C7" w:rsidRPr="00E127A1" w:rsidRDefault="007467C7" w:rsidP="00062076">
      <w:pPr>
        <w:pStyle w:val="a8"/>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المواءمة مع رؤية المملكة 2030</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تتماشى الدراسة مع أهداف رؤية المملكة العربية السعودية 2030 التي تُركز على حماية البيئة وتعزيز السلامة الصناعية والتنمية المستدامة، مما يجعل نتائجها ذات قيمة استراتيجية في دعم السياسات الوطنية</w:t>
      </w:r>
      <w:r w:rsidRPr="00E127A1">
        <w:rPr>
          <w:rFonts w:ascii="Sakkal Majalla" w:eastAsia="Times New Roman" w:hAnsi="Sakkal Majalla" w:cs="Sakkal Majalla"/>
          <w:color w:val="000000" w:themeColor="text1"/>
          <w:kern w:val="0"/>
          <w:sz w:val="28"/>
          <w:szCs w:val="28"/>
          <w14:ligatures w14:val="none"/>
        </w:rPr>
        <w:t>.</w:t>
      </w:r>
    </w:p>
    <w:p w14:paraId="72791BD4" w14:textId="77777777" w:rsidR="007467C7" w:rsidRPr="00E127A1" w:rsidRDefault="007467C7" w:rsidP="00062076">
      <w:pPr>
        <w:pStyle w:val="a8"/>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حماية المجتمعات المحلية والبيئة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تُسهم الدراسة في تعزيز سلامة المجتمعات المحلية القريبة من المنشآت الصناعية في المنطقة الشرقية من خلال تقديم توصيات عملية تُقلل من مخاطر التسربات الكيميائية وتحدّ من آثارها السلبية على صحة الإنسان والبيئة</w:t>
      </w:r>
      <w:r w:rsidRPr="00E127A1">
        <w:rPr>
          <w:rFonts w:ascii="Sakkal Majalla" w:eastAsia="Times New Roman" w:hAnsi="Sakkal Majalla" w:cs="Sakkal Majalla"/>
          <w:color w:val="000000" w:themeColor="text1"/>
          <w:kern w:val="0"/>
          <w:sz w:val="28"/>
          <w:szCs w:val="28"/>
          <w14:ligatures w14:val="none"/>
        </w:rPr>
        <w:t>.</w:t>
      </w:r>
    </w:p>
    <w:p w14:paraId="2B2D7F77" w14:textId="77777777" w:rsidR="007467C7" w:rsidRPr="00E127A1" w:rsidRDefault="007467C7" w:rsidP="00062076">
      <w:pPr>
        <w:pStyle w:val="a8"/>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تحديد أولويات التطوير</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تُساعد الدراسة في تحديد البُعد الأكثر تأثيراً من أبعاد إدارة الأزمات البيئية على جاهزية المنشآت الصناعية، مما يُمكّن المسؤولين من توجيه الموارد والجهود نحو الأولويات الأكثر أهمية</w:t>
      </w:r>
      <w:r w:rsidRPr="00E127A1">
        <w:rPr>
          <w:rFonts w:ascii="Sakkal Majalla" w:eastAsia="Times New Roman" w:hAnsi="Sakkal Majalla" w:cs="Sakkal Majalla"/>
          <w:color w:val="000000" w:themeColor="text1"/>
          <w:kern w:val="0"/>
          <w:sz w:val="28"/>
          <w:szCs w:val="28"/>
          <w14:ligatures w14:val="none"/>
        </w:rPr>
        <w:t>.</w:t>
      </w:r>
    </w:p>
    <w:p w14:paraId="0B7FBDFE" w14:textId="77777777" w:rsidR="007467C7" w:rsidRPr="00E127A1" w:rsidRDefault="007467C7" w:rsidP="00062076">
      <w:pPr>
        <w:pStyle w:val="a8"/>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lastRenderedPageBreak/>
        <w:t>توجيه برامج التدريب والتأهيل</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تُوفر الدراسة مؤشرات عملية تُساعد في تصميم وتطوير برامج تدريب وتأهيل العاملين في المنشآت الصناعية على أساليب إدارة الأزمات البيئية والتعامل مع حالات التسربات الكيميائية بكفاءة وفاعلية</w:t>
      </w:r>
      <w:r w:rsidRPr="00E127A1">
        <w:rPr>
          <w:rFonts w:ascii="Sakkal Majalla" w:eastAsia="Times New Roman" w:hAnsi="Sakkal Majalla" w:cs="Sakkal Majalla"/>
          <w:color w:val="000000" w:themeColor="text1"/>
          <w:kern w:val="0"/>
          <w:sz w:val="28"/>
          <w:szCs w:val="28"/>
          <w14:ligatures w14:val="none"/>
        </w:rPr>
        <w:t>.</w:t>
      </w:r>
    </w:p>
    <w:p w14:paraId="3EA870DF" w14:textId="77777777" w:rsidR="007467C7" w:rsidRPr="00E127A1" w:rsidRDefault="007467C7" w:rsidP="00062076">
      <w:pPr>
        <w:pStyle w:val="a8"/>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دعم الجهات الرقابية والتنظيمية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تُقدم الدراسة نتائج وتوصيات يمكن أن تستفيد منها الجهات الرقابية والتنظيمية مثل الهيئة الملكية للجبيل وينبع والهيئة العامة للأرصاد وحماية البيئة في تطوير اللوائح والمعايير المتعلقة بإدارة الأزمات البيئية في المنشآت الصناعية</w:t>
      </w:r>
      <w:r w:rsidRPr="00E127A1">
        <w:rPr>
          <w:rFonts w:ascii="Sakkal Majalla" w:eastAsia="Times New Roman" w:hAnsi="Sakkal Majalla" w:cs="Sakkal Majalla"/>
          <w:color w:val="000000" w:themeColor="text1"/>
          <w:kern w:val="0"/>
          <w:sz w:val="28"/>
          <w:szCs w:val="28"/>
          <w14:ligatures w14:val="none"/>
        </w:rPr>
        <w:t>.</w:t>
      </w:r>
    </w:p>
    <w:p w14:paraId="5EFEEC4F" w14:textId="77777777" w:rsidR="007467C7" w:rsidRPr="00E127A1" w:rsidRDefault="007467C7" w:rsidP="00062076">
      <w:pPr>
        <w:pStyle w:val="a8"/>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تقليل الخسائر الاقتصادية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تُسهم نتائج الدراسة في مساعدة المنشآت الصناعية على تقليل الخسائر المادية والاقتصادية الناجمة عن التسربات الكيميائية من خلال تبني ممارسات فعالة في إدارة الأزمات البيئية وتعزيز الجاهزية الاستباقية</w:t>
      </w:r>
    </w:p>
    <w:p w14:paraId="6A884BF9" w14:textId="79C0F35D" w:rsidR="007467C7" w:rsidRPr="00E127A1" w:rsidRDefault="000011E2" w:rsidP="000011E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 w:name="_Toc228121467"/>
      <w:r w:rsidRPr="00E127A1">
        <w:rPr>
          <w:rFonts w:ascii="Sakkal Majalla" w:eastAsia="Times New Roman" w:hAnsi="Sakkal Majalla" w:cs="Sakkal Majalla" w:hint="cs"/>
          <w:b/>
          <w:bCs/>
          <w:color w:val="000000" w:themeColor="text1"/>
          <w:kern w:val="0"/>
          <w:sz w:val="36"/>
          <w:szCs w:val="36"/>
          <w:rtl/>
          <w14:ligatures w14:val="none"/>
        </w:rPr>
        <w:t xml:space="preserve">7.1 </w:t>
      </w:r>
      <w:r w:rsidR="007467C7" w:rsidRPr="00E127A1">
        <w:rPr>
          <w:rFonts w:ascii="Sakkal Majalla" w:eastAsia="Times New Roman" w:hAnsi="Sakkal Majalla" w:cs="Sakkal Majalla"/>
          <w:b/>
          <w:bCs/>
          <w:color w:val="000000" w:themeColor="text1"/>
          <w:kern w:val="0"/>
          <w:sz w:val="36"/>
          <w:szCs w:val="36"/>
          <w:rtl/>
          <w14:ligatures w14:val="none"/>
        </w:rPr>
        <w:t>الدراسات السابقة</w:t>
      </w:r>
      <w:bookmarkEnd w:id="7"/>
    </w:p>
    <w:p w14:paraId="09D77058"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أولاً: الدراسات العربية</w:t>
      </w:r>
    </w:p>
    <w:p w14:paraId="28FD8E20"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 (بن خيرة، 2022) بعنوان "إدارة الأزمات الاقتصادية: مقارنة بين أزمة الكساد 1929، والأزمة المالية 2008: دراسة تاريخية اقتصادية</w:t>
      </w:r>
      <w:r w:rsidRPr="00E127A1">
        <w:rPr>
          <w:rFonts w:ascii="Sakkal Majalla" w:eastAsia="Times New Roman" w:hAnsi="Sakkal Majalla" w:cs="Sakkal Majalla"/>
          <w:b/>
          <w:bCs/>
          <w:color w:val="000000" w:themeColor="text1"/>
          <w:kern w:val="0"/>
          <w:sz w:val="28"/>
          <w:szCs w:val="28"/>
          <w14:ligatures w14:val="none"/>
        </w:rPr>
        <w:t>"</w:t>
      </w:r>
    </w:p>
    <w:p w14:paraId="22423745"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أوجه الشبه والاختلاف بين الأزمة الاقتصادية عام 1929 والأزمة المالية عام 2008، من حيث أسبابها وتداعياتها وتأثيرها على الأنظمة الاقتصادية العالمية، وإبراز كيفية إدارة هذه الأزمات وآليات معالجتها ومدى جدواها. واستخدمت الدراسة المنهج التاريخي المقارن في تحليل الأزمتين. وتوصلت نتائج الدراسة إلى أنه بالرغم من كل الجهود والحلول المبذولة فإن آثار الأزمتين ما زالت تلقي بظلالها ونتائجها السلبية على الاقتصاد العالمي، وأن هناك حاجة ماسة للبحث عن بدائل أخرى لإدارة الأزمات الاقتصادية. وأوصت الدراسة بضرورة النظر في التمويل والصيرفة الإسلامية كبديل فعّال لإدارة الأزمات الاقتصادية، والعمل على تطوير آليات استباقية للوقاية من الأزمات المالية قبل وقوعها</w:t>
      </w:r>
      <w:r w:rsidRPr="00E127A1">
        <w:rPr>
          <w:rFonts w:ascii="Sakkal Majalla" w:eastAsia="Times New Roman" w:hAnsi="Sakkal Majalla" w:cs="Sakkal Majalla"/>
          <w:color w:val="000000" w:themeColor="text1"/>
          <w:kern w:val="0"/>
          <w:sz w:val="28"/>
          <w:szCs w:val="28"/>
          <w14:ligatures w14:val="none"/>
        </w:rPr>
        <w:t>.</w:t>
      </w:r>
    </w:p>
    <w:p w14:paraId="614F1D25" w14:textId="77777777" w:rsidR="007467C7" w:rsidRPr="00E127A1" w:rsidRDefault="00000000" w:rsidP="000011E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Pr>
          <w:rFonts w:ascii="Sakkal Majalla" w:eastAsia="Times New Roman" w:hAnsi="Sakkal Majalla" w:cs="Sakkal Majalla"/>
          <w:color w:val="000000" w:themeColor="text1"/>
          <w:kern w:val="0"/>
          <w:sz w:val="28"/>
          <w:szCs w:val="28"/>
          <w14:ligatures w14:val="none"/>
        </w:rPr>
        <w:pict w14:anchorId="6BFC2D57">
          <v:rect id="_x0000_i1025" style="width:0;height:1.5pt" o:hralign="center" o:hrstd="t" o:hr="t" fillcolor="#a0a0a0" stroked="f"/>
        </w:pict>
      </w:r>
    </w:p>
    <w:p w14:paraId="331DEE6E"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lastRenderedPageBreak/>
        <w:t>دراسة (المبارك، 2022) بعنوان "إدارة الأزمات: دراسة تطبيقية على إدارة أزمة كوفيد 19 كورونا في دولة الكويت</w:t>
      </w:r>
      <w:r w:rsidRPr="00E127A1">
        <w:rPr>
          <w:rFonts w:ascii="Sakkal Majalla" w:eastAsia="Times New Roman" w:hAnsi="Sakkal Majalla" w:cs="Sakkal Majalla"/>
          <w:b/>
          <w:bCs/>
          <w:color w:val="000000" w:themeColor="text1"/>
          <w:kern w:val="0"/>
          <w:sz w:val="28"/>
          <w:szCs w:val="28"/>
          <w14:ligatures w14:val="none"/>
        </w:rPr>
        <w:t>"</w:t>
      </w:r>
    </w:p>
    <w:p w14:paraId="1D849F30" w14:textId="5F97D6FA"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هدفت الدراسة إلى التعرف على تقييم تجربة وواقع الاستعداد والمعالجة لجائحة كورونا كوفيد-19 في دولة الكويت بأبعاده </w:t>
      </w:r>
      <w:r w:rsidRPr="00E127A1">
        <w:rPr>
          <w:rFonts w:ascii="Sakkal Majalla" w:eastAsia="Times New Roman" w:hAnsi="Sakkal Majalla" w:cs="Sakkal Majalla"/>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rtl/>
          <w14:ligatures w14:val="none"/>
        </w:rPr>
        <w:t>التخطيط لإدارة الأزمات، الاستعداد والجاهزية، فاعلية الإدارة والتخطيط</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على قطاعات الدولة والمنظمات التجارية في الكويت. واستخدمت الدراسة المنهج الوصفي التحليلي، واعتمدت الاستبانة كأداة رئيسية لجمع البيانات وتحليلها باستخدام برنامج التحليل الإحصائي</w:t>
      </w:r>
      <w:r w:rsidRPr="00E127A1">
        <w:rPr>
          <w:rFonts w:ascii="Sakkal Majalla" w:eastAsia="Times New Roman" w:hAnsi="Sakkal Majalla" w:cs="Sakkal Majalla"/>
          <w:color w:val="000000" w:themeColor="text1"/>
          <w:kern w:val="0"/>
          <w:sz w:val="28"/>
          <w:szCs w:val="28"/>
          <w14:ligatures w14:val="none"/>
        </w:rPr>
        <w:t xml:space="preserve"> SPSS. </w:t>
      </w:r>
      <w:r w:rsidRPr="00E127A1">
        <w:rPr>
          <w:rFonts w:ascii="Sakkal Majalla" w:eastAsia="Times New Roman" w:hAnsi="Sakkal Majalla" w:cs="Sakkal Majalla"/>
          <w:color w:val="000000" w:themeColor="text1"/>
          <w:kern w:val="0"/>
          <w:sz w:val="28"/>
          <w:szCs w:val="28"/>
          <w:rtl/>
          <w14:ligatures w14:val="none"/>
        </w:rPr>
        <w:t>وتكونت العينة من مجموعة من العاملين في قطاعات الدولة والمنظمات التجارية الكويتية. وتوصلت نتائج الدراسة إلى أن هناك نقصاً كبيراً في فهم الأزمات والقدرة على الاستعداد لها، وأن كثيراً من المنظمات والدول تغفل جانب الاستعداد والجاهزية. وأوصت الدراسة بضرورة رفع كفاءة القدرة والاستعداد والتخطيط في حال نشوء أزمات مستقبلية، وتعزيز ثقافة إدارة الأزمات على المستوى المؤسسي والوطني</w:t>
      </w:r>
      <w:r w:rsidRPr="00E127A1">
        <w:rPr>
          <w:rFonts w:ascii="Sakkal Majalla" w:eastAsia="Times New Roman" w:hAnsi="Sakkal Majalla" w:cs="Sakkal Majalla"/>
          <w:color w:val="000000" w:themeColor="text1"/>
          <w:kern w:val="0"/>
          <w:sz w:val="28"/>
          <w:szCs w:val="28"/>
          <w14:ligatures w14:val="none"/>
        </w:rPr>
        <w:t>.</w:t>
      </w:r>
    </w:p>
    <w:p w14:paraId="03DBC36A"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 (أبو سليم، 2022) بعنوان "دور الإدارة الاستراتيجية في إدارة الأزمات</w:t>
      </w:r>
      <w:r w:rsidRPr="00E127A1">
        <w:rPr>
          <w:rFonts w:ascii="Sakkal Majalla" w:eastAsia="Times New Roman" w:hAnsi="Sakkal Majalla" w:cs="Sakkal Majalla"/>
          <w:b/>
          <w:bCs/>
          <w:color w:val="000000" w:themeColor="text1"/>
          <w:kern w:val="0"/>
          <w:sz w:val="28"/>
          <w:szCs w:val="28"/>
          <w14:ligatures w14:val="none"/>
        </w:rPr>
        <w:t>"</w:t>
      </w:r>
    </w:p>
    <w:p w14:paraId="78CAF378" w14:textId="1B949DD3"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دور الإدارة الاستراتيجية بأبعادها (التخطيط الاستراتيجي، التنفيذ الاستراتيجي، الرقابة الاستراتيجية) على إدارة الأزمات في المؤسسات والشركات. واستخدمت الدراسة المنهج الوصفي التحليلي لتحديد مسائل الإدارة الاستراتيجية غير العادية في أوقات الأزمات. وتوصلت نتائج الدراسة إلى أن الآلية المقترحة للإدارة الاستراتيجية في مواقف الأزمات تُعد أداة فعالة لمنع وتصفية ظواهر الأزمات، وأنها تزيد من كفاءة اعتماد وتنفيذ الخطط الاستراتيجية لمواجهتها. وأوصت الدراسة باستخدام السيناريوهات المخططة وآليات إدارة المؤسسات أثناء الأزمة، مع الحفاظ على الحوكمة الصارمة لإجراءات الإدارة العليا وتحديد المهام الرئيسية لتحييد أحداث الأزمات</w:t>
      </w:r>
      <w:r w:rsidRPr="00E127A1">
        <w:rPr>
          <w:rFonts w:ascii="Sakkal Majalla" w:eastAsia="Times New Roman" w:hAnsi="Sakkal Majalla" w:cs="Sakkal Majalla"/>
          <w:color w:val="000000" w:themeColor="text1"/>
          <w:kern w:val="0"/>
          <w:sz w:val="28"/>
          <w:szCs w:val="28"/>
          <w14:ligatures w14:val="none"/>
        </w:rPr>
        <w:t>.</w:t>
      </w:r>
    </w:p>
    <w:p w14:paraId="1CEB4D97" w14:textId="77777777" w:rsidR="007467C7" w:rsidRPr="00E127A1" w:rsidRDefault="007467C7" w:rsidP="00062076">
      <w:pPr>
        <w:pStyle w:val="a8"/>
        <w:numPr>
          <w:ilvl w:val="0"/>
          <w:numId w:val="6"/>
        </w:numPr>
        <w:tabs>
          <w:tab w:val="right"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 (ستو ودربال، 2022) بعنوان "دور الرشاقة الاستراتيجية في إدارة الأزمات: الأزمة الصحية لجائحة فيروس كوفيد-19 أنموذجاً: دراسة حالة جامعة الوادي</w:t>
      </w:r>
      <w:r w:rsidRPr="00E127A1">
        <w:rPr>
          <w:rFonts w:ascii="Sakkal Majalla" w:eastAsia="Times New Roman" w:hAnsi="Sakkal Majalla" w:cs="Sakkal Majalla"/>
          <w:b/>
          <w:bCs/>
          <w:color w:val="000000" w:themeColor="text1"/>
          <w:kern w:val="0"/>
          <w:sz w:val="28"/>
          <w:szCs w:val="28"/>
          <w14:ligatures w14:val="none"/>
        </w:rPr>
        <w:t>"</w:t>
      </w:r>
    </w:p>
    <w:p w14:paraId="14AF0B2D" w14:textId="6E4ED3F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 xml:space="preserve">هدفت الدراسة إلى التعرف على دور الرشاقة الاستراتيجية بأبعادها (الحساسية الاستراتيجية، وحدة الالتزام الجماعي، سيولة الموارد) على إدارة الأزمات في جامعة الوادي بالجزائر وذلك بالتزامن مع الأزمة الصحية العالمية لفيروس كوفيد-19. واستخدمت الدراسة المنهج الوصفي التحليلي، واعتمدت الاستبيان كأداة لجمع البيانات. وتكونت العينة من </w:t>
      </w:r>
      <w:r w:rsidRPr="00E127A1">
        <w:rPr>
          <w:rFonts w:ascii="Sakkal Majalla" w:eastAsia="Times New Roman" w:hAnsi="Sakkal Majalla" w:cs="Sakkal Majalla"/>
          <w:color w:val="000000" w:themeColor="text1"/>
          <w:kern w:val="0"/>
          <w:sz w:val="28"/>
          <w:szCs w:val="28"/>
          <w14:ligatures w14:val="none"/>
        </w:rPr>
        <w:t xml:space="preserve">(80) </w:t>
      </w:r>
      <w:r w:rsidRPr="00E127A1">
        <w:rPr>
          <w:rFonts w:ascii="Sakkal Majalla" w:eastAsia="Times New Roman" w:hAnsi="Sakkal Majalla" w:cs="Sakkal Majalla"/>
          <w:color w:val="000000" w:themeColor="text1"/>
          <w:kern w:val="0"/>
          <w:sz w:val="28"/>
          <w:szCs w:val="28"/>
          <w:rtl/>
          <w14:ligatures w14:val="none"/>
        </w:rPr>
        <w:t>فرداً من الإطارات المسيّرة بجامعة الوادي. وتوصلت نتائج الدراسة إلى أن هناك علاقة ارتباط موجبة ومتوسطة بين أبعاد الرشاقة الاستراتيجية وإدارة الأزمات، وأن هناك أثراً إيجابياً للرشاقة الاستراتيجية بأبعادها في إدارة الأزمات. وأوصت الدراسة بضرورة تعزيز ممارسات الرشاقة الاستراتيجية في المؤسسات الجامعية لتمكينها من مواجهة الأزمات المستقبلية بكفاءة أعلى</w:t>
      </w:r>
      <w:r w:rsidRPr="00E127A1">
        <w:rPr>
          <w:rFonts w:ascii="Sakkal Majalla" w:eastAsia="Times New Roman" w:hAnsi="Sakkal Majalla" w:cs="Sakkal Majalla"/>
          <w:color w:val="000000" w:themeColor="text1"/>
          <w:kern w:val="0"/>
          <w:sz w:val="28"/>
          <w:szCs w:val="28"/>
          <w14:ligatures w14:val="none"/>
        </w:rPr>
        <w:t>.</w:t>
      </w:r>
    </w:p>
    <w:p w14:paraId="1A4C70AD"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 (الشريف والحكمي والتيس، 2024) بعنوان "دور القيادة الاستراتيجية الفعالة في إدارة الأزمات: دراسة تطبيقية على القيادات الإدارية بشركات الاتصالات السعودية</w:t>
      </w:r>
      <w:r w:rsidRPr="00E127A1">
        <w:rPr>
          <w:rFonts w:ascii="Sakkal Majalla" w:eastAsia="Times New Roman" w:hAnsi="Sakkal Majalla" w:cs="Sakkal Majalla"/>
          <w:b/>
          <w:bCs/>
          <w:color w:val="000000" w:themeColor="text1"/>
          <w:kern w:val="0"/>
          <w:sz w:val="28"/>
          <w:szCs w:val="28"/>
          <w14:ligatures w14:val="none"/>
        </w:rPr>
        <w:t>"</w:t>
      </w:r>
    </w:p>
    <w:p w14:paraId="5B0515C2" w14:textId="1469FACE"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دور القيادة الاستراتيجية الفعالة بأبعادها (التوجه الاستراتيجي، تطوير رأس المال البشري، المحافظة على الكفاءات، بناء ثقافة المنظمة، الممارسات الأخلاقية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على إدارة الأزمات في شركات الاتصالات السعودية. واستخدمت الدراسة المنهج الوصفي التحليلي، واعتمدت الاستبانة كأداة رئيسية لجمع البيانات. وتكونت العينة من (211) من القيادات الإدارية بشركات الاتصالات السعودية. وتوصلت نتائج الدراسة إلى وجود علاقة موجبة ذات دلالة إحصائية بين دور القيادة الاستراتيجية والتعلم من الأزمات الماضية، وكذلك وجود علاقة موجبة ذات دلالة إحصائية بين القيادة الاستراتيجية ومنع الأزمات القادمة. وأوصت الدراسة بضرورة مساهمة ممارسات القيادة الاستراتيجية في تطوير الإطار الأخلاقي والقيمي لدعم الأداء المؤسسي في المنظمة</w:t>
      </w:r>
      <w:r w:rsidRPr="00E127A1">
        <w:rPr>
          <w:rFonts w:ascii="Sakkal Majalla" w:eastAsia="Times New Roman" w:hAnsi="Sakkal Majalla" w:cs="Sakkal Majalla"/>
          <w:color w:val="000000" w:themeColor="text1"/>
          <w:kern w:val="0"/>
          <w:sz w:val="28"/>
          <w:szCs w:val="28"/>
          <w14:ligatures w14:val="none"/>
        </w:rPr>
        <w:t>.</w:t>
      </w:r>
    </w:p>
    <w:p w14:paraId="6D20A750"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 (السعيدي وعبدالرحمن، 2023) بعنوان "دور القيادة النشطة في إدارة الأزمات: دراسة حالة في دائرة صحة النجف الأشرف</w:t>
      </w:r>
      <w:r w:rsidRPr="00E127A1">
        <w:rPr>
          <w:rFonts w:ascii="Sakkal Majalla" w:eastAsia="Times New Roman" w:hAnsi="Sakkal Majalla" w:cs="Sakkal Majalla"/>
          <w:b/>
          <w:bCs/>
          <w:color w:val="000000" w:themeColor="text1"/>
          <w:kern w:val="0"/>
          <w:sz w:val="28"/>
          <w:szCs w:val="28"/>
          <w14:ligatures w14:val="none"/>
        </w:rPr>
        <w:t>"</w:t>
      </w:r>
    </w:p>
    <w:p w14:paraId="0C50A2E6" w14:textId="717E641D"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أثر القيادة النشطة بأبعادها (تحقيق الأهداف التنظيمية، اتخاذ القرارات الموضوعية، تحفيز العاملين، تمكين العاملين، بناء فريق العمل، حل النزاعات التنظيمية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 xml:space="preserve">على إدارة الأزمات بأبعادها (اكتشاف إشارات الإنذار، الاستعداد والوقاية، احتواء الأضرار، استعادة النشاط، </w:t>
      </w:r>
      <w:r w:rsidRPr="00E127A1">
        <w:rPr>
          <w:rFonts w:ascii="Sakkal Majalla" w:eastAsia="Times New Roman" w:hAnsi="Sakkal Majalla" w:cs="Sakkal Majalla"/>
          <w:color w:val="000000" w:themeColor="text1"/>
          <w:kern w:val="0"/>
          <w:sz w:val="28"/>
          <w:szCs w:val="28"/>
          <w:rtl/>
          <w14:ligatures w14:val="none"/>
        </w:rPr>
        <w:lastRenderedPageBreak/>
        <w:t>التعلم) في دائرة صحة النجف الأشرف</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واستخدمت الدراسة المنهج الكمي في تحليل البيانات، واعتمدت الاستبانة المحكمة علمياً كأداة لجمع البيانات والمكونة من (89) فقرة. وتكونت العينة من (112) من القيادات الإدارية العليا والوسطى في دائرة صحة النجف الأشرف التي شملت (9) مستشفيات و(20) مركزاً ومستوصفاً. وتوصلت نتائج الدراسة إلى وجود أثر إيجابي ومعنوي للقيادة النشطة في إدارة الأزمات. وأوصت الدراسة بتعزيز ممارسات القيادة النشطة في المؤسسات الصحية لتمكينها من التعامل الفعال مع الأزمات</w:t>
      </w:r>
      <w:r w:rsidRPr="00E127A1">
        <w:rPr>
          <w:rFonts w:ascii="Sakkal Majalla" w:eastAsia="Times New Roman" w:hAnsi="Sakkal Majalla" w:cs="Sakkal Majalla"/>
          <w:color w:val="000000" w:themeColor="text1"/>
          <w:kern w:val="0"/>
          <w:sz w:val="28"/>
          <w:szCs w:val="28"/>
          <w14:ligatures w14:val="none"/>
        </w:rPr>
        <w:t>.</w:t>
      </w:r>
    </w:p>
    <w:p w14:paraId="0C86058F"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 (عبدالله، 2024) بعنوان "دور التخطيط الاستراتيجي في إدارة الأزمات: دراسة حالة وزارة المالية - ولاية النيل الأبيض - السودان 2022م</w:t>
      </w:r>
      <w:r w:rsidRPr="00E127A1">
        <w:rPr>
          <w:rFonts w:ascii="Sakkal Majalla" w:eastAsia="Times New Roman" w:hAnsi="Sakkal Majalla" w:cs="Sakkal Majalla"/>
          <w:b/>
          <w:bCs/>
          <w:color w:val="000000" w:themeColor="text1"/>
          <w:kern w:val="0"/>
          <w:sz w:val="28"/>
          <w:szCs w:val="28"/>
          <w14:ligatures w14:val="none"/>
        </w:rPr>
        <w:t>"</w:t>
      </w:r>
    </w:p>
    <w:p w14:paraId="09AA4D65" w14:textId="096EB93E"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أهمية التخطيط الاستراتيجي بأبعاده (متطلبات نجاح التخطيط الاستراتيجي، معوقات نجاح التخطيط الاستراتيجي) على إدارة الأزمات في وزارة المالية بولاية النيل الأبيض في السودان. واستخدمت الدراسة المنهج الوصفي التحليلي والمنهج الاستنباطي والمنهج الاستقرائي لاختبار الفرضيات. وتوصلت نتائج الدراسة إلى أن متطلبات نجاح التخطيط الاستراتيجي لإدارة الأزمة تتمثل في التقويم المستمر للخطط الاستراتيجية والتعاون بين جميع الجهات المعنية والمتابعة المستمرة لتنفيذ الخطة والتحديد الدقيق للأهداف الاستراتيجية، في حين تتمثل المعوقات في نقص الموارد المالية وعدم رصد الوضع الراهن بالشكل الصحيح ونقص الخبرة في التخطيط الاستراتيجي. وأوصت الدراسة بضرورة تفعيل وسائل الاتصال الفعالة بين العاملين والإدارة العليا، والعمل على إشراك جميع العاملين في التخطيط الاستراتيجي</w:t>
      </w:r>
      <w:r w:rsidRPr="00E127A1">
        <w:rPr>
          <w:rFonts w:ascii="Sakkal Majalla" w:eastAsia="Times New Roman" w:hAnsi="Sakkal Majalla" w:cs="Sakkal Majalla"/>
          <w:color w:val="000000" w:themeColor="text1"/>
          <w:kern w:val="0"/>
          <w:sz w:val="28"/>
          <w:szCs w:val="28"/>
          <w14:ligatures w14:val="none"/>
        </w:rPr>
        <w:t>.</w:t>
      </w:r>
    </w:p>
    <w:p w14:paraId="6567C62C"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 (خميس وحمد، 2024) بعنوان "دور إدارة الأزمات في تحسين الأداء المؤسسي: دراسة تطبيقية على القطاع الصحي بمدينة جازان بالمملكة العربية السعودية</w:t>
      </w:r>
      <w:r w:rsidRPr="00E127A1">
        <w:rPr>
          <w:rFonts w:ascii="Sakkal Majalla" w:eastAsia="Times New Roman" w:hAnsi="Sakkal Majalla" w:cs="Sakkal Majalla"/>
          <w:b/>
          <w:bCs/>
          <w:color w:val="000000" w:themeColor="text1"/>
          <w:kern w:val="0"/>
          <w:sz w:val="28"/>
          <w:szCs w:val="28"/>
          <w14:ligatures w14:val="none"/>
        </w:rPr>
        <w:t>"</w:t>
      </w:r>
    </w:p>
    <w:p w14:paraId="4F5C51C1" w14:textId="6DFF2CC1"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دور إدارة الأزمات بأبعادها (الإنذار المبكر، الاستعداد والوقاية، الاحتواء وتقليل الأضرار، التحسين واستعادة النشاط، التغذية العكسية) على تحسين الأداء المؤسسي بأبعاده (الغاية والرؤية الاستراتيجية، الثقافة المؤسسية والقيادة، بناء قيمة مستدامة، انطباعات المعنيين ورضا العملاء، إدارة العمليات، تنمية وتمكين الأفراد والتعلم المستمر) في القطاع الصحي بمدينة جازان</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 xml:space="preserve">واستخدمت الدراسة المنهج الوصفي التحليلي. وتوصلت نتائج الدراسة إلى وجود علاقة معنوية ذات دلالة </w:t>
      </w:r>
      <w:r w:rsidRPr="00E127A1">
        <w:rPr>
          <w:rFonts w:ascii="Sakkal Majalla" w:eastAsia="Times New Roman" w:hAnsi="Sakkal Majalla" w:cs="Sakkal Majalla"/>
          <w:color w:val="000000" w:themeColor="text1"/>
          <w:kern w:val="0"/>
          <w:sz w:val="28"/>
          <w:szCs w:val="28"/>
          <w:rtl/>
          <w14:ligatures w14:val="none"/>
        </w:rPr>
        <w:lastRenderedPageBreak/>
        <w:t>إحصائية للمتغير المستقل (إدارة الأزمات) على المتغير التابع (الأداء المؤسسي) في القطاع الصحي، وأن جميع أبعاد إدارة الأزمات لها تأثير إيجابي على تحسين الأداء الصحي. وأوصت الدراسة بتعزيز أنظمة الإنذار المبكر والاستعداد والوقاية في المنشآت الصحية</w:t>
      </w:r>
      <w:r w:rsidRPr="00E127A1">
        <w:rPr>
          <w:rFonts w:ascii="Sakkal Majalla" w:eastAsia="Times New Roman" w:hAnsi="Sakkal Majalla" w:cs="Sakkal Majalla"/>
          <w:color w:val="000000" w:themeColor="text1"/>
          <w:kern w:val="0"/>
          <w:sz w:val="28"/>
          <w:szCs w:val="28"/>
          <w14:ligatures w14:val="none"/>
        </w:rPr>
        <w:t>.</w:t>
      </w:r>
    </w:p>
    <w:p w14:paraId="23B9471C"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 (حسين وعلوان، 2023) بعنوان "تأثير الجاهزية التنظيمية في تعزيز التجديد الاستراتيجي: دراسة استطلاعية لآراء عينة من العاملين في دائرة صحة نينوى</w:t>
      </w:r>
      <w:r w:rsidRPr="00E127A1">
        <w:rPr>
          <w:rFonts w:ascii="Sakkal Majalla" w:eastAsia="Times New Roman" w:hAnsi="Sakkal Majalla" w:cs="Sakkal Majalla"/>
          <w:b/>
          <w:bCs/>
          <w:color w:val="000000" w:themeColor="text1"/>
          <w:kern w:val="0"/>
          <w:sz w:val="28"/>
          <w:szCs w:val="28"/>
          <w14:ligatures w14:val="none"/>
        </w:rPr>
        <w:t>"</w:t>
      </w:r>
    </w:p>
    <w:p w14:paraId="44E4F70A" w14:textId="5DA50D7D"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مستوى تأثير الجاهزية التنظيمية بأبعادها (دعم الإدارة العليا، الثقافة التنظيمية، المرونة التنظيمية، وضوح الرؤية) على التجديد الاستراتيجي بأبعاده (الاستكشاف، ريادة الأعمال، استثمار الفرص، مشاركة القيادة) في دائرة صحة نينوى بالعراق. واستخدمت الدراسة المنهج الوصفي التحليلي، واعتمدت الاستبانة كأداة رئيسية لجمع البيانات. وتكونت العينة من (226) استبانة صالحة للتحليل الإحصائي من أصل (240) استبانة وُزعت على العاملين في المنظمة من مجتمع بلغ حجمه (635). وتوصلت نتائج الدراسة إلى وجود علاقة ارتباط معنوية إيجابية بين الجاهزية التنظيمية والتجديد الاستراتيجي، مما يعني أن إدراك العاملين لمكونات الجاهزية التنظيمية يسهم في تعزيز التجديد الاستراتيجي. وأوصت الدراسة بضرورة تعزيز أبعاد الجاهزية التنظيمية لانعكاسها الإيجابي على الأداء التنظيمي</w:t>
      </w:r>
      <w:r w:rsidRPr="00E127A1">
        <w:rPr>
          <w:rFonts w:ascii="Sakkal Majalla" w:eastAsia="Times New Roman" w:hAnsi="Sakkal Majalla" w:cs="Sakkal Majalla"/>
          <w:color w:val="000000" w:themeColor="text1"/>
          <w:kern w:val="0"/>
          <w:sz w:val="28"/>
          <w:szCs w:val="28"/>
          <w14:ligatures w14:val="none"/>
        </w:rPr>
        <w:t>.</w:t>
      </w:r>
    </w:p>
    <w:p w14:paraId="1EE620EA"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 xml:space="preserve">دراسة (البصو، 2025) بعنوان </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b/>
          <w:bCs/>
          <w:color w:val="000000" w:themeColor="text1"/>
          <w:kern w:val="0"/>
          <w:sz w:val="28"/>
          <w:szCs w:val="28"/>
          <w:rtl/>
          <w14:ligatures w14:val="none"/>
        </w:rPr>
        <w:t>دور الجاهزية الاستراتيجية في تعزيز النجاح المنظمي: دراسة مسحية تحليلية لآراء عينة من أعضاء الهيئة التدريسية في جامعة الموصل</w:t>
      </w:r>
      <w:r w:rsidRPr="00E127A1">
        <w:rPr>
          <w:rFonts w:ascii="Sakkal Majalla" w:eastAsia="Times New Roman" w:hAnsi="Sakkal Majalla" w:cs="Sakkal Majalla"/>
          <w:b/>
          <w:bCs/>
          <w:color w:val="000000" w:themeColor="text1"/>
          <w:kern w:val="0"/>
          <w:sz w:val="28"/>
          <w:szCs w:val="28"/>
          <w14:ligatures w14:val="none"/>
        </w:rPr>
        <w:t>"</w:t>
      </w:r>
    </w:p>
    <w:p w14:paraId="1A879EBB" w14:textId="348F296A"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دور الجاهزية الاستراتيجية بأبعادها (القيادة، التراصف الاستراتيجي، الجاهزية التكنولوجية، الثقافة، العمل الجماعي) على النجاح المنظمي بأبعاده (الرؤية الاستراتيجية، النشاط العملياتي، اختيار الأفراد، المراجعة والتقييم) في جامعة الموصل. واستخدمت الدراسة المنهج الوصفي التحليلي، واعتمدت الاستبانة في جمع البيانات وتحليلها باستخدام برنامج</w:t>
      </w:r>
      <w:r w:rsidRPr="00E127A1">
        <w:rPr>
          <w:rFonts w:ascii="Sakkal Majalla" w:eastAsia="Times New Roman" w:hAnsi="Sakkal Majalla" w:cs="Sakkal Majalla"/>
          <w:color w:val="000000" w:themeColor="text1"/>
          <w:kern w:val="0"/>
          <w:sz w:val="28"/>
          <w:szCs w:val="28"/>
          <w14:ligatures w14:val="none"/>
        </w:rPr>
        <w:t xml:space="preserve"> (SPSS V. 26). </w:t>
      </w:r>
      <w:r w:rsidRPr="00E127A1">
        <w:rPr>
          <w:rFonts w:ascii="Sakkal Majalla" w:eastAsia="Times New Roman" w:hAnsi="Sakkal Majalla" w:cs="Sakkal Majalla"/>
          <w:color w:val="000000" w:themeColor="text1"/>
          <w:kern w:val="0"/>
          <w:sz w:val="28"/>
          <w:szCs w:val="28"/>
          <w:rtl/>
          <w14:ligatures w14:val="none"/>
        </w:rPr>
        <w:t xml:space="preserve">وتكونت العينة من </w:t>
      </w:r>
      <w:r w:rsidRPr="00E127A1">
        <w:rPr>
          <w:rFonts w:ascii="Sakkal Majalla" w:eastAsia="Times New Roman" w:hAnsi="Sakkal Majalla" w:cs="Sakkal Majalla"/>
          <w:color w:val="000000" w:themeColor="text1"/>
          <w:kern w:val="0"/>
          <w:sz w:val="28"/>
          <w:szCs w:val="28"/>
          <w14:ligatures w14:val="none"/>
        </w:rPr>
        <w:t xml:space="preserve">(201) </w:t>
      </w:r>
      <w:r w:rsidRPr="00E127A1">
        <w:rPr>
          <w:rFonts w:ascii="Sakkal Majalla" w:eastAsia="Times New Roman" w:hAnsi="Sakkal Majalla" w:cs="Sakkal Majalla"/>
          <w:color w:val="000000" w:themeColor="text1"/>
          <w:kern w:val="0"/>
          <w:sz w:val="28"/>
          <w:szCs w:val="28"/>
          <w:rtl/>
          <w14:ligatures w14:val="none"/>
        </w:rPr>
        <w:t xml:space="preserve">مستجيباً من أعضاء الهيئة التدريسية في جامعة الموصل. وتوصلت نتائج الدراسة إلى أن للجاهزية الاستراتيجية دوراً فاعلاً ومهماً في تحقيق النجاح المنظمي. وأوصت الدراسة بأنه </w:t>
      </w:r>
      <w:r w:rsidRPr="00E127A1">
        <w:rPr>
          <w:rFonts w:ascii="Sakkal Majalla" w:eastAsia="Times New Roman" w:hAnsi="Sakkal Majalla" w:cs="Sakkal Majalla"/>
          <w:color w:val="000000" w:themeColor="text1"/>
          <w:kern w:val="0"/>
          <w:sz w:val="28"/>
          <w:szCs w:val="28"/>
          <w:rtl/>
          <w14:ligatures w14:val="none"/>
        </w:rPr>
        <w:lastRenderedPageBreak/>
        <w:t>ينبغي على جميع المنظمات العمل على تعزيز جاهزيتها الاستراتيجية باستمرار لتتمكن من الأخذ بدورها الفاعل في تحقيق النجاح المنظمي</w:t>
      </w:r>
      <w:r w:rsidRPr="00E127A1">
        <w:rPr>
          <w:rFonts w:ascii="Sakkal Majalla" w:eastAsia="Times New Roman" w:hAnsi="Sakkal Majalla" w:cs="Sakkal Majalla"/>
          <w:color w:val="000000" w:themeColor="text1"/>
          <w:kern w:val="0"/>
          <w:sz w:val="28"/>
          <w:szCs w:val="28"/>
          <w14:ligatures w14:val="none"/>
        </w:rPr>
        <w:t>.</w:t>
      </w:r>
    </w:p>
    <w:p w14:paraId="5FE12BB2"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ثانياً: الدراسات الأجنبية</w:t>
      </w:r>
    </w:p>
    <w:p w14:paraId="5C563B9B"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w:t>
      </w:r>
      <w:r w:rsidRPr="00E127A1">
        <w:rPr>
          <w:rFonts w:ascii="Sakkal Majalla" w:eastAsia="Times New Roman" w:hAnsi="Sakkal Majalla" w:cs="Sakkal Majalla"/>
          <w:b/>
          <w:bCs/>
          <w:color w:val="000000" w:themeColor="text1"/>
          <w:kern w:val="0"/>
          <w:sz w:val="28"/>
          <w:szCs w:val="28"/>
          <w14:ligatures w14:val="none"/>
        </w:rPr>
        <w:t xml:space="preserve"> (Hamza, Elemam &amp; Abuosekken, 2023) </w:t>
      </w:r>
      <w:r w:rsidRPr="00E127A1">
        <w:rPr>
          <w:rFonts w:ascii="Sakkal Majalla" w:eastAsia="Times New Roman" w:hAnsi="Sakkal Majalla" w:cs="Sakkal Majalla"/>
          <w:b/>
          <w:bCs/>
          <w:color w:val="000000" w:themeColor="text1"/>
          <w:kern w:val="0"/>
          <w:sz w:val="28"/>
          <w:szCs w:val="28"/>
          <w:rtl/>
          <w14:ligatures w14:val="none"/>
        </w:rPr>
        <w:t>بعنوان</w:t>
      </w:r>
      <w:r w:rsidRPr="00E127A1">
        <w:rPr>
          <w:rFonts w:ascii="Sakkal Majalla" w:eastAsia="Times New Roman" w:hAnsi="Sakkal Majalla" w:cs="Sakkal Majalla"/>
          <w:b/>
          <w:bCs/>
          <w:color w:val="000000" w:themeColor="text1"/>
          <w:kern w:val="0"/>
          <w:sz w:val="28"/>
          <w:szCs w:val="28"/>
          <w14:ligatures w14:val="none"/>
        </w:rPr>
        <w:t xml:space="preserve"> "The Role of Strategic Planning in Environmental Crisis Management: Article Review and Case Study"</w:t>
      </w:r>
    </w:p>
    <w:p w14:paraId="028B41E9" w14:textId="3122A69B"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دور التخطيط الاستراتيجي بأبعاده (التحليل البيئي، تقييم القدرات، تطوير الرؤية والرسالة، تحديد الأهداف الاستراتيجية، تطوير الاستراتيجيات، التنفيذ، المراقبة والتقييم المستمر) على إدارة الأزمات البيئية في المؤسسات والحكومات. واستخدمت الدراسة المنهج الوصفي التحليلي من خلال مراجعة الأدبيات ودراسة حالة (فيضانات ليبيا - عاصفة دانيال سبتمبر 2023). وتوصلت نتائج الدراسة إلى أن التخطيط الاستراتيجي يؤدي دوراً محورياً في إدارة الأزمات البيئية من خلال تقييم المخاطر وتخصيص الموارد والتنسيق والتحسين المستمر، وأن ضعف البنية التحتية وعدم الاستعداد الكافي وعدم الاستقرار السياسي يزيد من حدة الكوارث البيئية. وأوصت الدراسة بتعزيز التعاون والتنسيق بين الجهات المعنية، ودمج التكنولوجيا والابتكار في الاستجابة للأزمات، وتثقيف الجمهور بالمخاطر البيئية، ودمج الاستدامة في التخطيط الاستراتيجي</w:t>
      </w:r>
      <w:r w:rsidRPr="00E127A1">
        <w:rPr>
          <w:rFonts w:ascii="Sakkal Majalla" w:eastAsia="Times New Roman" w:hAnsi="Sakkal Majalla" w:cs="Sakkal Majalla"/>
          <w:color w:val="000000" w:themeColor="text1"/>
          <w:kern w:val="0"/>
          <w:sz w:val="28"/>
          <w:szCs w:val="28"/>
          <w14:ligatures w14:val="none"/>
        </w:rPr>
        <w:t>.</w:t>
      </w:r>
    </w:p>
    <w:p w14:paraId="336C2AF0"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w:t>
      </w:r>
      <w:r w:rsidRPr="00E127A1">
        <w:rPr>
          <w:rFonts w:ascii="Sakkal Majalla" w:eastAsia="Times New Roman" w:hAnsi="Sakkal Majalla" w:cs="Sakkal Majalla"/>
          <w:b/>
          <w:bCs/>
          <w:color w:val="000000" w:themeColor="text1"/>
          <w:kern w:val="0"/>
          <w:sz w:val="28"/>
          <w:szCs w:val="28"/>
          <w14:ligatures w14:val="none"/>
        </w:rPr>
        <w:t xml:space="preserve"> (Glova Végsöová &amp; Grabara, 2024) </w:t>
      </w:r>
      <w:r w:rsidRPr="00E127A1">
        <w:rPr>
          <w:rFonts w:ascii="Sakkal Majalla" w:eastAsia="Times New Roman" w:hAnsi="Sakkal Majalla" w:cs="Sakkal Majalla"/>
          <w:b/>
          <w:bCs/>
          <w:color w:val="000000" w:themeColor="text1"/>
          <w:kern w:val="0"/>
          <w:sz w:val="28"/>
          <w:szCs w:val="28"/>
          <w:rtl/>
          <w14:ligatures w14:val="none"/>
        </w:rPr>
        <w:t>بعنوان</w:t>
      </w:r>
      <w:r w:rsidRPr="00E127A1">
        <w:rPr>
          <w:rFonts w:ascii="Sakkal Majalla" w:eastAsia="Times New Roman" w:hAnsi="Sakkal Majalla" w:cs="Sakkal Majalla"/>
          <w:b/>
          <w:bCs/>
          <w:color w:val="000000" w:themeColor="text1"/>
          <w:kern w:val="0"/>
          <w:sz w:val="28"/>
          <w:szCs w:val="28"/>
          <w14:ligatures w14:val="none"/>
        </w:rPr>
        <w:t xml:space="preserve"> "Assessing Crisis Management Tools for Sustainability of Industrial Safety"</w:t>
      </w:r>
    </w:p>
    <w:p w14:paraId="492C99D5" w14:textId="28A4E388"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فاعلية أدوات إدارة الأزمات بأبعادها (النمذجة الكمية لمناطق الخطر، التخطيط المسبق للطوارئ، الاستجابة الفورية في الوقت الحقيقي) على استدامة السلامة الصناعية في حالات تسرب الأمونيا من المنشآت الصناعية. واستخدمت الدراسة المنهج التجريبي التحليلي من خلال محاكاة سيناريوهات تسرب المواد الخطرة باستخدام برنامج</w:t>
      </w:r>
      <w:r w:rsidRPr="00E127A1">
        <w:rPr>
          <w:rFonts w:ascii="Sakkal Majalla" w:eastAsia="Times New Roman" w:hAnsi="Sakkal Majalla" w:cs="Sakkal Majalla"/>
          <w:color w:val="000000" w:themeColor="text1"/>
          <w:kern w:val="0"/>
          <w:sz w:val="28"/>
          <w:szCs w:val="28"/>
          <w14:ligatures w14:val="none"/>
        </w:rPr>
        <w:t xml:space="preserve"> ALOHA 5.4.7 </w:t>
      </w:r>
      <w:r w:rsidRPr="00E127A1">
        <w:rPr>
          <w:rFonts w:ascii="Sakkal Majalla" w:eastAsia="Times New Roman" w:hAnsi="Sakkal Majalla" w:cs="Sakkal Majalla"/>
          <w:color w:val="000000" w:themeColor="text1"/>
          <w:kern w:val="0"/>
          <w:sz w:val="28"/>
          <w:szCs w:val="28"/>
          <w:rtl/>
          <w14:ligatures w14:val="none"/>
        </w:rPr>
        <w:t>ونظام</w:t>
      </w:r>
      <w:r w:rsidRPr="00E127A1">
        <w:rPr>
          <w:rFonts w:ascii="Sakkal Majalla" w:eastAsia="Times New Roman" w:hAnsi="Sakkal Majalla" w:cs="Sakkal Majalla"/>
          <w:color w:val="000000" w:themeColor="text1"/>
          <w:kern w:val="0"/>
          <w:sz w:val="28"/>
          <w:szCs w:val="28"/>
          <w14:ligatures w14:val="none"/>
        </w:rPr>
        <w:t xml:space="preserve"> CAMEO 4.1 </w:t>
      </w:r>
      <w:r w:rsidRPr="00E127A1">
        <w:rPr>
          <w:rFonts w:ascii="Sakkal Majalla" w:eastAsia="Times New Roman" w:hAnsi="Sakkal Majalla" w:cs="Sakkal Majalla"/>
          <w:color w:val="000000" w:themeColor="text1"/>
          <w:kern w:val="0"/>
          <w:sz w:val="28"/>
          <w:szCs w:val="28"/>
          <w:rtl/>
          <w14:ligatures w14:val="none"/>
        </w:rPr>
        <w:t>مع دمج نظم المعلومات الجغرافية</w:t>
      </w:r>
      <w:r w:rsidRPr="00E127A1">
        <w:rPr>
          <w:rFonts w:ascii="Sakkal Majalla" w:eastAsia="Times New Roman" w:hAnsi="Sakkal Majalla" w:cs="Sakkal Majalla"/>
          <w:color w:val="000000" w:themeColor="text1"/>
          <w:kern w:val="0"/>
          <w:sz w:val="28"/>
          <w:szCs w:val="28"/>
          <w14:ligatures w14:val="none"/>
        </w:rPr>
        <w:t xml:space="preserve"> GIS. </w:t>
      </w:r>
      <w:r w:rsidRPr="00E127A1">
        <w:rPr>
          <w:rFonts w:ascii="Sakkal Majalla" w:eastAsia="Times New Roman" w:hAnsi="Sakkal Majalla" w:cs="Sakkal Majalla"/>
          <w:color w:val="000000" w:themeColor="text1"/>
          <w:kern w:val="0"/>
          <w:sz w:val="28"/>
          <w:szCs w:val="28"/>
          <w:rtl/>
          <w14:ligatures w14:val="none"/>
        </w:rPr>
        <w:t>وتوصلت نتائج الدراسة إلى أن أدوات إدارة الأزمات مثل</w:t>
      </w:r>
      <w:r w:rsidRPr="00E127A1">
        <w:rPr>
          <w:rFonts w:ascii="Sakkal Majalla" w:eastAsia="Times New Roman" w:hAnsi="Sakkal Majalla" w:cs="Sakkal Majalla"/>
          <w:color w:val="000000" w:themeColor="text1"/>
          <w:kern w:val="0"/>
          <w:sz w:val="28"/>
          <w:szCs w:val="28"/>
          <w14:ligatures w14:val="none"/>
        </w:rPr>
        <w:t xml:space="preserve"> ALOHA </w:t>
      </w:r>
      <w:r w:rsidRPr="00E127A1">
        <w:rPr>
          <w:rFonts w:ascii="Sakkal Majalla" w:eastAsia="Times New Roman" w:hAnsi="Sakkal Majalla" w:cs="Sakkal Majalla"/>
          <w:color w:val="000000" w:themeColor="text1"/>
          <w:kern w:val="0"/>
          <w:sz w:val="28"/>
          <w:szCs w:val="28"/>
          <w:rtl/>
          <w14:ligatures w14:val="none"/>
        </w:rPr>
        <w:lastRenderedPageBreak/>
        <w:t>فعالة في نمذجة الحوادث قصيرة المدى وتحديد مناطق الخطر وتخطيط مسارات الإخلاء، إلا أنها تحتاج إلى تحسين في التكيف مع الظروف المتغيرة في الوقت الحقيقي. وأوصت الدراسة بضرورة دمج تقنيات الذكاء الاصطناعي والطائرات بدون طيار ونظم المعلومات الجغرافية لتحسين دقة التنبؤ والاستجابة السريعة للأزمات الصناعية</w:t>
      </w:r>
      <w:r w:rsidRPr="00E127A1">
        <w:rPr>
          <w:rFonts w:ascii="Sakkal Majalla" w:eastAsia="Times New Roman" w:hAnsi="Sakkal Majalla" w:cs="Sakkal Majalla"/>
          <w:color w:val="000000" w:themeColor="text1"/>
          <w:kern w:val="0"/>
          <w:sz w:val="28"/>
          <w:szCs w:val="28"/>
          <w14:ligatures w14:val="none"/>
        </w:rPr>
        <w:t>.</w:t>
      </w:r>
    </w:p>
    <w:p w14:paraId="4F1667B4"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w:t>
      </w:r>
      <w:r w:rsidRPr="00E127A1">
        <w:rPr>
          <w:rFonts w:ascii="Sakkal Majalla" w:eastAsia="Times New Roman" w:hAnsi="Sakkal Majalla" w:cs="Sakkal Majalla"/>
          <w:b/>
          <w:bCs/>
          <w:color w:val="000000" w:themeColor="text1"/>
          <w:kern w:val="0"/>
          <w:sz w:val="28"/>
          <w:szCs w:val="28"/>
          <w14:ligatures w14:val="none"/>
        </w:rPr>
        <w:t xml:space="preserve"> (Rajlić, Panić &amp; Đoković, 2025) </w:t>
      </w:r>
      <w:r w:rsidRPr="00E127A1">
        <w:rPr>
          <w:rFonts w:ascii="Sakkal Majalla" w:eastAsia="Times New Roman" w:hAnsi="Sakkal Majalla" w:cs="Sakkal Majalla"/>
          <w:b/>
          <w:bCs/>
          <w:color w:val="000000" w:themeColor="text1"/>
          <w:kern w:val="0"/>
          <w:sz w:val="28"/>
          <w:szCs w:val="28"/>
          <w:rtl/>
          <w14:ligatures w14:val="none"/>
        </w:rPr>
        <w:t>بعنوان</w:t>
      </w:r>
      <w:r w:rsidRPr="00E127A1">
        <w:rPr>
          <w:rFonts w:ascii="Sakkal Majalla" w:eastAsia="Times New Roman" w:hAnsi="Sakkal Majalla" w:cs="Sakkal Majalla"/>
          <w:b/>
          <w:bCs/>
          <w:color w:val="000000" w:themeColor="text1"/>
          <w:kern w:val="0"/>
          <w:sz w:val="28"/>
          <w:szCs w:val="28"/>
          <w14:ligatures w14:val="none"/>
        </w:rPr>
        <w:t xml:space="preserve"> "Readiness of Large Industrial Facilities for Emergency Situations - Theory and Practice"</w:t>
      </w:r>
    </w:p>
    <w:p w14:paraId="60472F29" w14:textId="2C95FF15"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مستوى جاهزية المنشآت الصناعية الكبيرة بأبعادها (الوقاية، التحضير، الاستجابة، التعافي) لمواجهة حالات الطوارئ، من خلال تحليل الجوانب النظرية والتطبيقية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واستخدمت الدراسة المنهج الوصفي التحليلي من خلال مراجعة الأطر الدولية مثل إطار هيوغو وسينداي للحد من مخاطر الكوارث، وتحليل دراسات حالة واقعية شملت الفيضانات والحرائق والزلازل وجائحة كوفيد-19. وتوصلت نتائج الدراسة إلى أن كثيراً من المنشآت الصناعية تفتقر إلى التطبيق العملي والتدريب رغم وجود وثائق التخطيط، مما يؤدي إلى استجابات غير منسقة، وأن الشركات التي تنظم تدريبات محاكاة بشكل منتظم تنخفض لديها الحوادث بنسبة 40%. وأوصت الدراسة بضرورة التحسين المستمر لأنظمة الجاهزية للطوارئ وتكامل النظرية مع التطبيق، وإجراء تدريبات عملية غير معلنة تحاكي المواقف الحقيقية، واستخدام تقنيات الواقع الافتراضي في التدريب</w:t>
      </w:r>
      <w:r w:rsidRPr="00E127A1">
        <w:rPr>
          <w:rFonts w:ascii="Sakkal Majalla" w:eastAsia="Times New Roman" w:hAnsi="Sakkal Majalla" w:cs="Sakkal Majalla"/>
          <w:color w:val="000000" w:themeColor="text1"/>
          <w:kern w:val="0"/>
          <w:sz w:val="28"/>
          <w:szCs w:val="28"/>
          <w14:ligatures w14:val="none"/>
        </w:rPr>
        <w:t>.</w:t>
      </w:r>
    </w:p>
    <w:p w14:paraId="25E92332"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w:t>
      </w:r>
      <w:r w:rsidRPr="00E127A1">
        <w:rPr>
          <w:rFonts w:ascii="Sakkal Majalla" w:eastAsia="Times New Roman" w:hAnsi="Sakkal Majalla" w:cs="Sakkal Majalla"/>
          <w:b/>
          <w:bCs/>
          <w:color w:val="000000" w:themeColor="text1"/>
          <w:kern w:val="0"/>
          <w:sz w:val="28"/>
          <w:szCs w:val="28"/>
          <w14:ligatures w14:val="none"/>
        </w:rPr>
        <w:t xml:space="preserve"> (Damaševičius, Bacanin &amp; Misra, 2023) </w:t>
      </w:r>
      <w:r w:rsidRPr="00E127A1">
        <w:rPr>
          <w:rFonts w:ascii="Sakkal Majalla" w:eastAsia="Times New Roman" w:hAnsi="Sakkal Majalla" w:cs="Sakkal Majalla"/>
          <w:b/>
          <w:bCs/>
          <w:color w:val="000000" w:themeColor="text1"/>
          <w:kern w:val="0"/>
          <w:sz w:val="28"/>
          <w:szCs w:val="28"/>
          <w:rtl/>
          <w14:ligatures w14:val="none"/>
        </w:rPr>
        <w:t>بعنوان</w:t>
      </w:r>
      <w:r w:rsidRPr="00E127A1">
        <w:rPr>
          <w:rFonts w:ascii="Sakkal Majalla" w:eastAsia="Times New Roman" w:hAnsi="Sakkal Majalla" w:cs="Sakkal Majalla"/>
          <w:b/>
          <w:bCs/>
          <w:color w:val="000000" w:themeColor="text1"/>
          <w:kern w:val="0"/>
          <w:sz w:val="28"/>
          <w:szCs w:val="28"/>
          <w14:ligatures w14:val="none"/>
        </w:rPr>
        <w:t xml:space="preserve"> "From Sensors to Safety: Internet of Emergency Services (IoES) for Emergency Response and Disaster Management"</w:t>
      </w:r>
    </w:p>
    <w:p w14:paraId="7145A601" w14:textId="107CEFEE"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دور إنترنت خدمات الطوارئ</w:t>
      </w:r>
      <w:r w:rsidRPr="00E127A1">
        <w:rPr>
          <w:rFonts w:ascii="Sakkal Majalla" w:eastAsia="Times New Roman" w:hAnsi="Sakkal Majalla" w:cs="Sakkal Majalla"/>
          <w:color w:val="000000" w:themeColor="text1"/>
          <w:kern w:val="0"/>
          <w:sz w:val="28"/>
          <w:szCs w:val="28"/>
          <w14:ligatures w14:val="none"/>
        </w:rPr>
        <w:t xml:space="preserve"> (IoES) </w:t>
      </w:r>
      <w:r w:rsidRPr="00E127A1">
        <w:rPr>
          <w:rFonts w:ascii="Sakkal Majalla" w:eastAsia="Times New Roman" w:hAnsi="Sakkal Majalla" w:cs="Sakkal Majalla"/>
          <w:color w:val="000000" w:themeColor="text1"/>
          <w:kern w:val="0"/>
          <w:sz w:val="28"/>
          <w:szCs w:val="28"/>
          <w:rtl/>
          <w14:ligatures w14:val="none"/>
        </w:rPr>
        <w:t>بأبعاده (الأجهزة والمستشعرات، الاتصالات والشبكات، إدارة البيانات والتحليل) على تحسين الاستجابة لحالات الطوارئ وإدارة الكوارث</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واستخدمت الدراسة منهج المراجعة المنهجية للأدبيات من خلال تحليل</w:t>
      </w:r>
      <w:r w:rsidRPr="00E127A1">
        <w:rPr>
          <w:rFonts w:ascii="Sakkal Majalla" w:eastAsia="Times New Roman" w:hAnsi="Sakkal Majalla" w:cs="Sakkal Majalla"/>
          <w:color w:val="000000" w:themeColor="text1"/>
          <w:kern w:val="0"/>
          <w:sz w:val="28"/>
          <w:szCs w:val="28"/>
          <w14:ligatures w14:val="none"/>
        </w:rPr>
        <w:t xml:space="preserve"> (131) </w:t>
      </w:r>
      <w:r w:rsidRPr="00E127A1">
        <w:rPr>
          <w:rFonts w:ascii="Sakkal Majalla" w:eastAsia="Times New Roman" w:hAnsi="Sakkal Majalla" w:cs="Sakkal Majalla"/>
          <w:color w:val="000000" w:themeColor="text1"/>
          <w:kern w:val="0"/>
          <w:sz w:val="28"/>
          <w:szCs w:val="28"/>
          <w:rtl/>
          <w14:ligatures w14:val="none"/>
        </w:rPr>
        <w:t>مقالة علمية من قواعد بيانات</w:t>
      </w:r>
      <w:r w:rsidRPr="00E127A1">
        <w:rPr>
          <w:rFonts w:ascii="Sakkal Majalla" w:eastAsia="Times New Roman" w:hAnsi="Sakkal Majalla" w:cs="Sakkal Majalla"/>
          <w:color w:val="000000" w:themeColor="text1"/>
          <w:kern w:val="0"/>
          <w:sz w:val="28"/>
          <w:szCs w:val="28"/>
          <w14:ligatures w14:val="none"/>
        </w:rPr>
        <w:t xml:space="preserve"> Scopus </w:t>
      </w:r>
      <w:r w:rsidRPr="00E127A1">
        <w:rPr>
          <w:rFonts w:ascii="Sakkal Majalla" w:eastAsia="Times New Roman" w:hAnsi="Sakkal Majalla" w:cs="Sakkal Majalla"/>
          <w:color w:val="000000" w:themeColor="text1"/>
          <w:kern w:val="0"/>
          <w:sz w:val="28"/>
          <w:szCs w:val="28"/>
          <w:rtl/>
          <w14:ligatures w14:val="none"/>
        </w:rPr>
        <w:t>و</w:t>
      </w:r>
      <w:r w:rsidRPr="00E127A1">
        <w:rPr>
          <w:rFonts w:ascii="Sakkal Majalla" w:eastAsia="Times New Roman" w:hAnsi="Sakkal Majalla" w:cs="Sakkal Majalla"/>
          <w:color w:val="000000" w:themeColor="text1"/>
          <w:kern w:val="0"/>
          <w:sz w:val="28"/>
          <w:szCs w:val="28"/>
          <w14:ligatures w14:val="none"/>
        </w:rPr>
        <w:t xml:space="preserve">Web of Science </w:t>
      </w:r>
      <w:r w:rsidRPr="00E127A1">
        <w:rPr>
          <w:rFonts w:ascii="Sakkal Majalla" w:eastAsia="Times New Roman" w:hAnsi="Sakkal Majalla" w:cs="Sakkal Majalla"/>
          <w:color w:val="000000" w:themeColor="text1"/>
          <w:kern w:val="0"/>
          <w:sz w:val="28"/>
          <w:szCs w:val="28"/>
          <w:rtl/>
          <w14:ligatures w14:val="none"/>
        </w:rPr>
        <w:t>و</w:t>
      </w:r>
      <w:r w:rsidRPr="00E127A1">
        <w:rPr>
          <w:rFonts w:ascii="Sakkal Majalla" w:eastAsia="Times New Roman" w:hAnsi="Sakkal Majalla" w:cs="Sakkal Majalla"/>
          <w:color w:val="000000" w:themeColor="text1"/>
          <w:kern w:val="0"/>
          <w:sz w:val="28"/>
          <w:szCs w:val="28"/>
          <w14:ligatures w14:val="none"/>
        </w:rPr>
        <w:t xml:space="preserve">Google Scholar </w:t>
      </w:r>
      <w:r w:rsidRPr="00E127A1">
        <w:rPr>
          <w:rFonts w:ascii="Sakkal Majalla" w:eastAsia="Times New Roman" w:hAnsi="Sakkal Majalla" w:cs="Sakkal Majalla"/>
          <w:color w:val="000000" w:themeColor="text1"/>
          <w:kern w:val="0"/>
          <w:sz w:val="28"/>
          <w:szCs w:val="28"/>
          <w:rtl/>
          <w14:ligatures w14:val="none"/>
        </w:rPr>
        <w:t xml:space="preserve">للفترة (2011-2022). وتوصلت نتائج </w:t>
      </w:r>
      <w:r w:rsidRPr="00E127A1">
        <w:rPr>
          <w:rFonts w:ascii="Sakkal Majalla" w:eastAsia="Times New Roman" w:hAnsi="Sakkal Majalla" w:cs="Sakkal Majalla"/>
          <w:color w:val="000000" w:themeColor="text1"/>
          <w:kern w:val="0"/>
          <w:sz w:val="28"/>
          <w:szCs w:val="28"/>
          <w:rtl/>
          <w14:ligatures w14:val="none"/>
        </w:rPr>
        <w:lastRenderedPageBreak/>
        <w:t xml:space="preserve">الدراسة إلى أن دمج أجهزة إنترنت الأشياء في خدمات الطوارئ يوفر إمكانيات كبيرة لتحسين سرعة وكفاءة الاستجابة للطوارئ من خلال جمع البيانات في الوقت الحقيقي وتحسين التنسيق بين الوكالات المختلفة، مع وجود تحديات تتعلق بالخصوصية وأمن البيانات والموثوقية. وأوصت الدراسة بضرورة التخطيط الدقيق والتنفيذ المسؤول لتقنيات </w:t>
      </w:r>
      <w:r w:rsidRPr="00E127A1">
        <w:rPr>
          <w:rFonts w:ascii="Sakkal Majalla" w:eastAsia="Times New Roman" w:hAnsi="Sakkal Majalla" w:cs="Sakkal Majalla"/>
          <w:color w:val="000000" w:themeColor="text1"/>
          <w:kern w:val="0"/>
          <w:sz w:val="28"/>
          <w:szCs w:val="28"/>
          <w14:ligatures w14:val="none"/>
        </w:rPr>
        <w:t xml:space="preserve">IoES </w:t>
      </w:r>
      <w:r w:rsidRPr="00E127A1">
        <w:rPr>
          <w:rFonts w:ascii="Sakkal Majalla" w:eastAsia="Times New Roman" w:hAnsi="Sakkal Majalla" w:cs="Sakkal Majalla"/>
          <w:color w:val="000000" w:themeColor="text1"/>
          <w:kern w:val="0"/>
          <w:sz w:val="28"/>
          <w:szCs w:val="28"/>
          <w:rtl/>
          <w14:ligatures w14:val="none"/>
        </w:rPr>
        <w:t>لضمان الاستخدام الفعال والآمن في الاستجابة للطوارئ</w:t>
      </w:r>
      <w:r w:rsidRPr="00E127A1">
        <w:rPr>
          <w:rFonts w:ascii="Sakkal Majalla" w:eastAsia="Times New Roman" w:hAnsi="Sakkal Majalla" w:cs="Sakkal Majalla"/>
          <w:color w:val="000000" w:themeColor="text1"/>
          <w:kern w:val="0"/>
          <w:sz w:val="28"/>
          <w:szCs w:val="28"/>
          <w14:ligatures w14:val="none"/>
        </w:rPr>
        <w:t>.</w:t>
      </w:r>
    </w:p>
    <w:p w14:paraId="17FE73AB"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w:t>
      </w:r>
      <w:r w:rsidRPr="00E127A1">
        <w:rPr>
          <w:rFonts w:ascii="Sakkal Majalla" w:eastAsia="Times New Roman" w:hAnsi="Sakkal Majalla" w:cs="Sakkal Majalla"/>
          <w:b/>
          <w:bCs/>
          <w:color w:val="000000" w:themeColor="text1"/>
          <w:kern w:val="0"/>
          <w:sz w:val="28"/>
          <w:szCs w:val="28"/>
          <w14:ligatures w14:val="none"/>
        </w:rPr>
        <w:t xml:space="preserve"> (Corbin et al., 2021) </w:t>
      </w:r>
      <w:r w:rsidRPr="00E127A1">
        <w:rPr>
          <w:rFonts w:ascii="Sakkal Majalla" w:eastAsia="Times New Roman" w:hAnsi="Sakkal Majalla" w:cs="Sakkal Majalla"/>
          <w:b/>
          <w:bCs/>
          <w:color w:val="000000" w:themeColor="text1"/>
          <w:kern w:val="0"/>
          <w:sz w:val="28"/>
          <w:szCs w:val="28"/>
          <w:rtl/>
          <w14:ligatures w14:val="none"/>
        </w:rPr>
        <w:t>بعنوان</w:t>
      </w:r>
      <w:r w:rsidRPr="00E127A1">
        <w:rPr>
          <w:rFonts w:ascii="Sakkal Majalla" w:eastAsia="Times New Roman" w:hAnsi="Sakkal Majalla" w:cs="Sakkal Majalla"/>
          <w:b/>
          <w:bCs/>
          <w:color w:val="000000" w:themeColor="text1"/>
          <w:kern w:val="0"/>
          <w:sz w:val="28"/>
          <w:szCs w:val="28"/>
          <w14:ligatures w14:val="none"/>
        </w:rPr>
        <w:t xml:space="preserve"> "A Health Promotion Approach to Emergency Management: Effective Community Engagement Strategies from Five Cases"</w:t>
      </w:r>
    </w:p>
    <w:p w14:paraId="2A9208E8" w14:textId="134697CE"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هدفت الدراسة إلى التعرف على دور نهج تعزيز الصحة بأبعاده (المشاركة المجتمعية، التعليم والتواصل، التمكين المجتمعي، التعاون بين القطاعات) على فاعلية إدارة الطوارئ والأزمات الصحية في خمسة سياقات مختلفة تشمل الولايات المتحدة وسنغافورة وسيراليون وكينيا وجنوب أفريقيا. واستخدمت الدراسة منهج دراسة الحالات المتعددة. وتكونت العينة من خمس حالات دراسية تمثل تجارب مجتمعية متنوعة في مواجهة الأزمات الصحية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وتوصلت نتائج الدراسة إلى أن المشاركة المجتمعية الفعالة تُعزز قدرات الاستعداد والاستجابة للأزمات، وأن التطوير المشترك لاستراتيجيات التعليم والتواصل يُحسّن بشكل كبير من إدارة الطوارئ. وأوصت الدراسة بتبني نهج تعزيز الصحة في سياسات إدارة الطوارئ وتعزيز دور المجتمعات المحلية في كافة مراحل الاستجابة للأزمات</w:t>
      </w:r>
      <w:r w:rsidRPr="00E127A1">
        <w:rPr>
          <w:rFonts w:ascii="Sakkal Majalla" w:eastAsia="Times New Roman" w:hAnsi="Sakkal Majalla" w:cs="Sakkal Majalla"/>
          <w:color w:val="000000" w:themeColor="text1"/>
          <w:kern w:val="0"/>
          <w:sz w:val="28"/>
          <w:szCs w:val="28"/>
          <w14:ligatures w14:val="none"/>
        </w:rPr>
        <w:t>.</w:t>
      </w:r>
    </w:p>
    <w:p w14:paraId="3F6C71E4"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دراسة</w:t>
      </w:r>
      <w:r w:rsidRPr="00E127A1">
        <w:rPr>
          <w:rFonts w:ascii="Sakkal Majalla" w:eastAsia="Times New Roman" w:hAnsi="Sakkal Majalla" w:cs="Sakkal Majalla"/>
          <w:b/>
          <w:bCs/>
          <w:color w:val="000000" w:themeColor="text1"/>
          <w:kern w:val="0"/>
          <w:sz w:val="28"/>
          <w:szCs w:val="28"/>
          <w14:ligatures w14:val="none"/>
        </w:rPr>
        <w:t xml:space="preserve"> (Sun &amp; Zhang, 2022) </w:t>
      </w:r>
      <w:r w:rsidRPr="00E127A1">
        <w:rPr>
          <w:rFonts w:ascii="Sakkal Majalla" w:eastAsia="Times New Roman" w:hAnsi="Sakkal Majalla" w:cs="Sakkal Majalla"/>
          <w:b/>
          <w:bCs/>
          <w:color w:val="000000" w:themeColor="text1"/>
          <w:kern w:val="0"/>
          <w:sz w:val="28"/>
          <w:szCs w:val="28"/>
          <w:rtl/>
          <w14:ligatures w14:val="none"/>
        </w:rPr>
        <w:t>بعنوان</w:t>
      </w:r>
      <w:r w:rsidRPr="00E127A1">
        <w:rPr>
          <w:rFonts w:ascii="Sakkal Majalla" w:eastAsia="Times New Roman" w:hAnsi="Sakkal Majalla" w:cs="Sakkal Majalla"/>
          <w:b/>
          <w:bCs/>
          <w:color w:val="000000" w:themeColor="text1"/>
          <w:kern w:val="0"/>
          <w:sz w:val="28"/>
          <w:szCs w:val="28"/>
          <w14:ligatures w14:val="none"/>
        </w:rPr>
        <w:t xml:space="preserve"> "Strategic Crisis Response of Shipping Industry in the Post COVID-19 Era: A Case of the Top 10 Shipping Lines"</w:t>
      </w:r>
    </w:p>
    <w:p w14:paraId="3E5A07DA"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هدفت الدراسة إلى التعرف على استراتيجيات الاستجابة للأزمات بأبعادها (تقليص التكاليف، التحالفات الاستراتيجية، التحول الرقمي، تنويع الخدمات) التي تبنتها أكبر عشر شركات شحن حاويات عالمياً والتي تمثل 84.7% من القدرة العالمية في مرحلة ما بعد جائحة كوفيد-19. واستخدمت الدراسة منهج دراسة الحالة التحليلي لأكبر عشر شركات شحن حاويات في العالم. وتوصلت نتائج الدراسة إلى تقديم صورة شاملة عن الجهود التي بذلتها شركات الشحن الكبرى للاستجابة لأزمة كوفيد-19 والتدابير المتخذة لضمان استمرارية الأعمال، وأن الشركات التي تبنت استراتيجيات استباقية كانت أكثر قدرة على التعافي. وأوصت </w:t>
      </w:r>
      <w:r w:rsidRPr="00E127A1">
        <w:rPr>
          <w:rFonts w:ascii="Sakkal Majalla" w:eastAsia="Times New Roman" w:hAnsi="Sakkal Majalla" w:cs="Sakkal Majalla"/>
          <w:color w:val="000000" w:themeColor="text1"/>
          <w:kern w:val="0"/>
          <w:sz w:val="28"/>
          <w:szCs w:val="28"/>
          <w:rtl/>
          <w14:ligatures w14:val="none"/>
        </w:rPr>
        <w:lastRenderedPageBreak/>
        <w:t>الدراسة بضرورة تبني استراتيجيات مرنة ومتنوعة للاستجابة للأزمات، والاستثمار في التحول الرقمي كأداة أساسية لتعزيز الجاهزية في مواجهة الأزمات المستقبلية</w:t>
      </w:r>
      <w:r w:rsidRPr="00E127A1">
        <w:rPr>
          <w:rFonts w:ascii="Sakkal Majalla" w:eastAsia="Times New Roman" w:hAnsi="Sakkal Majalla" w:cs="Sakkal Majalla"/>
          <w:color w:val="000000" w:themeColor="text1"/>
          <w:kern w:val="0"/>
          <w:sz w:val="28"/>
          <w:szCs w:val="28"/>
          <w14:ligatures w14:val="none"/>
        </w:rPr>
        <w:t>.</w:t>
      </w:r>
    </w:p>
    <w:p w14:paraId="2AE8823A" w14:textId="1A76B234" w:rsidR="007467C7" w:rsidRPr="00E127A1" w:rsidRDefault="000011E2" w:rsidP="000011E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8" w:name="_Toc228121468"/>
      <w:r w:rsidRPr="00E127A1">
        <w:rPr>
          <w:rFonts w:ascii="Sakkal Majalla" w:eastAsia="Times New Roman" w:hAnsi="Sakkal Majalla" w:cs="Sakkal Majalla" w:hint="cs"/>
          <w:b/>
          <w:bCs/>
          <w:color w:val="000000" w:themeColor="text1"/>
          <w:kern w:val="0"/>
          <w:sz w:val="36"/>
          <w:szCs w:val="36"/>
          <w:rtl/>
          <w14:ligatures w14:val="none"/>
        </w:rPr>
        <w:t xml:space="preserve">8.1 </w:t>
      </w:r>
      <w:r w:rsidR="007467C7" w:rsidRPr="00E127A1">
        <w:rPr>
          <w:rFonts w:ascii="Sakkal Majalla" w:eastAsia="Times New Roman" w:hAnsi="Sakkal Majalla" w:cs="Sakkal Majalla"/>
          <w:b/>
          <w:bCs/>
          <w:color w:val="000000" w:themeColor="text1"/>
          <w:kern w:val="0"/>
          <w:sz w:val="36"/>
          <w:szCs w:val="36"/>
          <w:rtl/>
          <w14:ligatures w14:val="none"/>
        </w:rPr>
        <w:t>الفجوة البحثية</w:t>
      </w:r>
      <w:bookmarkEnd w:id="8"/>
    </w:p>
    <w:p w14:paraId="34D8BD6B"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من خلال الاستعراض الشامل والمتعمق للدراسات السابقة العربية والأجنبية ذات الصلة بموضوع الدراسة الحالية، يتضح أن هذه الدراسات قدّمت إسهامات علمية قيّمة في مجالات إدارة الأزمات والجاهزية المؤسسية كلٍّ على حدة، إلا أن الباحث لاحظ وجود فجوة بحثية واضحة تتمثل في عدة جوانب جوهرية. فمن حيث التخصص الموضوعي، ركزت معظم الدراسات العربية على إدارة الأزمات بشكل عام أو على أزمات بعينها كجائحة كوفيد-19 كما في دراسة (المبارك، 2022) ودراسة (ستو ودربال، 2022) ودراسة (قمان وشعباني، </w:t>
      </w:r>
      <w:r w:rsidRPr="00E127A1">
        <w:rPr>
          <w:rFonts w:ascii="Sakkal Majalla" w:eastAsia="Times New Roman" w:hAnsi="Sakkal Majalla" w:cs="Sakkal Majalla"/>
          <w:color w:val="000000" w:themeColor="text1"/>
          <w:kern w:val="0"/>
          <w:sz w:val="28"/>
          <w:szCs w:val="28"/>
          <w14:ligatures w14:val="none"/>
        </w:rPr>
        <w:t>2024)</w:t>
      </w:r>
      <w:r w:rsidRPr="00E127A1">
        <w:rPr>
          <w:rFonts w:ascii="Sakkal Majalla" w:eastAsia="Times New Roman" w:hAnsi="Sakkal Majalla" w:cs="Sakkal Majalla"/>
          <w:color w:val="000000" w:themeColor="text1"/>
          <w:kern w:val="0"/>
          <w:sz w:val="28"/>
          <w:szCs w:val="28"/>
          <w:rtl/>
          <w14:ligatures w14:val="none"/>
        </w:rPr>
        <w:t>، أو تناولت أدوار محددة كالقيادة الاستراتيجية في دراسة (الشريف والحكمي والتيس، 2024) والتخطيط الاستراتيجي في دراسة (عبدالله، 2024</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 xml:space="preserve">ودراسة (آدم، 2024)، في حين تناولت دراسات الجاهزية مفهوم الجاهزية في سياقات مختلفة كالجاهزية المصرفية في دراسة (العلي والحسناوي، 2021) والجاهزية التنظيمية في دراسة (حسين وعلوان، 2023) ودراسة (السليفاني، </w:t>
      </w:r>
      <w:r w:rsidRPr="00E127A1">
        <w:rPr>
          <w:rFonts w:ascii="Sakkal Majalla" w:eastAsia="Times New Roman" w:hAnsi="Sakkal Majalla" w:cs="Sakkal Majalla"/>
          <w:color w:val="000000" w:themeColor="text1"/>
          <w:kern w:val="0"/>
          <w:sz w:val="28"/>
          <w:szCs w:val="28"/>
          <w14:ligatures w14:val="none"/>
        </w:rPr>
        <w:t xml:space="preserve">2025) </w:t>
      </w:r>
      <w:r w:rsidRPr="00E127A1">
        <w:rPr>
          <w:rFonts w:ascii="Sakkal Majalla" w:eastAsia="Times New Roman" w:hAnsi="Sakkal Majalla" w:cs="Sakkal Majalla"/>
          <w:color w:val="000000" w:themeColor="text1"/>
          <w:kern w:val="0"/>
          <w:sz w:val="28"/>
          <w:szCs w:val="28"/>
          <w:rtl/>
          <w14:ligatures w14:val="none"/>
        </w:rPr>
        <w:t xml:space="preserve">والجاهزية الاستراتيجية في دراسة (البصو، 2025)، دون أن تجمع أيٌّ منها بين إدارة الأزمات البيئية تحديداً وجاهزية المنشآت الصناعية لمواجهة التسربات الكيميائية في إطار واحد متكامل. كما أن الدراسات الأجنبية رغم تناولها لجوانب متقدمة كأدوات إدارة الأزمات للسلامة الصناعية في دراسة </w:t>
      </w:r>
      <w:r w:rsidRPr="00E127A1">
        <w:rPr>
          <w:rFonts w:ascii="Sakkal Majalla" w:eastAsia="Times New Roman" w:hAnsi="Sakkal Majalla" w:cs="Sakkal Majalla"/>
          <w:color w:val="000000" w:themeColor="text1"/>
          <w:kern w:val="0"/>
          <w:sz w:val="28"/>
          <w:szCs w:val="28"/>
          <w14:ligatures w14:val="none"/>
        </w:rPr>
        <w:t xml:space="preserve">(Glova Végsöová &amp; Grabara, 2024) </w:t>
      </w:r>
      <w:r w:rsidRPr="00E127A1">
        <w:rPr>
          <w:rFonts w:ascii="Sakkal Majalla" w:eastAsia="Times New Roman" w:hAnsi="Sakkal Majalla" w:cs="Sakkal Majalla"/>
          <w:color w:val="000000" w:themeColor="text1"/>
          <w:kern w:val="0"/>
          <w:sz w:val="28"/>
          <w:szCs w:val="28"/>
          <w:rtl/>
          <w14:ligatures w14:val="none"/>
        </w:rPr>
        <w:t>وجاهزية المنشآت الصناعية لحالات الطوارئ في دراسة</w:t>
      </w:r>
      <w:r w:rsidRPr="00E127A1">
        <w:rPr>
          <w:rFonts w:ascii="Sakkal Majalla" w:eastAsia="Times New Roman" w:hAnsi="Sakkal Majalla" w:cs="Sakkal Majalla"/>
          <w:color w:val="000000" w:themeColor="text1"/>
          <w:kern w:val="0"/>
          <w:sz w:val="28"/>
          <w:szCs w:val="28"/>
          <w14:ligatures w14:val="none"/>
        </w:rPr>
        <w:t xml:space="preserve"> (Rajlić, Panić &amp; Đoković, 2025)</w:t>
      </w:r>
      <w:r w:rsidRPr="00E127A1">
        <w:rPr>
          <w:rFonts w:ascii="Sakkal Majalla" w:eastAsia="Times New Roman" w:hAnsi="Sakkal Majalla" w:cs="Sakkal Majalla"/>
          <w:color w:val="000000" w:themeColor="text1"/>
          <w:kern w:val="0"/>
          <w:sz w:val="28"/>
          <w:szCs w:val="28"/>
          <w:rtl/>
          <w14:ligatures w14:val="none"/>
        </w:rPr>
        <w:t>، إلا أنها أُجريت في بيئات غربية تختلف في خصائصها التنظيمية والتشريعية والبيئية عن البيئة السعودية. ومن حيث السياق المكاني، لم تتناول أيٌّ من الدراسات السابقة المنطقة الشرقية بالمملكة العربية السعودية رغم كونها أكبر تجمع صناعي بتروكيماوي في الشرق الأوسط وأكثرها تعرضاً لمخاطر التسربات الكيميائية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 xml:space="preserve">وبذلك تأتي هذه الدراسة لسد هذه الفجوة البحثية من خلال دراسة أثر إدارة الأزمات البيئية بأبعادها الأربعة (التخطيط الاستراتيجي للأزمات البيئية، الاستجابة السريعة للتسربات الكيميائية، التنسيق المؤسسي لمواجهة الأزمات، التقييم البيئي والتحسين المستمر) على تعزيز جاهزية المنشآت الصناعية </w:t>
      </w:r>
      <w:r w:rsidRPr="00E127A1">
        <w:rPr>
          <w:rFonts w:ascii="Sakkal Majalla" w:eastAsia="Times New Roman" w:hAnsi="Sakkal Majalla" w:cs="Sakkal Majalla"/>
          <w:color w:val="000000" w:themeColor="text1"/>
          <w:kern w:val="0"/>
          <w:sz w:val="28"/>
          <w:szCs w:val="28"/>
          <w:rtl/>
          <w14:ligatures w14:val="none"/>
        </w:rPr>
        <w:lastRenderedPageBreak/>
        <w:t>لمواجهة التسربات الكيميائية في المنطقة الشرقية بالمملكة العربية السعودية، وهو ما لم تتطرق إليه أيٌّ من الدراسات السابقة بهذا التحديد والتكامل</w:t>
      </w:r>
      <w:r w:rsidRPr="00E127A1">
        <w:rPr>
          <w:rFonts w:ascii="Sakkal Majalla" w:eastAsia="Times New Roman" w:hAnsi="Sakkal Majalla" w:cs="Sakkal Majalla"/>
          <w:color w:val="000000" w:themeColor="text1"/>
          <w:kern w:val="0"/>
          <w:sz w:val="28"/>
          <w:szCs w:val="28"/>
          <w14:ligatures w14:val="none"/>
        </w:rPr>
        <w:t>.</w:t>
      </w:r>
    </w:p>
    <w:p w14:paraId="1CADBBD1" w14:textId="4A8E4D96" w:rsidR="007467C7" w:rsidRPr="00E127A1" w:rsidRDefault="000011E2" w:rsidP="000011E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9" w:name="_Toc228121469"/>
      <w:r w:rsidRPr="00E127A1">
        <w:rPr>
          <w:rFonts w:ascii="Sakkal Majalla" w:eastAsia="Times New Roman" w:hAnsi="Sakkal Majalla" w:cs="Sakkal Majalla" w:hint="cs"/>
          <w:b/>
          <w:bCs/>
          <w:color w:val="000000" w:themeColor="text1"/>
          <w:kern w:val="0"/>
          <w:sz w:val="36"/>
          <w:szCs w:val="36"/>
          <w:rtl/>
          <w14:ligatures w14:val="none"/>
        </w:rPr>
        <w:t xml:space="preserve">9.1 </w:t>
      </w:r>
      <w:r w:rsidR="007467C7" w:rsidRPr="00E127A1">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9"/>
    </w:p>
    <w:p w14:paraId="500AF886"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أولاً: إدارة الأزمات البيئية</w:t>
      </w:r>
      <w:r w:rsidRPr="00E127A1">
        <w:rPr>
          <w:rFonts w:ascii="Sakkal Majalla" w:eastAsia="Times New Roman" w:hAnsi="Sakkal Majalla" w:cs="Sakkal Majalla"/>
          <w:b/>
          <w:bCs/>
          <w:color w:val="000000" w:themeColor="text1"/>
          <w:kern w:val="0"/>
          <w:sz w:val="32"/>
          <w:szCs w:val="32"/>
          <w14:ligatures w14:val="none"/>
        </w:rPr>
        <w:t xml:space="preserve"> (Environmental Crisis Management)</w:t>
      </w:r>
    </w:p>
    <w:p w14:paraId="4FECFDFA"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يُعد مفهوم إدارة الأزمات من المفاهيم الإدارية الحديثة التي استقطبت اهتماماً متزايداً من الباحثين والممارسين على حد سواء، وذلك نتيجة تصاعد وتيرة الأزمات وتنوع أشكالها وتعقد تداعياتها في بيئة الأعمال المعاصرة. وتُعرّف الأزمة بأنها حالة طارئة ومفاجئة تتسم بالتوتر والضغط الشديد وتستدعي تدخلاً فورياً وإجراءات سريعة لمعالجتها والحد من آثارها السلبية، وهي تنتج عادةً عن تراكم عوامل متعددة أو أحداث مباغتة تُخل بالمسار الطبيعي للعمل</w:t>
      </w:r>
      <w:r w:rsidRPr="00E127A1">
        <w:rPr>
          <w:rFonts w:ascii="Sakkal Majalla" w:eastAsia="Times New Roman" w:hAnsi="Sakkal Majalla" w:cs="Sakkal Majalla"/>
          <w:color w:val="000000" w:themeColor="text1"/>
          <w:kern w:val="0"/>
          <w:sz w:val="28"/>
          <w:szCs w:val="28"/>
          <w14:ligatures w14:val="none"/>
        </w:rPr>
        <w:t xml:space="preserve"> (Hamza, Elemam &amp; Abuosekken, 2023). </w:t>
      </w:r>
      <w:r w:rsidRPr="00E127A1">
        <w:rPr>
          <w:rFonts w:ascii="Sakkal Majalla" w:eastAsia="Times New Roman" w:hAnsi="Sakkal Majalla" w:cs="Sakkal Majalla"/>
          <w:color w:val="000000" w:themeColor="text1"/>
          <w:kern w:val="0"/>
          <w:sz w:val="28"/>
          <w:szCs w:val="28"/>
          <w:rtl/>
          <w14:ligatures w14:val="none"/>
        </w:rPr>
        <w:t>وقد تطور مفهوم إدارة الأزمات ليتجاوز الاستجابة الآنية والتعامل اللحظي مع الأحداث الطارئة إلى منهجية شاملة تتضمن التنبؤ والوقاية والاستعداد والاستجابة والتعافي والتعلم، حيث أصبحت إدارة الأزمات عملية استراتيجية متكاملة ترتبط ارتباطاً وثيقاً بالتخطيط الاستراتيجي والإدارة الاستراتيجية للمنظمة (أبو سليم، 2022)</w:t>
      </w:r>
      <w:r w:rsidRPr="00E127A1">
        <w:rPr>
          <w:rFonts w:ascii="Sakkal Majalla" w:eastAsia="Times New Roman" w:hAnsi="Sakkal Majalla" w:cs="Sakkal Majalla"/>
          <w:color w:val="000000" w:themeColor="text1"/>
          <w:kern w:val="0"/>
          <w:sz w:val="28"/>
          <w:szCs w:val="28"/>
          <w14:ligatures w14:val="none"/>
        </w:rPr>
        <w:t>.</w:t>
      </w:r>
    </w:p>
    <w:p w14:paraId="51D83CBB"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وتُمثل إدارة الأزمات البيئية أحد الفروع المتخصصة لإدارة الأزمات، وتُعرّف إجرائياً في هذه الدراسة بأنها مجموعة العمليات والإجراءات والممارسات المنظمة التي تتبناها المنشآت الصناعية للتنبؤ بالأزمات البيئية الناجمة عن التسربات الكيميائية والوقاية منها والاستعداد لها والاستجابة لها والتعافي منها، وذلك من خلال أربعة أبعاد رئيسية تعمل بشكل تكاملي ومتسق لتحقيق أعلى مستويات الحماية البيئية والصناعية. وقد أكد</w:t>
      </w:r>
      <w:r w:rsidRPr="00E127A1">
        <w:rPr>
          <w:rFonts w:ascii="Sakkal Majalla" w:eastAsia="Times New Roman" w:hAnsi="Sakkal Majalla" w:cs="Sakkal Majalla"/>
          <w:color w:val="000000" w:themeColor="text1"/>
          <w:kern w:val="0"/>
          <w:sz w:val="28"/>
          <w:szCs w:val="28"/>
          <w14:ligatures w14:val="none"/>
        </w:rPr>
        <w:t xml:space="preserve"> (Prokopowicz &amp; Matosek, 2023) </w:t>
      </w:r>
      <w:r w:rsidRPr="00E127A1">
        <w:rPr>
          <w:rFonts w:ascii="Sakkal Majalla" w:eastAsia="Times New Roman" w:hAnsi="Sakkal Majalla" w:cs="Sakkal Majalla"/>
          <w:color w:val="000000" w:themeColor="text1"/>
          <w:kern w:val="0"/>
          <w:sz w:val="28"/>
          <w:szCs w:val="28"/>
          <w:rtl/>
          <w14:ligatures w14:val="none"/>
        </w:rPr>
        <w:t>أن المنظمات المعاصرة باتت تواجه أزمات متعددة ومعقدة تستلزم تطوير أنظمة إدارة مخاطر متقدمة واتخاذ تدابير وقائية متنوعة لمواجهتها بفاعلية</w:t>
      </w:r>
      <w:r w:rsidRPr="00E127A1">
        <w:rPr>
          <w:rFonts w:ascii="Sakkal Majalla" w:eastAsia="Times New Roman" w:hAnsi="Sakkal Majalla" w:cs="Sakkal Majalla"/>
          <w:color w:val="000000" w:themeColor="text1"/>
          <w:kern w:val="0"/>
          <w:sz w:val="28"/>
          <w:szCs w:val="28"/>
          <w14:ligatures w14:val="none"/>
        </w:rPr>
        <w:t>.</w:t>
      </w:r>
    </w:p>
    <w:p w14:paraId="6F9EB4C3" w14:textId="47DCFC2D"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التخطيط الاستراتيجي للأزمات البيئية</w:t>
      </w:r>
      <w:r w:rsidRPr="00E127A1">
        <w:rPr>
          <w:rFonts w:ascii="Sakkal Majalla" w:eastAsia="Times New Roman" w:hAnsi="Sakkal Majalla" w:cs="Sakkal Majalla"/>
          <w:b/>
          <w:bCs/>
          <w:color w:val="000000" w:themeColor="text1"/>
          <w:kern w:val="0"/>
          <w:sz w:val="28"/>
          <w:szCs w:val="28"/>
          <w14:ligatures w14:val="none"/>
        </w:rPr>
        <w:t xml:space="preserve"> (Strategic Planning for Environmental Crises)</w:t>
      </w:r>
    </w:p>
    <w:p w14:paraId="36898D15" w14:textId="77777777" w:rsidR="007467C7" w:rsidRPr="00E127A1" w:rsidRDefault="007467C7" w:rsidP="000011E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يُعرّف التخطيط الاستراتيجي للأزمات البيئية بأنه عملية منهجية استباقية تتضمن تحليل البيئة الداخلية والخارجية للمنشأة الصناعية وتحديد المخاطر البيئية المحتملة وتقييمها ووضع الخطط والاستراتيجيات طويلة المدى للتعامل معها، بما يشمل تحديد الأهداف الاستراتيجية وتخصيص الموارد اللازمة وتطوير سيناريوهات الاستجابة المختلفة. وقد أثبتت الدراسات أن التخطيط الاستراتيجي يُمثل الإطار الموجه لإدارة الأزمات، حيث يوفر أساساً علمياً متيناً لتقييم الأداء واتخاذ القرارات المستنيرة في كل مرحلة من مراحل الأزمة (عبدالله، 2024)</w:t>
      </w:r>
      <w:r w:rsidRPr="00E127A1">
        <w:rPr>
          <w:rFonts w:ascii="Sakkal Majalla" w:eastAsia="Times New Roman" w:hAnsi="Sakkal Majalla" w:cs="Sakkal Majalla"/>
          <w:color w:val="000000" w:themeColor="text1"/>
          <w:kern w:val="0"/>
          <w:sz w:val="28"/>
          <w:szCs w:val="28"/>
          <w14:ligatures w14:val="none"/>
        </w:rPr>
        <w:t>.</w:t>
      </w:r>
    </w:p>
    <w:p w14:paraId="55F63C5D" w14:textId="39A0ED74"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الاستجابة السريعة للتسربات الكيميائية</w:t>
      </w:r>
      <w:r w:rsidRPr="00E127A1">
        <w:rPr>
          <w:rFonts w:ascii="Sakkal Majalla" w:eastAsia="Times New Roman" w:hAnsi="Sakkal Majalla" w:cs="Sakkal Majalla"/>
          <w:b/>
          <w:bCs/>
          <w:color w:val="000000" w:themeColor="text1"/>
          <w:kern w:val="0"/>
          <w:sz w:val="28"/>
          <w:szCs w:val="28"/>
          <w14:ligatures w14:val="none"/>
        </w:rPr>
        <w:t xml:space="preserve"> (Rapid Response to Chemical Leaks)</w:t>
      </w:r>
    </w:p>
    <w:p w14:paraId="62769E8A" w14:textId="77777777"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تُعرّف الاستجابة السريعة بأنها مجموعة الإجراءات والبروتوكولات الفورية التي تُنفذها المنشأة الصناعية فور اكتشاف تسرب كيميائي، وتشمل تفعيل أنظمة الإنذار المبكر وتنفيذ خطط الإخلاء وتشغيل فرق الاستجابة المتخصصة واحتواء مصدر التسرب وتقليل انتشار المواد الكيميائية الخطرة. ويُعد عامل الوقت حاسماً في الاستجابة للتسربات الكيميائية، إذ أن التقنيات الحديثة كإنترنت الأشياء والمستشعرات الذكية توفر إمكانيات كبيرة لتحسين سرعة الاستجابة من خلال جمع البيانات في الوقت الحقيقي وتمكين اتخاذ القرار الفوري</w:t>
      </w:r>
      <w:r w:rsidRPr="00E127A1">
        <w:rPr>
          <w:rFonts w:ascii="Sakkal Majalla" w:eastAsia="Times New Roman" w:hAnsi="Sakkal Majalla" w:cs="Sakkal Majalla"/>
          <w:color w:val="000000" w:themeColor="text1"/>
          <w:kern w:val="0"/>
          <w:sz w:val="28"/>
          <w:szCs w:val="28"/>
          <w14:ligatures w14:val="none"/>
        </w:rPr>
        <w:t xml:space="preserve"> (Damaševičius, Bacanin &amp; Misra, 2023).</w:t>
      </w:r>
    </w:p>
    <w:p w14:paraId="7BACFD67" w14:textId="46407593"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التنسيق المؤسسي لمواجهة الأزمات</w:t>
      </w:r>
      <w:r w:rsidRPr="00E127A1">
        <w:rPr>
          <w:rFonts w:ascii="Sakkal Majalla" w:eastAsia="Times New Roman" w:hAnsi="Sakkal Majalla" w:cs="Sakkal Majalla"/>
          <w:b/>
          <w:bCs/>
          <w:color w:val="000000" w:themeColor="text1"/>
          <w:kern w:val="0"/>
          <w:sz w:val="28"/>
          <w:szCs w:val="28"/>
          <w14:ligatures w14:val="none"/>
        </w:rPr>
        <w:t xml:space="preserve"> (Institutional Coordination for Crisis Response)</w:t>
      </w:r>
    </w:p>
    <w:p w14:paraId="3682607D" w14:textId="77777777"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يُعرّف التنسيق المؤسسي بأنه منظومة الاتصالات والعلاقات التنظيمية والتعاون المشترك بين مختلف الإدارات والوحدات داخل المنشأة الصناعية ومع الجهات الخارجية ذات العلاقة كالدفاع المدني والجهات الرقابية والمجتمعات المحلية، بهدف تحقيق استجابة منسقة ومتكاملة وفعالة عند وقوع أزمة بيئية. وقد أكدت الدراسات أن المشاركة المجتمعية والتنسيق بين القطاعات المختلفة يُعزز بشكل كبير من قدرات الاستعداد والاستجابة للأزمات</w:t>
      </w:r>
      <w:r w:rsidRPr="00E127A1">
        <w:rPr>
          <w:rFonts w:ascii="Sakkal Majalla" w:eastAsia="Times New Roman" w:hAnsi="Sakkal Majalla" w:cs="Sakkal Majalla"/>
          <w:color w:val="000000" w:themeColor="text1"/>
          <w:kern w:val="0"/>
          <w:sz w:val="28"/>
          <w:szCs w:val="28"/>
          <w14:ligatures w14:val="none"/>
        </w:rPr>
        <w:t xml:space="preserve"> (Corbin et al., 2021).</w:t>
      </w:r>
    </w:p>
    <w:p w14:paraId="42BC6FDB" w14:textId="2750D8AB"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التقييم البيئي والتحسين المستمر</w:t>
      </w:r>
      <w:r w:rsidRPr="00E127A1">
        <w:rPr>
          <w:rFonts w:ascii="Sakkal Majalla" w:eastAsia="Times New Roman" w:hAnsi="Sakkal Majalla" w:cs="Sakkal Majalla"/>
          <w:b/>
          <w:bCs/>
          <w:color w:val="000000" w:themeColor="text1"/>
          <w:kern w:val="0"/>
          <w:sz w:val="28"/>
          <w:szCs w:val="28"/>
          <w14:ligatures w14:val="none"/>
        </w:rPr>
        <w:t xml:space="preserve"> (Environmental Assessment and Continuous Improvement)</w:t>
      </w:r>
    </w:p>
    <w:p w14:paraId="154F1400" w14:textId="304A2ABA"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يُعرّف التقييم البيئي والتحسين المستمر بأنه عملية منهجية دورية تهدف إلى قياس وتحليل فاعلية إجراءات إدارة الأزمات البيئية ومراجعة الأداء البيئي للمنشأة واستخلاص الدروس المستفادة من الأزمات السابقة وتحديث الخطط والإجراءات بناءً على المستجدات والمتغيرات البيئية والتقنية والتنظيمية. وقد أشار</w:t>
      </w:r>
      <w:r w:rsidRPr="00E127A1">
        <w:rPr>
          <w:rFonts w:ascii="Sakkal Majalla" w:eastAsia="Times New Roman" w:hAnsi="Sakkal Majalla" w:cs="Sakkal Majalla"/>
          <w:color w:val="000000" w:themeColor="text1"/>
          <w:kern w:val="0"/>
          <w:sz w:val="28"/>
          <w:szCs w:val="28"/>
          <w14:ligatures w14:val="none"/>
        </w:rPr>
        <w:t xml:space="preserve"> (Sun &amp; Zhang, 2022) </w:t>
      </w:r>
      <w:r w:rsidRPr="00E127A1">
        <w:rPr>
          <w:rFonts w:ascii="Sakkal Majalla" w:eastAsia="Times New Roman" w:hAnsi="Sakkal Majalla" w:cs="Sakkal Majalla"/>
          <w:color w:val="000000" w:themeColor="text1"/>
          <w:kern w:val="0"/>
          <w:sz w:val="28"/>
          <w:szCs w:val="28"/>
          <w:rtl/>
          <w14:ligatures w14:val="none"/>
        </w:rPr>
        <w:t>إلى أن المنظمات التي تتبنى استراتيجيات استباقية قائمة على التقييم المستمر والتعلم من التجارب تكون أكثر قدرة على التعافي والتكيف مع الأزمات</w:t>
      </w:r>
      <w:r w:rsidRPr="00E127A1">
        <w:rPr>
          <w:rFonts w:ascii="Sakkal Majalla" w:eastAsia="Times New Roman" w:hAnsi="Sakkal Majalla" w:cs="Sakkal Majalla"/>
          <w:color w:val="000000" w:themeColor="text1"/>
          <w:kern w:val="0"/>
          <w:sz w:val="28"/>
          <w:szCs w:val="28"/>
          <w14:ligatures w14:val="none"/>
        </w:rPr>
        <w:t>.</w:t>
      </w:r>
    </w:p>
    <w:p w14:paraId="15BEF741"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127A1">
        <w:rPr>
          <w:rFonts w:ascii="Sakkal Majalla" w:eastAsia="Times New Roman" w:hAnsi="Sakkal Majalla" w:cs="Sakkal Majalla"/>
          <w:b/>
          <w:bCs/>
          <w:color w:val="000000" w:themeColor="text1"/>
          <w:kern w:val="0"/>
          <w:sz w:val="32"/>
          <w:szCs w:val="32"/>
          <w:rtl/>
          <w14:ligatures w14:val="none"/>
        </w:rPr>
        <w:t>ثانياً: جاهزية المنشآت الصناعية لمواجهة التسربات الكيميائية</w:t>
      </w:r>
      <w:r w:rsidRPr="00E127A1">
        <w:rPr>
          <w:rFonts w:ascii="Sakkal Majalla" w:eastAsia="Times New Roman" w:hAnsi="Sakkal Majalla" w:cs="Sakkal Majalla"/>
          <w:b/>
          <w:bCs/>
          <w:color w:val="000000" w:themeColor="text1"/>
          <w:kern w:val="0"/>
          <w:sz w:val="32"/>
          <w:szCs w:val="32"/>
          <w14:ligatures w14:val="none"/>
        </w:rPr>
        <w:t xml:space="preserve"> (Industrial Facilities Readiness for Chemical Leaks)</w:t>
      </w:r>
    </w:p>
    <w:p w14:paraId="5A203561" w14:textId="77777777"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يُعد مفهوم الجاهزية من المفاهيم الإدارية الاستراتيجية التي تعكس قدرة المنظمة واستعدادها للتعامل مع المتغيرات والتحديات المحيطة بها. وتُعرّف الجاهزية الاستراتيجية بأنها قدرة المنظمة على التنبؤ بالمتغيرات الداخلية والخارجية للبيئة التي تعمل بها والاستعداد لمواجهتها والتعامل معها بمرونة عالية وكفاءة من أجل تحقيق الأهداف (البصو، 2025). كما تُعرّف الجاهزية التنظيمية بأنها حالة الاستعداد الشامل التي تمتلكها المنظمة من حيث دعم الإدارة العليا والثقافة التنظيمية والمرونة التنظيمية ووضوح الرؤية، والتي تُمكّنها من التكيف مع المتغيرات وتحقيق أهدافها الاستراتيجية (حسين وعلوان، 2023)</w:t>
      </w:r>
      <w:r w:rsidRPr="00E127A1">
        <w:rPr>
          <w:rFonts w:ascii="Sakkal Majalla" w:eastAsia="Times New Roman" w:hAnsi="Sakkal Majalla" w:cs="Sakkal Majalla"/>
          <w:color w:val="000000" w:themeColor="text1"/>
          <w:kern w:val="0"/>
          <w:sz w:val="28"/>
          <w:szCs w:val="28"/>
          <w14:ligatures w14:val="none"/>
        </w:rPr>
        <w:t>.</w:t>
      </w:r>
    </w:p>
    <w:p w14:paraId="20ACAFFE" w14:textId="77777777"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وتُعرّف جاهزية المنشآت الصناعية لمواجهة التسربات الكيميائية إجرائياً في هذه الدراسة بأنها الدرجة التي تمتلك عندها المنشأة الصناعية القدرات والإمكانيات والموارد البشرية والتقنية والتنظيمية اللازمة للتعامل الفعال مع حالات التسرب الكيميائي بمراحلها المختلفة من الاكتشاف والاحتواء والمعالجة والتعافي، بما يضمن حماية العاملين والبيئة المحيطة وتقليل الخسائر المادية والبشرية. ويتضمن هذا المفهوم عدة مكونات تشمل جاهزية الكوادر البشرية المؤهلة والمدربة، وجاهزية المعدات والتجهيزات التقنية، وجاهزية الأنظمة والإجراءات التشغيلية، وجاهزية البنية التحتية للسلامة. وقد أكد</w:t>
      </w:r>
      <w:r w:rsidRPr="00E127A1">
        <w:rPr>
          <w:rFonts w:ascii="Sakkal Majalla" w:eastAsia="Times New Roman" w:hAnsi="Sakkal Majalla" w:cs="Sakkal Majalla"/>
          <w:color w:val="000000" w:themeColor="text1"/>
          <w:kern w:val="0"/>
          <w:sz w:val="28"/>
          <w:szCs w:val="28"/>
          <w14:ligatures w14:val="none"/>
        </w:rPr>
        <w:t xml:space="preserve"> (Rajlić, Panić &amp; Đoković, 2025) </w:t>
      </w:r>
      <w:r w:rsidRPr="00E127A1">
        <w:rPr>
          <w:rFonts w:ascii="Sakkal Majalla" w:eastAsia="Times New Roman" w:hAnsi="Sakkal Majalla" w:cs="Sakkal Majalla"/>
          <w:color w:val="000000" w:themeColor="text1"/>
          <w:kern w:val="0"/>
          <w:sz w:val="28"/>
          <w:szCs w:val="28"/>
          <w:rtl/>
          <w14:ligatures w14:val="none"/>
        </w:rPr>
        <w:t>أن كثيراً من المنشآت الصناعية تمتلك وثائق تخطيط للطوارئ إلا أنها تفتقر إلى التطبيق العملي والتدريب المستمر، مما يؤكد أن الجاهزية الحقيقية تتجاوز الجانب الوثائقي إلى الممارسة الفعلية المستدامة</w:t>
      </w:r>
      <w:r w:rsidRPr="00E127A1">
        <w:rPr>
          <w:rFonts w:ascii="Sakkal Majalla" w:eastAsia="Times New Roman" w:hAnsi="Sakkal Majalla" w:cs="Sakkal Majalla"/>
          <w:color w:val="000000" w:themeColor="text1"/>
          <w:kern w:val="0"/>
          <w:sz w:val="28"/>
          <w:szCs w:val="28"/>
          <w14:ligatures w14:val="none"/>
        </w:rPr>
        <w:t>.</w:t>
      </w:r>
    </w:p>
    <w:p w14:paraId="3D8C4B1F" w14:textId="3BD3EB58" w:rsidR="007467C7" w:rsidRPr="00E127A1" w:rsidRDefault="00C154A3" w:rsidP="00C154A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0" w:name="_Toc228121470"/>
      <w:r w:rsidRPr="00E127A1">
        <w:rPr>
          <w:rFonts w:ascii="Sakkal Majalla" w:eastAsia="Times New Roman" w:hAnsi="Sakkal Majalla" w:cs="Sakkal Majalla" w:hint="cs"/>
          <w:b/>
          <w:bCs/>
          <w:color w:val="000000" w:themeColor="text1"/>
          <w:kern w:val="0"/>
          <w:sz w:val="36"/>
          <w:szCs w:val="36"/>
          <w:rtl/>
          <w14:ligatures w14:val="none"/>
        </w:rPr>
        <w:lastRenderedPageBreak/>
        <w:t xml:space="preserve">10.1 </w:t>
      </w:r>
      <w:r w:rsidR="007467C7" w:rsidRPr="00E127A1">
        <w:rPr>
          <w:rFonts w:ascii="Sakkal Majalla" w:eastAsia="Times New Roman" w:hAnsi="Sakkal Majalla" w:cs="Sakkal Majalla"/>
          <w:b/>
          <w:bCs/>
          <w:color w:val="000000" w:themeColor="text1"/>
          <w:kern w:val="0"/>
          <w:sz w:val="36"/>
          <w:szCs w:val="36"/>
          <w:rtl/>
          <w14:ligatures w14:val="none"/>
        </w:rPr>
        <w:t>منهجية الدراسة</w:t>
      </w:r>
      <w:bookmarkEnd w:id="10"/>
    </w:p>
    <w:p w14:paraId="4A2AC6F1" w14:textId="77777777"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حيث سيُستخدم هذا المنهج في وصف وتحليل أثر إدارة الأزمات البيئية بأبعادها (التخطيط الاستراتيجي للأزمات البيئية، الاستجابة السريعة للتسربات الكيميائية، التنسيق المؤسسي لمواجهة الأزمات، التقييم البيئي والتحسين المستمر) على تعزيز جاهزية المنشآت الصناعية لمواجهة التسربات الكيميائية في المنطقة الشرقية بالمملكة العربية السعودية. وسيتم من خلال هذا المنهج جمع البيانات والمعلومات حول الظاهرة المدروسة ووصفها وصفاً دقيقاً والتعبير عنها كمياً وكيفياً، بما يُمكّن الباحث من الوصول إلى استنتاجات علمية دقيقة تُسهم في فهم واقع الظاهرة وتفسيرها</w:t>
      </w:r>
      <w:r w:rsidRPr="00E127A1">
        <w:rPr>
          <w:rFonts w:ascii="Sakkal Majalla" w:eastAsia="Times New Roman" w:hAnsi="Sakkal Majalla" w:cs="Sakkal Majalla"/>
          <w:color w:val="000000" w:themeColor="text1"/>
          <w:kern w:val="0"/>
          <w:sz w:val="28"/>
          <w:szCs w:val="28"/>
          <w14:ligatures w14:val="none"/>
        </w:rPr>
        <w:t>.</w:t>
      </w:r>
    </w:p>
    <w:p w14:paraId="661EEDDB" w14:textId="77777777"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وسيتضمن المنهج الوصفي التحليلي شقين أساسيين</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الشق الأول يتمثل في الجانب النظري الذي سيعتمد على مراجعة الأدبيات والدراسات السابقة والكتب والدوريات العلمية والمراجع العربية والأجنبية ذات الصلة بمتغيرات الدراسة لبناء الإطار النظري للدراسة، أما الشق الثاني فيتمثل في الجانب الميداني التطبيقي الذي سيعتمد على تصميم استبانة كأداة رئيسية لجمع البيانات الأولية من أفراد عينة الدراسة، ومن ثم تحليلها إحصائياً باستخدام برنامج الحزم الإحصائية للعلوم الاجتماعية</w:t>
      </w:r>
      <w:r w:rsidRPr="00E127A1">
        <w:rPr>
          <w:rFonts w:ascii="Sakkal Majalla" w:eastAsia="Times New Roman" w:hAnsi="Sakkal Majalla" w:cs="Sakkal Majalla"/>
          <w:color w:val="000000" w:themeColor="text1"/>
          <w:kern w:val="0"/>
          <w:sz w:val="28"/>
          <w:szCs w:val="28"/>
          <w14:ligatures w14:val="none"/>
        </w:rPr>
        <w:t xml:space="preserve"> (SPSS) </w:t>
      </w:r>
      <w:r w:rsidRPr="00E127A1">
        <w:rPr>
          <w:rFonts w:ascii="Sakkal Majalla" w:eastAsia="Times New Roman" w:hAnsi="Sakkal Majalla" w:cs="Sakkal Majalla"/>
          <w:color w:val="000000" w:themeColor="text1"/>
          <w:kern w:val="0"/>
          <w:sz w:val="28"/>
          <w:szCs w:val="28"/>
          <w:rtl/>
          <w14:ligatures w14:val="none"/>
        </w:rPr>
        <w:t>وذلك لاختبار فرضيات الدراسة والإجابة عن تساؤلاتها والوصول إلى النتائج والتوصيات</w:t>
      </w:r>
      <w:r w:rsidRPr="00E127A1">
        <w:rPr>
          <w:rFonts w:ascii="Sakkal Majalla" w:eastAsia="Times New Roman" w:hAnsi="Sakkal Majalla" w:cs="Sakkal Majalla"/>
          <w:color w:val="000000" w:themeColor="text1"/>
          <w:kern w:val="0"/>
          <w:sz w:val="28"/>
          <w:szCs w:val="28"/>
          <w14:ligatures w14:val="none"/>
        </w:rPr>
        <w:t>.</w:t>
      </w:r>
    </w:p>
    <w:p w14:paraId="1A223A09" w14:textId="179B362B" w:rsidR="007467C7" w:rsidRPr="00E127A1" w:rsidRDefault="00C154A3" w:rsidP="00C154A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1" w:name="_Toc228121471"/>
      <w:r w:rsidRPr="00E127A1">
        <w:rPr>
          <w:rFonts w:ascii="Sakkal Majalla" w:eastAsia="Times New Roman" w:hAnsi="Sakkal Majalla" w:cs="Sakkal Majalla" w:hint="cs"/>
          <w:b/>
          <w:bCs/>
          <w:color w:val="000000" w:themeColor="text1"/>
          <w:kern w:val="0"/>
          <w:sz w:val="36"/>
          <w:szCs w:val="36"/>
          <w:rtl/>
          <w14:ligatures w14:val="none"/>
        </w:rPr>
        <w:t xml:space="preserve">11.1 </w:t>
      </w:r>
      <w:r w:rsidR="007467C7" w:rsidRPr="00E127A1">
        <w:rPr>
          <w:rFonts w:ascii="Sakkal Majalla" w:eastAsia="Times New Roman" w:hAnsi="Sakkal Majalla" w:cs="Sakkal Majalla"/>
          <w:b/>
          <w:bCs/>
          <w:color w:val="000000" w:themeColor="text1"/>
          <w:kern w:val="0"/>
          <w:sz w:val="36"/>
          <w:szCs w:val="36"/>
          <w:rtl/>
          <w14:ligatures w14:val="none"/>
        </w:rPr>
        <w:t>مجتمع وعينة الدراسة</w:t>
      </w:r>
      <w:bookmarkEnd w:id="11"/>
    </w:p>
    <w:p w14:paraId="2E193D78" w14:textId="77777777"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سيتكون مجتمع الدراسة من جميع العاملين في المستويات الإدارية (العليا والوسطى والتنفيذية) في المنشآت الصناعية الكبرى العاملة في المنطقة الشرقية بالمملكة العربية السعودية، والتي تتعامل مع المواد الكيميائية وتخضع لأنظمة السلامة البيئية، وتشمل المنشآت العاملة في قطاعات البتروكيماويات والتكرير والصناعات التحويلية والكيميائية المتمركزة في مدن الجبيل الصناعية والدمام والظهران ورأس تنورة. ويُقدّر حجم مجتمع الدراسة بنحو (2500) موظف وموظفة من العاملين في إدارات السلامة والصحة المهنية وإدارات البيئة وإدارات الأزمات والطوارئ وإدارات العمليات والإنتاج في هذه المنشآت الصناعية</w:t>
      </w:r>
      <w:r w:rsidRPr="00E127A1">
        <w:rPr>
          <w:rFonts w:ascii="Sakkal Majalla" w:eastAsia="Times New Roman" w:hAnsi="Sakkal Majalla" w:cs="Sakkal Majalla"/>
          <w:color w:val="000000" w:themeColor="text1"/>
          <w:kern w:val="0"/>
          <w:sz w:val="28"/>
          <w:szCs w:val="28"/>
          <w14:ligatures w14:val="none"/>
        </w:rPr>
        <w:t>.</w:t>
      </w:r>
    </w:p>
    <w:p w14:paraId="1957E20A" w14:textId="77777777"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وسيتم اختيار عينة الدراسة باستخدام أسلوب العينة العشوائية الطبقية التناسبية لضمان تمثيل مختلف المستويات الإدارية والقطاعات الصناعية في العينة، وذلك وفقاً لمعادلة</w:t>
      </w:r>
      <w:r w:rsidRPr="00E127A1">
        <w:rPr>
          <w:rFonts w:ascii="Sakkal Majalla" w:eastAsia="Times New Roman" w:hAnsi="Sakkal Majalla" w:cs="Sakkal Majalla"/>
          <w:color w:val="000000" w:themeColor="text1"/>
          <w:kern w:val="0"/>
          <w:sz w:val="28"/>
          <w:szCs w:val="28"/>
          <w14:ligatures w14:val="none"/>
        </w:rPr>
        <w:t xml:space="preserve"> (Steven Thompson) </w:t>
      </w:r>
      <w:r w:rsidRPr="00E127A1">
        <w:rPr>
          <w:rFonts w:ascii="Sakkal Majalla" w:eastAsia="Times New Roman" w:hAnsi="Sakkal Majalla" w:cs="Sakkal Majalla"/>
          <w:color w:val="000000" w:themeColor="text1"/>
          <w:kern w:val="0"/>
          <w:sz w:val="28"/>
          <w:szCs w:val="28"/>
          <w:rtl/>
          <w14:ligatures w14:val="none"/>
        </w:rPr>
        <w:t>لتحديد حجم العينة عند مستوى ثقة (95%) وهامش خطأ (5%)، حيث سيبلغ الحد الأدنى لحجم العينة المطلوب نحو (334) مفردة. وسيتم توزيع (400) استبانة على أفراد العينة لضمان الحصول على عدد كافٍ من الاستبانات الصالحة للتحليل الإحصائي بعد استبعاد الاستبانات غير المكتملة أو غير الصالحة، مع مراعاة التوزيع النسبي للعينة على المنشآت الصناعية المختلفة وفقاً لحجم العمالة في كل منشأة</w:t>
      </w:r>
      <w:r w:rsidRPr="00E127A1">
        <w:rPr>
          <w:rFonts w:ascii="Sakkal Majalla" w:eastAsia="Times New Roman" w:hAnsi="Sakkal Majalla" w:cs="Sakkal Majalla"/>
          <w:color w:val="000000" w:themeColor="text1"/>
          <w:kern w:val="0"/>
          <w:sz w:val="28"/>
          <w:szCs w:val="28"/>
          <w14:ligatures w14:val="none"/>
        </w:rPr>
        <w:t>.</w:t>
      </w:r>
    </w:p>
    <w:p w14:paraId="70558076" w14:textId="2961F27B" w:rsidR="007467C7" w:rsidRPr="00E127A1" w:rsidRDefault="00C154A3" w:rsidP="00C154A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2" w:name="_Toc228121472"/>
      <w:r w:rsidRPr="00E127A1">
        <w:rPr>
          <w:rFonts w:ascii="Sakkal Majalla" w:eastAsia="Times New Roman" w:hAnsi="Sakkal Majalla" w:cs="Sakkal Majalla" w:hint="cs"/>
          <w:b/>
          <w:bCs/>
          <w:color w:val="000000" w:themeColor="text1"/>
          <w:kern w:val="0"/>
          <w:sz w:val="36"/>
          <w:szCs w:val="36"/>
          <w:rtl/>
          <w14:ligatures w14:val="none"/>
        </w:rPr>
        <w:t xml:space="preserve">12.1 </w:t>
      </w:r>
      <w:r w:rsidR="007467C7" w:rsidRPr="00E127A1">
        <w:rPr>
          <w:rFonts w:ascii="Sakkal Majalla" w:eastAsia="Times New Roman" w:hAnsi="Sakkal Majalla" w:cs="Sakkal Majalla"/>
          <w:b/>
          <w:bCs/>
          <w:color w:val="000000" w:themeColor="text1"/>
          <w:kern w:val="0"/>
          <w:sz w:val="36"/>
          <w:szCs w:val="36"/>
          <w:rtl/>
          <w14:ligatures w14:val="none"/>
        </w:rPr>
        <w:t>مصادر جمع البيانات</w:t>
      </w:r>
      <w:bookmarkEnd w:id="12"/>
    </w:p>
    <w:p w14:paraId="1B2E2EEC" w14:textId="77777777" w:rsidR="007467C7" w:rsidRPr="00E127A1" w:rsidRDefault="007467C7" w:rsidP="000011E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ستعتمد الدراسة على مصدرين أساسيين لجمع البيانات</w:t>
      </w:r>
      <w:r w:rsidRPr="00E127A1">
        <w:rPr>
          <w:rFonts w:ascii="Sakkal Majalla" w:eastAsia="Times New Roman" w:hAnsi="Sakkal Majalla" w:cs="Sakkal Majalla"/>
          <w:color w:val="000000" w:themeColor="text1"/>
          <w:kern w:val="0"/>
          <w:sz w:val="28"/>
          <w:szCs w:val="28"/>
          <w14:ligatures w14:val="none"/>
        </w:rPr>
        <w:t>:</w:t>
      </w:r>
    </w:p>
    <w:p w14:paraId="55CAD78B" w14:textId="77777777"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المصادر الثانوية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(ماجستير ودكتوراه)، والتقارير والنشرات الرسمية الصادرة عن الجهات ذات العلاقة، وقواعد البيانات الإلكترونية والمواقع العلمية المتخصصة، وذلك لبناء الإطار النظري للدراسة والاطلاع على الدراسات السابقة ذات الصلة بموضوع الدراسة</w:t>
      </w:r>
      <w:r w:rsidRPr="00E127A1">
        <w:rPr>
          <w:rFonts w:ascii="Sakkal Majalla" w:eastAsia="Times New Roman" w:hAnsi="Sakkal Majalla" w:cs="Sakkal Majalla"/>
          <w:color w:val="000000" w:themeColor="text1"/>
          <w:kern w:val="0"/>
          <w:sz w:val="28"/>
          <w:szCs w:val="28"/>
          <w14:ligatures w14:val="none"/>
        </w:rPr>
        <w:t>.</w:t>
      </w:r>
    </w:p>
    <w:p w14:paraId="7E5E006F" w14:textId="3F0D1026" w:rsidR="007467C7" w:rsidRPr="00E127A1" w:rsidRDefault="007467C7" w:rsidP="00062076">
      <w:pPr>
        <w:pStyle w:val="a8"/>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المصادر الأولية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وتتمثل في البيانات التي سيتم جمعها ميدانياً من أفراد عينة الدراسة من خلال أداة الاستبانة التي سيتم تصميمها وتطويرها خصيصاً لأغراض هذه الدراسة، والتي ستُغطي جميع متغيرات الدراسة وأبعادها</w:t>
      </w:r>
      <w:r w:rsidRPr="00E127A1">
        <w:rPr>
          <w:rFonts w:ascii="Sakkal Majalla" w:eastAsia="Times New Roman" w:hAnsi="Sakkal Majalla" w:cs="Sakkal Majalla"/>
          <w:color w:val="000000" w:themeColor="text1"/>
          <w:kern w:val="0"/>
          <w:sz w:val="28"/>
          <w:szCs w:val="28"/>
          <w14:ligatures w14:val="none"/>
        </w:rPr>
        <w:t>.</w:t>
      </w:r>
    </w:p>
    <w:p w14:paraId="77439BDB" w14:textId="73C1D443" w:rsidR="007467C7" w:rsidRPr="00E127A1" w:rsidRDefault="00C154A3" w:rsidP="00C154A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3" w:name="_Toc228121473"/>
      <w:r w:rsidRPr="00E127A1">
        <w:rPr>
          <w:rFonts w:ascii="Sakkal Majalla" w:eastAsia="Times New Roman" w:hAnsi="Sakkal Majalla" w:cs="Sakkal Majalla" w:hint="cs"/>
          <w:b/>
          <w:bCs/>
          <w:color w:val="000000" w:themeColor="text1"/>
          <w:kern w:val="0"/>
          <w:sz w:val="36"/>
          <w:szCs w:val="36"/>
          <w:rtl/>
          <w14:ligatures w14:val="none"/>
        </w:rPr>
        <w:t xml:space="preserve">13.1 </w:t>
      </w:r>
      <w:r w:rsidR="007467C7" w:rsidRPr="00E127A1">
        <w:rPr>
          <w:rFonts w:ascii="Sakkal Majalla" w:eastAsia="Times New Roman" w:hAnsi="Sakkal Majalla" w:cs="Sakkal Majalla"/>
          <w:b/>
          <w:bCs/>
          <w:color w:val="000000" w:themeColor="text1"/>
          <w:kern w:val="0"/>
          <w:sz w:val="36"/>
          <w:szCs w:val="36"/>
          <w:rtl/>
          <w14:ligatures w14:val="none"/>
        </w:rPr>
        <w:t>أداة الدراسة (الاستبانة)</w:t>
      </w:r>
      <w:bookmarkEnd w:id="13"/>
    </w:p>
    <w:p w14:paraId="77BF125F" w14:textId="77777777"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سيتم تصميم استبانة كأداة رئيسية لجمع البيانات الأولية، وستتكون من ثلاثة أقسام رئيسية على النحو التالي</w:t>
      </w:r>
      <w:r w:rsidRPr="00E127A1">
        <w:rPr>
          <w:rFonts w:ascii="Sakkal Majalla" w:eastAsia="Times New Roman" w:hAnsi="Sakkal Majalla" w:cs="Sakkal Majalla"/>
          <w:color w:val="000000" w:themeColor="text1"/>
          <w:kern w:val="0"/>
          <w:sz w:val="28"/>
          <w:szCs w:val="28"/>
          <w14:ligatures w14:val="none"/>
        </w:rPr>
        <w:t>:</w:t>
      </w:r>
    </w:p>
    <w:p w14:paraId="7830C36A"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lastRenderedPageBreak/>
        <w:t>القسم الأول: البيانات الديموغرافية</w:t>
      </w:r>
      <w:r w:rsidRPr="00E127A1">
        <w:rPr>
          <w:rFonts w:ascii="Sakkal Majalla" w:eastAsia="Times New Roman" w:hAnsi="Sakkal Majalla" w:cs="Sakkal Majalla"/>
          <w:color w:val="000000" w:themeColor="text1"/>
          <w:kern w:val="0"/>
          <w:sz w:val="28"/>
          <w:szCs w:val="28"/>
          <w:rtl/>
          <w14:ligatures w14:val="none"/>
        </w:rPr>
        <w:t xml:space="preserve"> سيتضمن هذا القسم البيانات الشخصية والوظيفية لأفراد عينة الدراسة، وتشمل </w:t>
      </w:r>
      <w:r w:rsidRPr="00E127A1">
        <w:rPr>
          <w:rFonts w:ascii="Sakkal Majalla" w:eastAsia="Times New Roman" w:hAnsi="Sakkal Majalla" w:cs="Sakkal Majalla"/>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rtl/>
          <w14:ligatures w14:val="none"/>
        </w:rPr>
        <w:t>المؤهل العلمي، سنوات الخبرة، المستوى الوظيفي، طبيعة النشاط الصناعي</w:t>
      </w:r>
      <w:r w:rsidRPr="00E127A1">
        <w:rPr>
          <w:rFonts w:ascii="Sakkal Majalla" w:eastAsia="Times New Roman" w:hAnsi="Sakkal Majalla" w:cs="Sakkal Majalla"/>
          <w:color w:val="000000" w:themeColor="text1"/>
          <w:kern w:val="0"/>
          <w:sz w:val="28"/>
          <w:szCs w:val="28"/>
          <w14:ligatures w14:val="none"/>
        </w:rPr>
        <w:t>).</w:t>
      </w:r>
    </w:p>
    <w:p w14:paraId="01C5B1EC"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القسم الثاني: المتغير المستقل (إدارة الأزمات البيئية)</w:t>
      </w:r>
      <w:r w:rsidRPr="00E127A1">
        <w:rPr>
          <w:rFonts w:ascii="Sakkal Majalla" w:eastAsia="Times New Roman" w:hAnsi="Sakkal Majalla" w:cs="Sakkal Majalla"/>
          <w:color w:val="000000" w:themeColor="text1"/>
          <w:kern w:val="0"/>
          <w:sz w:val="28"/>
          <w:szCs w:val="28"/>
          <w:rtl/>
          <w14:ligatures w14:val="none"/>
        </w:rPr>
        <w:t xml:space="preserve"> سيتضمن هذا القسم (16) فقرة موزعة على أربعة أبعاد على النحو التالي</w:t>
      </w:r>
      <w:r w:rsidRPr="00E127A1">
        <w:rPr>
          <w:rFonts w:ascii="Sakkal Majalla" w:eastAsia="Times New Roman" w:hAnsi="Sakkal Majalla" w:cs="Sakkal Majalla"/>
          <w:color w:val="000000" w:themeColor="text1"/>
          <w:kern w:val="0"/>
          <w:sz w:val="28"/>
          <w:szCs w:val="28"/>
          <w14:ligatures w14:val="none"/>
        </w:rPr>
        <w:t>:</w:t>
      </w:r>
    </w:p>
    <w:tbl>
      <w:tblPr>
        <w:tblStyle w:val="6-1"/>
        <w:bidiVisual/>
        <w:tblW w:w="0" w:type="auto"/>
        <w:jc w:val="center"/>
        <w:tblLook w:val="04A0" w:firstRow="1" w:lastRow="0" w:firstColumn="1" w:lastColumn="0" w:noHBand="0" w:noVBand="1"/>
      </w:tblPr>
      <w:tblGrid>
        <w:gridCol w:w="3436"/>
        <w:gridCol w:w="1520"/>
      </w:tblGrid>
      <w:tr w:rsidR="000011E2" w:rsidRPr="00E127A1" w14:paraId="0867F7F7" w14:textId="77777777" w:rsidTr="00C154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475A51" w14:textId="77777777" w:rsidR="007467C7" w:rsidRPr="00E127A1" w:rsidRDefault="007467C7" w:rsidP="00C154A3">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E127A1">
              <w:rPr>
                <w:rFonts w:ascii="Sakkal Majalla" w:eastAsia="Times New Roman" w:hAnsi="Sakkal Majalla" w:cs="Sakkal Majalla"/>
                <w:b w:val="0"/>
                <w:bCs w:val="0"/>
                <w:color w:val="000000" w:themeColor="text1"/>
                <w:kern w:val="0"/>
                <w:sz w:val="28"/>
                <w:szCs w:val="28"/>
                <w:rtl/>
                <w14:ligatures w14:val="none"/>
              </w:rPr>
              <w:t>البُعد</w:t>
            </w:r>
          </w:p>
        </w:tc>
        <w:tc>
          <w:tcPr>
            <w:tcW w:w="1520" w:type="dxa"/>
            <w:vAlign w:val="center"/>
            <w:hideMark/>
          </w:tcPr>
          <w:p w14:paraId="04609605" w14:textId="77777777" w:rsidR="007467C7" w:rsidRPr="00E127A1" w:rsidRDefault="007467C7" w:rsidP="00C154A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E127A1">
              <w:rPr>
                <w:rFonts w:ascii="Sakkal Majalla" w:eastAsia="Times New Roman" w:hAnsi="Sakkal Majalla" w:cs="Sakkal Majalla"/>
                <w:b w:val="0"/>
                <w:bCs w:val="0"/>
                <w:color w:val="000000" w:themeColor="text1"/>
                <w:kern w:val="0"/>
                <w:sz w:val="28"/>
                <w:szCs w:val="28"/>
                <w:rtl/>
                <w14:ligatures w14:val="none"/>
              </w:rPr>
              <w:t>عدد الفقرات</w:t>
            </w:r>
          </w:p>
        </w:tc>
      </w:tr>
      <w:tr w:rsidR="000011E2" w:rsidRPr="00E127A1" w14:paraId="3F106C1D" w14:textId="77777777" w:rsidTr="00C154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A07069" w14:textId="77777777" w:rsidR="007467C7" w:rsidRPr="00E127A1" w:rsidRDefault="007467C7" w:rsidP="00C154A3">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التخطيط الاستراتيجي للأزمات البيئية</w:t>
            </w:r>
          </w:p>
        </w:tc>
        <w:tc>
          <w:tcPr>
            <w:tcW w:w="1520" w:type="dxa"/>
            <w:vAlign w:val="center"/>
            <w:hideMark/>
          </w:tcPr>
          <w:p w14:paraId="01053009" w14:textId="77777777" w:rsidR="007467C7" w:rsidRPr="00E127A1" w:rsidRDefault="007467C7" w:rsidP="00C154A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14:ligatures w14:val="none"/>
              </w:rPr>
              <w:t xml:space="preserve">(4) </w:t>
            </w:r>
            <w:r w:rsidRPr="00E127A1">
              <w:rPr>
                <w:rFonts w:ascii="Sakkal Majalla" w:eastAsia="Times New Roman" w:hAnsi="Sakkal Majalla" w:cs="Sakkal Majalla"/>
                <w:color w:val="000000" w:themeColor="text1"/>
                <w:kern w:val="0"/>
                <w:sz w:val="28"/>
                <w:szCs w:val="28"/>
                <w:rtl/>
                <w14:ligatures w14:val="none"/>
              </w:rPr>
              <w:t>فقرات</w:t>
            </w:r>
          </w:p>
        </w:tc>
      </w:tr>
      <w:tr w:rsidR="000011E2" w:rsidRPr="00E127A1" w14:paraId="5DEC2287" w14:textId="77777777" w:rsidTr="00C154A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1059C4" w14:textId="77777777" w:rsidR="007467C7" w:rsidRPr="00E127A1" w:rsidRDefault="007467C7" w:rsidP="00C154A3">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الاستجابة السريعة للتسربات الكيميائية</w:t>
            </w:r>
          </w:p>
        </w:tc>
        <w:tc>
          <w:tcPr>
            <w:tcW w:w="1520" w:type="dxa"/>
            <w:vAlign w:val="center"/>
            <w:hideMark/>
          </w:tcPr>
          <w:p w14:paraId="3250B994" w14:textId="77777777" w:rsidR="007467C7" w:rsidRPr="00E127A1" w:rsidRDefault="007467C7" w:rsidP="00C154A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14:ligatures w14:val="none"/>
              </w:rPr>
              <w:t xml:space="preserve">(4) </w:t>
            </w:r>
            <w:r w:rsidRPr="00E127A1">
              <w:rPr>
                <w:rFonts w:ascii="Sakkal Majalla" w:eastAsia="Times New Roman" w:hAnsi="Sakkal Majalla" w:cs="Sakkal Majalla"/>
                <w:color w:val="000000" w:themeColor="text1"/>
                <w:kern w:val="0"/>
                <w:sz w:val="28"/>
                <w:szCs w:val="28"/>
                <w:rtl/>
                <w14:ligatures w14:val="none"/>
              </w:rPr>
              <w:t>فقرات</w:t>
            </w:r>
          </w:p>
        </w:tc>
      </w:tr>
      <w:tr w:rsidR="000011E2" w:rsidRPr="00E127A1" w14:paraId="77277C10" w14:textId="77777777" w:rsidTr="00C154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F584FC" w14:textId="77777777" w:rsidR="007467C7" w:rsidRPr="00E127A1" w:rsidRDefault="007467C7" w:rsidP="00C154A3">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التنسيق المؤسسي لمواجهة الأزمات</w:t>
            </w:r>
          </w:p>
        </w:tc>
        <w:tc>
          <w:tcPr>
            <w:tcW w:w="1520" w:type="dxa"/>
            <w:vAlign w:val="center"/>
            <w:hideMark/>
          </w:tcPr>
          <w:p w14:paraId="53FB9F9F" w14:textId="77777777" w:rsidR="007467C7" w:rsidRPr="00E127A1" w:rsidRDefault="007467C7" w:rsidP="00C154A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14:ligatures w14:val="none"/>
              </w:rPr>
              <w:t xml:space="preserve">(4) </w:t>
            </w:r>
            <w:r w:rsidRPr="00E127A1">
              <w:rPr>
                <w:rFonts w:ascii="Sakkal Majalla" w:eastAsia="Times New Roman" w:hAnsi="Sakkal Majalla" w:cs="Sakkal Majalla"/>
                <w:color w:val="000000" w:themeColor="text1"/>
                <w:kern w:val="0"/>
                <w:sz w:val="28"/>
                <w:szCs w:val="28"/>
                <w:rtl/>
                <w14:ligatures w14:val="none"/>
              </w:rPr>
              <w:t>فقرات</w:t>
            </w:r>
          </w:p>
        </w:tc>
      </w:tr>
      <w:tr w:rsidR="000011E2" w:rsidRPr="00E127A1" w14:paraId="79778D80" w14:textId="77777777" w:rsidTr="00C154A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CF61D5" w14:textId="77777777" w:rsidR="007467C7" w:rsidRPr="00E127A1" w:rsidRDefault="007467C7" w:rsidP="00C154A3">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التقييم البيئي والتحسين المستمر</w:t>
            </w:r>
          </w:p>
        </w:tc>
        <w:tc>
          <w:tcPr>
            <w:tcW w:w="1520" w:type="dxa"/>
            <w:vAlign w:val="center"/>
            <w:hideMark/>
          </w:tcPr>
          <w:p w14:paraId="6EE8F122" w14:textId="77777777" w:rsidR="007467C7" w:rsidRPr="00E127A1" w:rsidRDefault="007467C7" w:rsidP="00C154A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14:ligatures w14:val="none"/>
              </w:rPr>
              <w:t xml:space="preserve">(4) </w:t>
            </w:r>
            <w:r w:rsidRPr="00E127A1">
              <w:rPr>
                <w:rFonts w:ascii="Sakkal Majalla" w:eastAsia="Times New Roman" w:hAnsi="Sakkal Majalla" w:cs="Sakkal Majalla"/>
                <w:color w:val="000000" w:themeColor="text1"/>
                <w:kern w:val="0"/>
                <w:sz w:val="28"/>
                <w:szCs w:val="28"/>
                <w:rtl/>
                <w14:ligatures w14:val="none"/>
              </w:rPr>
              <w:t>فقرات</w:t>
            </w:r>
          </w:p>
        </w:tc>
      </w:tr>
      <w:tr w:rsidR="000011E2" w:rsidRPr="00E127A1" w14:paraId="04C38A04" w14:textId="77777777" w:rsidTr="00C154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7C53EB" w14:textId="77777777" w:rsidR="007467C7" w:rsidRPr="00E127A1" w:rsidRDefault="007467C7" w:rsidP="00C154A3">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val="0"/>
                <w:bCs w:val="0"/>
                <w:color w:val="000000" w:themeColor="text1"/>
                <w:kern w:val="0"/>
                <w:sz w:val="28"/>
                <w:szCs w:val="28"/>
                <w:rtl/>
                <w14:ligatures w14:val="none"/>
              </w:rPr>
              <w:t>الإجمالي</w:t>
            </w:r>
          </w:p>
        </w:tc>
        <w:tc>
          <w:tcPr>
            <w:tcW w:w="1520" w:type="dxa"/>
            <w:vAlign w:val="center"/>
            <w:hideMark/>
          </w:tcPr>
          <w:p w14:paraId="0EAC5848" w14:textId="77777777" w:rsidR="007467C7" w:rsidRPr="00E127A1" w:rsidRDefault="007467C7" w:rsidP="00C154A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14:ligatures w14:val="none"/>
              </w:rPr>
              <w:t xml:space="preserve">(16) </w:t>
            </w:r>
            <w:r w:rsidRPr="00E127A1">
              <w:rPr>
                <w:rFonts w:ascii="Sakkal Majalla" w:eastAsia="Times New Roman" w:hAnsi="Sakkal Majalla" w:cs="Sakkal Majalla"/>
                <w:b/>
                <w:bCs/>
                <w:color w:val="000000" w:themeColor="text1"/>
                <w:kern w:val="0"/>
                <w:sz w:val="28"/>
                <w:szCs w:val="28"/>
                <w:rtl/>
                <w14:ligatures w14:val="none"/>
              </w:rPr>
              <w:t>فقرة</w:t>
            </w:r>
          </w:p>
        </w:tc>
      </w:tr>
    </w:tbl>
    <w:p w14:paraId="5C927658"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القسم الثالث: المتغير التابع (جاهزية المنشآت الصناعية لمواجهة التسربات الكيميائية)</w:t>
      </w:r>
      <w:r w:rsidRPr="00E127A1">
        <w:rPr>
          <w:rFonts w:ascii="Sakkal Majalla" w:eastAsia="Times New Roman" w:hAnsi="Sakkal Majalla" w:cs="Sakkal Majalla"/>
          <w:color w:val="000000" w:themeColor="text1"/>
          <w:kern w:val="0"/>
          <w:sz w:val="28"/>
          <w:szCs w:val="28"/>
          <w:rtl/>
          <w14:ligatures w14:val="none"/>
        </w:rPr>
        <w:t xml:space="preserve"> سيتضمن هذا القسم محوراً واحداً يتكون من (10) فقرات تقيس مستوى جاهزية المنشآت الصناعية لمواجهة التسربات الكيميائية</w:t>
      </w:r>
      <w:r w:rsidRPr="00E127A1">
        <w:rPr>
          <w:rFonts w:ascii="Sakkal Majalla" w:eastAsia="Times New Roman" w:hAnsi="Sakkal Majalla" w:cs="Sakkal Majalla"/>
          <w:color w:val="000000" w:themeColor="text1"/>
          <w:kern w:val="0"/>
          <w:sz w:val="28"/>
          <w:szCs w:val="28"/>
          <w14:ligatures w14:val="none"/>
        </w:rPr>
        <w:t>.</w:t>
      </w:r>
    </w:p>
    <w:p w14:paraId="2F804EEB" w14:textId="209284C2"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وبذلك سيبلغ إجمالي عدد فقرات الاستبانة </w:t>
      </w:r>
      <w:r w:rsidRPr="00E127A1">
        <w:rPr>
          <w:rFonts w:ascii="Sakkal Majalla" w:eastAsia="Times New Roman" w:hAnsi="Sakkal Majalla" w:cs="Sakkal Majalla"/>
          <w:b/>
          <w:bCs/>
          <w:color w:val="000000" w:themeColor="text1"/>
          <w:kern w:val="0"/>
          <w:sz w:val="28"/>
          <w:szCs w:val="28"/>
          <w14:ligatures w14:val="none"/>
        </w:rPr>
        <w:t xml:space="preserve">(26) </w:t>
      </w:r>
      <w:r w:rsidRPr="00E127A1">
        <w:rPr>
          <w:rFonts w:ascii="Sakkal Majalla" w:eastAsia="Times New Roman" w:hAnsi="Sakkal Majalla" w:cs="Sakkal Majalla"/>
          <w:b/>
          <w:bCs/>
          <w:color w:val="000000" w:themeColor="text1"/>
          <w:kern w:val="0"/>
          <w:sz w:val="28"/>
          <w:szCs w:val="28"/>
          <w:rtl/>
          <w14:ligatures w14:val="none"/>
        </w:rPr>
        <w:t>فقرة</w:t>
      </w:r>
      <w:r w:rsidRPr="00E127A1">
        <w:rPr>
          <w:rFonts w:ascii="Sakkal Majalla" w:eastAsia="Times New Roman" w:hAnsi="Sakkal Majalla" w:cs="Sakkal Majalla"/>
          <w:color w:val="000000" w:themeColor="text1"/>
          <w:kern w:val="0"/>
          <w:sz w:val="28"/>
          <w:szCs w:val="28"/>
          <w:rtl/>
          <w14:ligatures w14:val="none"/>
        </w:rPr>
        <w:t xml:space="preserve"> بالإضافة إلى فقرات البيانات الديموغرافية. وسيتم استخدام مقياس ليكرت الخماسي</w:t>
      </w:r>
      <w:r w:rsidRPr="00E127A1">
        <w:rPr>
          <w:rFonts w:ascii="Sakkal Majalla" w:eastAsia="Times New Roman" w:hAnsi="Sakkal Majalla" w:cs="Sakkal Majalla"/>
          <w:color w:val="000000" w:themeColor="text1"/>
          <w:kern w:val="0"/>
          <w:sz w:val="28"/>
          <w:szCs w:val="28"/>
          <w14:ligatures w14:val="none"/>
        </w:rPr>
        <w:t xml:space="preserve"> (Likert Scale) </w:t>
      </w:r>
      <w:r w:rsidRPr="00E127A1">
        <w:rPr>
          <w:rFonts w:ascii="Sakkal Majalla" w:eastAsia="Times New Roman" w:hAnsi="Sakkal Majalla" w:cs="Sakkal Majalla"/>
          <w:color w:val="000000" w:themeColor="text1"/>
          <w:kern w:val="0"/>
          <w:sz w:val="28"/>
          <w:szCs w:val="28"/>
          <w:rtl/>
          <w14:ligatures w14:val="none"/>
        </w:rPr>
        <w:t>لقياس استجابات أفراد العينة وفقاً للتدرج: (موافق بشدة = 5، موافق = 4، محايد = 3، غير موافق = 2، غير موافق بشدة = 1</w:t>
      </w:r>
      <w:r w:rsidRPr="00E127A1">
        <w:rPr>
          <w:rFonts w:ascii="Sakkal Majalla" w:eastAsia="Times New Roman" w:hAnsi="Sakkal Majalla" w:cs="Sakkal Majalla"/>
          <w:color w:val="000000" w:themeColor="text1"/>
          <w:kern w:val="0"/>
          <w:sz w:val="28"/>
          <w:szCs w:val="28"/>
          <w14:ligatures w14:val="none"/>
        </w:rPr>
        <w:t>).</w:t>
      </w:r>
    </w:p>
    <w:p w14:paraId="68605A52" w14:textId="76A92C40" w:rsidR="007467C7" w:rsidRPr="00E127A1" w:rsidRDefault="00C154A3" w:rsidP="00C154A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4" w:name="_Toc228121474"/>
      <w:r w:rsidRPr="00E127A1">
        <w:rPr>
          <w:rFonts w:ascii="Sakkal Majalla" w:eastAsia="Times New Roman" w:hAnsi="Sakkal Majalla" w:cs="Sakkal Majalla" w:hint="cs"/>
          <w:b/>
          <w:bCs/>
          <w:color w:val="000000" w:themeColor="text1"/>
          <w:kern w:val="0"/>
          <w:sz w:val="36"/>
          <w:szCs w:val="36"/>
          <w:rtl/>
          <w14:ligatures w14:val="none"/>
        </w:rPr>
        <w:t xml:space="preserve">14.1 </w:t>
      </w:r>
      <w:r w:rsidR="007467C7" w:rsidRPr="00E127A1">
        <w:rPr>
          <w:rFonts w:ascii="Sakkal Majalla" w:eastAsia="Times New Roman" w:hAnsi="Sakkal Majalla" w:cs="Sakkal Majalla"/>
          <w:b/>
          <w:bCs/>
          <w:color w:val="000000" w:themeColor="text1"/>
          <w:kern w:val="0"/>
          <w:sz w:val="36"/>
          <w:szCs w:val="36"/>
          <w:rtl/>
          <w14:ligatures w14:val="none"/>
        </w:rPr>
        <w:t>الأساليب الإحصائية المستخدمة</w:t>
      </w:r>
      <w:bookmarkEnd w:id="14"/>
    </w:p>
    <w:p w14:paraId="5375EA88" w14:textId="77777777" w:rsidR="007467C7" w:rsidRPr="00E127A1" w:rsidRDefault="007467C7" w:rsidP="00C154A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سيتم استخدام مجموعة من الأساليب الإحصائية المناسبة لتحليل البيانات ومعالجتها باستخدام برنامج الحزم الإحصائية للعلوم الاجتماعية</w:t>
      </w:r>
      <w:r w:rsidRPr="00E127A1">
        <w:rPr>
          <w:rFonts w:ascii="Sakkal Majalla" w:eastAsia="Times New Roman" w:hAnsi="Sakkal Majalla" w:cs="Sakkal Majalla"/>
          <w:color w:val="000000" w:themeColor="text1"/>
          <w:kern w:val="0"/>
          <w:sz w:val="28"/>
          <w:szCs w:val="28"/>
          <w14:ligatures w14:val="none"/>
        </w:rPr>
        <w:t xml:space="preserve"> (SPSS)</w:t>
      </w:r>
      <w:r w:rsidRPr="00E127A1">
        <w:rPr>
          <w:rFonts w:ascii="Sakkal Majalla" w:eastAsia="Times New Roman" w:hAnsi="Sakkal Majalla" w:cs="Sakkal Majalla"/>
          <w:color w:val="000000" w:themeColor="text1"/>
          <w:kern w:val="0"/>
          <w:sz w:val="28"/>
          <w:szCs w:val="28"/>
          <w:rtl/>
          <w14:ligatures w14:val="none"/>
        </w:rPr>
        <w:t>، وتشمل ما يلي</w:t>
      </w:r>
      <w:r w:rsidRPr="00E127A1">
        <w:rPr>
          <w:rFonts w:ascii="Sakkal Majalla" w:eastAsia="Times New Roman" w:hAnsi="Sakkal Majalla" w:cs="Sakkal Majalla"/>
          <w:color w:val="000000" w:themeColor="text1"/>
          <w:kern w:val="0"/>
          <w:sz w:val="28"/>
          <w:szCs w:val="28"/>
          <w14:ligatures w14:val="none"/>
        </w:rPr>
        <w:t>:</w:t>
      </w:r>
    </w:p>
    <w:p w14:paraId="6DB34F13"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lastRenderedPageBreak/>
        <w:t>معامل ألفا كرونباخ</w:t>
      </w:r>
      <w:r w:rsidRPr="00E127A1">
        <w:rPr>
          <w:rFonts w:ascii="Sakkal Majalla" w:eastAsia="Times New Roman" w:hAnsi="Sakkal Majalla" w:cs="Sakkal Majalla"/>
          <w:b/>
          <w:bCs/>
          <w:color w:val="000000" w:themeColor="text1"/>
          <w:kern w:val="0"/>
          <w:sz w:val="28"/>
          <w:szCs w:val="28"/>
          <w14:ligatures w14:val="none"/>
        </w:rPr>
        <w:t xml:space="preserve"> (Cronbach's Alpha):</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لقياس ثبات أداة الدراسة والتحقق من مدى الاتساق الداخلي لفقرات الاستبانة</w:t>
      </w:r>
      <w:r w:rsidRPr="00E127A1">
        <w:rPr>
          <w:rFonts w:ascii="Sakkal Majalla" w:eastAsia="Times New Roman" w:hAnsi="Sakkal Majalla" w:cs="Sakkal Majalla"/>
          <w:color w:val="000000" w:themeColor="text1"/>
          <w:kern w:val="0"/>
          <w:sz w:val="28"/>
          <w:szCs w:val="28"/>
          <w14:ligatures w14:val="none"/>
        </w:rPr>
        <w:t>.</w:t>
      </w:r>
    </w:p>
    <w:p w14:paraId="12ED8CC8"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التكرارات والنسب المئوية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لوصف خصائص أفراد عينة الدراسة وفقاً للمتغيرات الديموغرافية</w:t>
      </w:r>
      <w:r w:rsidRPr="00E127A1">
        <w:rPr>
          <w:rFonts w:ascii="Sakkal Majalla" w:eastAsia="Times New Roman" w:hAnsi="Sakkal Majalla" w:cs="Sakkal Majalla"/>
          <w:color w:val="000000" w:themeColor="text1"/>
          <w:kern w:val="0"/>
          <w:sz w:val="28"/>
          <w:szCs w:val="28"/>
          <w14:ligatures w14:val="none"/>
        </w:rPr>
        <w:t>.</w:t>
      </w:r>
    </w:p>
    <w:p w14:paraId="3E3E9851"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المتوسطات الحسابية والانحرافات المعيارية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لتحديد مستوى استجابات أفراد العينة تجاه محاور الدراسة وفقراتها وترتيبها حسب الأهمية النسبية</w:t>
      </w:r>
      <w:r w:rsidRPr="00E127A1">
        <w:rPr>
          <w:rFonts w:ascii="Sakkal Majalla" w:eastAsia="Times New Roman" w:hAnsi="Sakkal Majalla" w:cs="Sakkal Majalla"/>
          <w:color w:val="000000" w:themeColor="text1"/>
          <w:kern w:val="0"/>
          <w:sz w:val="28"/>
          <w:szCs w:val="28"/>
          <w14:ligatures w14:val="none"/>
        </w:rPr>
        <w:t>.</w:t>
      </w:r>
    </w:p>
    <w:p w14:paraId="02663618"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معامل ارتباط بيرسون</w:t>
      </w:r>
      <w:r w:rsidRPr="00E127A1">
        <w:rPr>
          <w:rFonts w:ascii="Sakkal Majalla" w:eastAsia="Times New Roman" w:hAnsi="Sakkal Majalla" w:cs="Sakkal Majalla"/>
          <w:b/>
          <w:bCs/>
          <w:color w:val="000000" w:themeColor="text1"/>
          <w:kern w:val="0"/>
          <w:sz w:val="28"/>
          <w:szCs w:val="28"/>
          <w14:ligatures w14:val="none"/>
        </w:rPr>
        <w:t xml:space="preserve"> (Pearson Correlation):</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لقياس العلاقة بين المتغير المستقل بأبعاده والمتغير التابع</w:t>
      </w:r>
      <w:r w:rsidRPr="00E127A1">
        <w:rPr>
          <w:rFonts w:ascii="Sakkal Majalla" w:eastAsia="Times New Roman" w:hAnsi="Sakkal Majalla" w:cs="Sakkal Majalla"/>
          <w:color w:val="000000" w:themeColor="text1"/>
          <w:kern w:val="0"/>
          <w:sz w:val="28"/>
          <w:szCs w:val="28"/>
          <w14:ligatures w14:val="none"/>
        </w:rPr>
        <w:t>.</w:t>
      </w:r>
    </w:p>
    <w:p w14:paraId="2635E1F4"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تحليل الانحدار الخطي البسيط</w:t>
      </w:r>
      <w:r w:rsidRPr="00E127A1">
        <w:rPr>
          <w:rFonts w:ascii="Sakkal Majalla" w:eastAsia="Times New Roman" w:hAnsi="Sakkal Majalla" w:cs="Sakkal Majalla"/>
          <w:b/>
          <w:bCs/>
          <w:color w:val="000000" w:themeColor="text1"/>
          <w:kern w:val="0"/>
          <w:sz w:val="28"/>
          <w:szCs w:val="28"/>
          <w14:ligatures w14:val="none"/>
        </w:rPr>
        <w:t xml:space="preserve"> (Simple Linear Regression):</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لاختبار أثر كل بُعد من أبعاد إدارة الأزمات البيئية على جاهزية المنشآت الصناعية بشكل منفرد</w:t>
      </w:r>
      <w:r w:rsidRPr="00E127A1">
        <w:rPr>
          <w:rFonts w:ascii="Sakkal Majalla" w:eastAsia="Times New Roman" w:hAnsi="Sakkal Majalla" w:cs="Sakkal Majalla"/>
          <w:color w:val="000000" w:themeColor="text1"/>
          <w:kern w:val="0"/>
          <w:sz w:val="28"/>
          <w:szCs w:val="28"/>
          <w14:ligatures w14:val="none"/>
        </w:rPr>
        <w:t>.</w:t>
      </w:r>
    </w:p>
    <w:p w14:paraId="7C2A2010"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تحليل الانحدار الخطي المتعدد</w:t>
      </w:r>
      <w:r w:rsidRPr="00E127A1">
        <w:rPr>
          <w:rFonts w:ascii="Sakkal Majalla" w:eastAsia="Times New Roman" w:hAnsi="Sakkal Majalla" w:cs="Sakkal Majalla"/>
          <w:b/>
          <w:bCs/>
          <w:color w:val="000000" w:themeColor="text1"/>
          <w:kern w:val="0"/>
          <w:sz w:val="28"/>
          <w:szCs w:val="28"/>
          <w14:ligatures w14:val="none"/>
        </w:rPr>
        <w:t xml:space="preserve"> (Multiple Linear Regression):</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لاختبار الأثر المشترك لأبعاد إدارة الأزمات البيئية مجتمعة على جاهزية المنشآت الصناعية</w:t>
      </w:r>
      <w:r w:rsidRPr="00E127A1">
        <w:rPr>
          <w:rFonts w:ascii="Sakkal Majalla" w:eastAsia="Times New Roman" w:hAnsi="Sakkal Majalla" w:cs="Sakkal Majalla"/>
          <w:color w:val="000000" w:themeColor="text1"/>
          <w:kern w:val="0"/>
          <w:sz w:val="28"/>
          <w:szCs w:val="28"/>
          <w14:ligatures w14:val="none"/>
        </w:rPr>
        <w:t>.</w:t>
      </w:r>
    </w:p>
    <w:p w14:paraId="771CEF29"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اختبار</w:t>
      </w:r>
      <w:r w:rsidRPr="00E127A1">
        <w:rPr>
          <w:rFonts w:ascii="Sakkal Majalla" w:eastAsia="Times New Roman" w:hAnsi="Sakkal Majalla" w:cs="Sakkal Majalla"/>
          <w:b/>
          <w:bCs/>
          <w:color w:val="000000" w:themeColor="text1"/>
          <w:kern w:val="0"/>
          <w:sz w:val="28"/>
          <w:szCs w:val="28"/>
          <w14:ligatures w14:val="none"/>
        </w:rPr>
        <w:t xml:space="preserve"> (T-Test):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لاختبار الفروق في استجابات أفراد العينة وفقاً للمتغيرات الديموغرافية ثنائية الفئات</w:t>
      </w:r>
      <w:r w:rsidRPr="00E127A1">
        <w:rPr>
          <w:rFonts w:ascii="Sakkal Majalla" w:eastAsia="Times New Roman" w:hAnsi="Sakkal Majalla" w:cs="Sakkal Majalla"/>
          <w:color w:val="000000" w:themeColor="text1"/>
          <w:kern w:val="0"/>
          <w:sz w:val="28"/>
          <w:szCs w:val="28"/>
          <w14:ligatures w14:val="none"/>
        </w:rPr>
        <w:t>.</w:t>
      </w:r>
    </w:p>
    <w:p w14:paraId="2C0FE0B9"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تحليل التباين الأحادي</w:t>
      </w:r>
      <w:r w:rsidRPr="00E127A1">
        <w:rPr>
          <w:rFonts w:ascii="Sakkal Majalla" w:eastAsia="Times New Roman" w:hAnsi="Sakkal Majalla" w:cs="Sakkal Majalla"/>
          <w:b/>
          <w:bCs/>
          <w:color w:val="000000" w:themeColor="text1"/>
          <w:kern w:val="0"/>
          <w:sz w:val="28"/>
          <w:szCs w:val="28"/>
          <w14:ligatures w14:val="none"/>
        </w:rPr>
        <w:t xml:space="preserve"> (One-Way ANOVA):</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لاختبار الفروق في استجابات أفراد العينة وفقاً للمتغيرات الديموغرافية متعددة الفئات</w:t>
      </w:r>
      <w:r w:rsidRPr="00E127A1">
        <w:rPr>
          <w:rFonts w:ascii="Sakkal Majalla" w:eastAsia="Times New Roman" w:hAnsi="Sakkal Majalla" w:cs="Sakkal Majalla"/>
          <w:color w:val="000000" w:themeColor="text1"/>
          <w:kern w:val="0"/>
          <w:sz w:val="28"/>
          <w:szCs w:val="28"/>
          <w14:ligatures w14:val="none"/>
        </w:rPr>
        <w:t>.</w:t>
      </w:r>
    </w:p>
    <w:p w14:paraId="782CD12D" w14:textId="77777777" w:rsidR="007467C7" w:rsidRPr="00E127A1" w:rsidRDefault="007467C7" w:rsidP="00062076">
      <w:pPr>
        <w:pStyle w:val="a8"/>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اختبار</w:t>
      </w:r>
      <w:r w:rsidRPr="00E127A1">
        <w:rPr>
          <w:rFonts w:ascii="Sakkal Majalla" w:eastAsia="Times New Roman" w:hAnsi="Sakkal Majalla" w:cs="Sakkal Majalla"/>
          <w:b/>
          <w:bCs/>
          <w:color w:val="000000" w:themeColor="text1"/>
          <w:kern w:val="0"/>
          <w:sz w:val="28"/>
          <w:szCs w:val="28"/>
          <w14:ligatures w14:val="none"/>
        </w:rPr>
        <w:t xml:space="preserve"> (Scheffe) </w:t>
      </w:r>
      <w:r w:rsidRPr="00E127A1">
        <w:rPr>
          <w:rFonts w:ascii="Sakkal Majalla" w:eastAsia="Times New Roman" w:hAnsi="Sakkal Majalla" w:cs="Sakkal Majalla"/>
          <w:b/>
          <w:bCs/>
          <w:color w:val="000000" w:themeColor="text1"/>
          <w:kern w:val="0"/>
          <w:sz w:val="28"/>
          <w:szCs w:val="28"/>
          <w:rtl/>
          <w14:ligatures w14:val="none"/>
        </w:rPr>
        <w:t>للمقارنات البعدية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لتحديد مصدر الفروق واتجاهها في حال وجود فروق ذات دلالة إحصائية</w:t>
      </w:r>
      <w:r w:rsidRPr="00E127A1">
        <w:rPr>
          <w:rFonts w:ascii="Sakkal Majalla" w:eastAsia="Times New Roman" w:hAnsi="Sakkal Majalla" w:cs="Sakkal Majalla"/>
          <w:color w:val="000000" w:themeColor="text1"/>
          <w:kern w:val="0"/>
          <w:sz w:val="28"/>
          <w:szCs w:val="28"/>
          <w14:ligatures w14:val="none"/>
        </w:rPr>
        <w:t>.</w:t>
      </w:r>
    </w:p>
    <w:p w14:paraId="3E3046DE" w14:textId="3AA2C268" w:rsidR="007467C7" w:rsidRPr="00E127A1" w:rsidRDefault="00C154A3" w:rsidP="00C154A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5" w:name="_Toc228121475"/>
      <w:r w:rsidRPr="00E127A1">
        <w:rPr>
          <w:rFonts w:ascii="Sakkal Majalla" w:eastAsia="Times New Roman" w:hAnsi="Sakkal Majalla" w:cs="Sakkal Majalla" w:hint="cs"/>
          <w:b/>
          <w:bCs/>
          <w:color w:val="000000" w:themeColor="text1"/>
          <w:kern w:val="0"/>
          <w:sz w:val="36"/>
          <w:szCs w:val="36"/>
          <w:rtl/>
          <w14:ligatures w14:val="none"/>
        </w:rPr>
        <w:t xml:space="preserve">15.1 </w:t>
      </w:r>
      <w:r w:rsidR="007467C7" w:rsidRPr="00E127A1">
        <w:rPr>
          <w:rFonts w:ascii="Sakkal Majalla" w:eastAsia="Times New Roman" w:hAnsi="Sakkal Majalla" w:cs="Sakkal Majalla"/>
          <w:b/>
          <w:bCs/>
          <w:color w:val="000000" w:themeColor="text1"/>
          <w:kern w:val="0"/>
          <w:sz w:val="36"/>
          <w:szCs w:val="36"/>
          <w:rtl/>
          <w14:ligatures w14:val="none"/>
        </w:rPr>
        <w:t>حدود الدراسة</w:t>
      </w:r>
      <w:bookmarkEnd w:id="15"/>
    </w:p>
    <w:p w14:paraId="5D1B7EED" w14:textId="77777777" w:rsidR="007467C7" w:rsidRPr="00E127A1" w:rsidRDefault="007467C7" w:rsidP="00062076">
      <w:pPr>
        <w:pStyle w:val="a8"/>
        <w:numPr>
          <w:ilvl w:val="0"/>
          <w:numId w:val="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الحدود الموضوعية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ستقتصر الدراسة على دراسة أثر إدارة الأزمات البيئية بأبعادها الأربعة (التخطيط الاستراتيجي للأزمات البيئية، الاستجابة السريعة للتسربات الكيميائية، التنسيق المؤسسي لمواجهة الأزمات، التقييم البيئي والتحسين المستمر) على تعزيز جاهزية المنشآت الصناعية لمواجهة التسربات الكيميائية</w:t>
      </w:r>
      <w:r w:rsidRPr="00E127A1">
        <w:rPr>
          <w:rFonts w:ascii="Sakkal Majalla" w:eastAsia="Times New Roman" w:hAnsi="Sakkal Majalla" w:cs="Sakkal Majalla"/>
          <w:color w:val="000000" w:themeColor="text1"/>
          <w:kern w:val="0"/>
          <w:sz w:val="28"/>
          <w:szCs w:val="28"/>
          <w14:ligatures w14:val="none"/>
        </w:rPr>
        <w:t>.</w:t>
      </w:r>
    </w:p>
    <w:p w14:paraId="02E1207E" w14:textId="77777777" w:rsidR="007467C7" w:rsidRPr="00E127A1" w:rsidRDefault="007467C7" w:rsidP="00062076">
      <w:pPr>
        <w:pStyle w:val="a8"/>
        <w:numPr>
          <w:ilvl w:val="0"/>
          <w:numId w:val="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lastRenderedPageBreak/>
        <w:t>الحدود المكانية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ستُطبق الدراسة على المنشآت الصناعية الكبرى العاملة في المنطقة الشرقية بالمملكة العربية السعودية، والتي تتعامل مع المواد الكيميائية في مدن الجبيل الصناعية والدمام والظهران ورأس تنورة</w:t>
      </w:r>
      <w:r w:rsidRPr="00E127A1">
        <w:rPr>
          <w:rFonts w:ascii="Sakkal Majalla" w:eastAsia="Times New Roman" w:hAnsi="Sakkal Majalla" w:cs="Sakkal Majalla"/>
          <w:color w:val="000000" w:themeColor="text1"/>
          <w:kern w:val="0"/>
          <w:sz w:val="28"/>
          <w:szCs w:val="28"/>
          <w14:ligatures w14:val="none"/>
        </w:rPr>
        <w:t>.</w:t>
      </w:r>
    </w:p>
    <w:p w14:paraId="11A845D0" w14:textId="77777777" w:rsidR="007467C7" w:rsidRPr="00E127A1" w:rsidRDefault="007467C7" w:rsidP="00062076">
      <w:pPr>
        <w:pStyle w:val="a8"/>
        <w:numPr>
          <w:ilvl w:val="0"/>
          <w:numId w:val="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الحدود الزمانية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ستُجرى الدراسة الميدانية خلال العام الأكاديمي 2025/2026م</w:t>
      </w:r>
      <w:r w:rsidRPr="00E127A1">
        <w:rPr>
          <w:rFonts w:ascii="Sakkal Majalla" w:eastAsia="Times New Roman" w:hAnsi="Sakkal Majalla" w:cs="Sakkal Majalla"/>
          <w:color w:val="000000" w:themeColor="text1"/>
          <w:kern w:val="0"/>
          <w:sz w:val="28"/>
          <w:szCs w:val="28"/>
          <w14:ligatures w14:val="none"/>
        </w:rPr>
        <w:t>.</w:t>
      </w:r>
    </w:p>
    <w:p w14:paraId="7F8AED57" w14:textId="77777777" w:rsidR="007467C7" w:rsidRPr="00E127A1" w:rsidRDefault="007467C7" w:rsidP="00062076">
      <w:pPr>
        <w:pStyle w:val="a8"/>
        <w:numPr>
          <w:ilvl w:val="0"/>
          <w:numId w:val="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الحدود البشرية</w:t>
      </w:r>
      <w:r w:rsidRPr="00E127A1">
        <w:rPr>
          <w:rFonts w:ascii="Sakkal Majalla" w:eastAsia="Times New Roman" w:hAnsi="Sakkal Majalla" w:cs="Sakkal Majalla"/>
          <w:b/>
          <w:bCs/>
          <w:color w:val="000000" w:themeColor="text1"/>
          <w:kern w:val="0"/>
          <w:sz w:val="28"/>
          <w:szCs w:val="28"/>
          <w14:ligatures w14:val="none"/>
        </w:rPr>
        <w:t>:</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ستقتصر الدراسة على العاملين في المستويات الإدارية (العليا والوسطى والتنفيذية) في إدارات السلامة والصحة المهنية وإدارات البيئة وإدارات الأزمات والطوارئ وإدارات العمليات والإنتاج في المنشآت الصناعية المستهدفة</w:t>
      </w:r>
    </w:p>
    <w:p w14:paraId="37C4B2AB" w14:textId="1C370016" w:rsidR="006254B4" w:rsidRPr="00E127A1" w:rsidRDefault="00C154A3" w:rsidP="00B85931">
      <w:pPr>
        <w:jc w:val="center"/>
        <w:outlineLvl w:val="0"/>
        <w:rPr>
          <w:rFonts w:ascii="Sakkal Majalla" w:eastAsia="Times New Roman" w:hAnsi="Sakkal Majalla" w:cs="Sakkal Majalla"/>
          <w:b/>
          <w:bCs/>
          <w:color w:val="000000" w:themeColor="text1"/>
          <w:kern w:val="0"/>
          <w:sz w:val="40"/>
          <w:szCs w:val="40"/>
          <w14:ligatures w14:val="none"/>
        </w:rPr>
      </w:pPr>
      <w:r w:rsidRPr="00E127A1">
        <w:rPr>
          <w:rFonts w:ascii="Sakkal Majalla" w:eastAsia="Times New Roman" w:hAnsi="Sakkal Majalla" w:cs="Sakkal Majalla"/>
          <w:b/>
          <w:bCs/>
          <w:color w:val="000000" w:themeColor="text1"/>
          <w:kern w:val="0"/>
          <w:sz w:val="40"/>
          <w:szCs w:val="40"/>
          <w:rtl/>
          <w14:ligatures w14:val="none"/>
        </w:rPr>
        <w:br w:type="page"/>
      </w:r>
      <w:bookmarkStart w:id="16" w:name="_Toc228121476"/>
      <w:r w:rsidR="00B85931" w:rsidRPr="00E127A1">
        <w:rPr>
          <w:rFonts w:ascii="Sakkal Majalla" w:eastAsia="Times New Roman" w:hAnsi="Sakkal Majalla" w:cs="Sakkal Majalla" w:hint="cs"/>
          <w:b/>
          <w:bCs/>
          <w:color w:val="000000" w:themeColor="text1"/>
          <w:kern w:val="0"/>
          <w:sz w:val="40"/>
          <w:szCs w:val="40"/>
          <w:rtl/>
          <w14:ligatures w14:val="none"/>
        </w:rPr>
        <w:lastRenderedPageBreak/>
        <w:t xml:space="preserve">الفصل الثاني: </w:t>
      </w:r>
      <w:r w:rsidR="006254B4" w:rsidRPr="00E127A1">
        <w:rPr>
          <w:rFonts w:ascii="Sakkal Majalla" w:eastAsia="Times New Roman" w:hAnsi="Sakkal Majalla" w:cs="Sakkal Majalla"/>
          <w:b/>
          <w:bCs/>
          <w:color w:val="000000" w:themeColor="text1"/>
          <w:kern w:val="0"/>
          <w:sz w:val="40"/>
          <w:szCs w:val="40"/>
          <w:rtl/>
          <w14:ligatures w14:val="none"/>
        </w:rPr>
        <w:t>الإطار النظري للدراسة</w:t>
      </w:r>
      <w:bookmarkEnd w:id="16"/>
    </w:p>
    <w:p w14:paraId="10071D72" w14:textId="77777777" w:rsidR="006254B4" w:rsidRPr="00E127A1" w:rsidRDefault="006254B4" w:rsidP="00B85931">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17" w:name="_Toc228121477"/>
      <w:r w:rsidRPr="00E127A1">
        <w:rPr>
          <w:rFonts w:ascii="Sakkal Majalla" w:eastAsia="Times New Roman" w:hAnsi="Sakkal Majalla" w:cs="Sakkal Majalla"/>
          <w:b/>
          <w:bCs/>
          <w:color w:val="000000" w:themeColor="text1"/>
          <w:kern w:val="0"/>
          <w:sz w:val="36"/>
          <w:szCs w:val="36"/>
          <w:rtl/>
          <w14:ligatures w14:val="none"/>
        </w:rPr>
        <w:t>المبحث الأول: إدارة الأزمات البيئية في المنشآت الصناعية</w:t>
      </w:r>
      <w:bookmarkEnd w:id="17"/>
    </w:p>
    <w:p w14:paraId="7C015149" w14:textId="73CDE18E" w:rsidR="006254B4" w:rsidRPr="00E127A1" w:rsidRDefault="00B85931" w:rsidP="00B8593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8" w:name="_Toc228121478"/>
      <w:r w:rsidRPr="00E127A1">
        <w:rPr>
          <w:rFonts w:ascii="Sakkal Majalla" w:eastAsia="Times New Roman" w:hAnsi="Sakkal Majalla" w:cs="Sakkal Majalla" w:hint="cs"/>
          <w:b/>
          <w:bCs/>
          <w:color w:val="000000" w:themeColor="text1"/>
          <w:kern w:val="0"/>
          <w:sz w:val="32"/>
          <w:szCs w:val="32"/>
          <w:rtl/>
          <w14:ligatures w14:val="none"/>
        </w:rPr>
        <w:t xml:space="preserve">1.1.2 </w:t>
      </w:r>
      <w:r w:rsidR="006254B4" w:rsidRPr="00E127A1">
        <w:rPr>
          <w:rFonts w:ascii="Sakkal Majalla" w:eastAsia="Times New Roman" w:hAnsi="Sakkal Majalla" w:cs="Sakkal Majalla"/>
          <w:b/>
          <w:bCs/>
          <w:color w:val="000000" w:themeColor="text1"/>
          <w:kern w:val="0"/>
          <w:sz w:val="32"/>
          <w:szCs w:val="32"/>
          <w:rtl/>
          <w14:ligatures w14:val="none"/>
        </w:rPr>
        <w:t>تمهيد</w:t>
      </w:r>
      <w:bookmarkEnd w:id="18"/>
    </w:p>
    <w:p w14:paraId="59986A89"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تواجه المنظمات المعاصرة بيئة متغيرة ومعقدة تتزايد فيها احتمالات التعرض لأزمات بيئية ذات طابع صناعي، لا سيما في ظل التوسع الكبير في القطاعات البتروكيميائية والتحويلية التي تتعامل يومياً مع كميات ضخمة من المواد الخطرة. وقد فرض هذا الواقع على الفكر الإداري ضرورة تطوير أطر نظرية وتطبيقية متخصصة في إدارة الأزمات البيئية تتجاوز المقاربات التقليدية القائمة على ردّ الفعل نحو مقاربات استباقية تستند إلى التخطيط الاستراتيجي والتنسيق المؤسسي والتقييم المستمر. ويسعى هذا المبحث إلى تأصيل مفهوم إدارة الأزمات البيئية نظرياً من خلال استعراض التعريفات والأهمية والأهداف والأبعاد والاستراتيجيات ذات الصلة، مع تقديم قراءة تحليلية تربط بين الاتجاهات النظرية المختلفة وسياق الدراسة الحالية المتمثل في المنشآت الصناعية بالمنطقة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5EBD332C" w14:textId="17C9780C" w:rsidR="006254B4" w:rsidRPr="00E127A1" w:rsidRDefault="00B85931" w:rsidP="00B8593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9" w:name="_Toc228121479"/>
      <w:r w:rsidRPr="00E127A1">
        <w:rPr>
          <w:rFonts w:ascii="Sakkal Majalla" w:eastAsia="Times New Roman" w:hAnsi="Sakkal Majalla" w:cs="Sakkal Majalla" w:hint="cs"/>
          <w:b/>
          <w:bCs/>
          <w:color w:val="000000" w:themeColor="text1"/>
          <w:kern w:val="0"/>
          <w:sz w:val="32"/>
          <w:szCs w:val="32"/>
          <w:rtl/>
          <w14:ligatures w14:val="none"/>
        </w:rPr>
        <w:t xml:space="preserve">2.1.2 </w:t>
      </w:r>
      <w:r w:rsidR="006254B4" w:rsidRPr="00E127A1">
        <w:rPr>
          <w:rFonts w:ascii="Sakkal Majalla" w:eastAsia="Times New Roman" w:hAnsi="Sakkal Majalla" w:cs="Sakkal Majalla"/>
          <w:b/>
          <w:bCs/>
          <w:color w:val="000000" w:themeColor="text1"/>
          <w:kern w:val="0"/>
          <w:sz w:val="32"/>
          <w:szCs w:val="32"/>
          <w:rtl/>
          <w14:ligatures w14:val="none"/>
        </w:rPr>
        <w:t>مفهوم إدارة الأزمات البيئية</w:t>
      </w:r>
      <w:bookmarkEnd w:id="19"/>
    </w:p>
    <w:p w14:paraId="1B60FEAC"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يُعدّ مفهوم إدارة الأزمات من المفاهيم المحورية التي شغلت حيزاً واسعاً في أدبيات الإدارة والعلوم الاجتماعية، غير أن تعريفه لم يستقرّ على صيغة واحدة جامعة نظراً لتعدد الحقول المعرفية التي تناولته وتنوع الزوايا التي نُظر إليه منها. ويزداد هذا التعدد ثراءً حين يُضاف البُعد البيئي إلى مفهوم إدارة الأزمات، إذ تتداخل عندئذٍ اعتبارات السلامة الصناعية مع متطلبات حماية البيئة ومسؤولية المنظمة تجاه المجتمع المحيط بها</w:t>
      </w:r>
      <w:r w:rsidRPr="00E127A1">
        <w:rPr>
          <w:rFonts w:ascii="Sakkal Majalla" w:eastAsia="Times New Roman" w:hAnsi="Sakkal Majalla" w:cs="Sakkal Majalla"/>
          <w:color w:val="000000" w:themeColor="text1"/>
          <w:kern w:val="0"/>
          <w:sz w:val="28"/>
          <w:szCs w:val="28"/>
          <w14:ligatures w14:val="none"/>
        </w:rPr>
        <w:t>.</w:t>
      </w:r>
    </w:p>
    <w:p w14:paraId="7316BE3C"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وقد تناول بن خيرة (2022) الأزمات بوصفها ظاهرة بنيوية ملازمة للأنظمة الاقتصادية، وعرّفها بأنها اختلالات هيكلية عميقة تتراكم عبر الزمن قبل أن تتجلى في شكل أحداث حادة تُهدد استقرار المنظمات والمجتمعات، وهو تعريف يُركّز على الجذور البنيوية للأزمة لا على مظاهرها السطحية فحسب، مما يُرسّخ </w:t>
      </w:r>
      <w:r w:rsidRPr="00E127A1">
        <w:rPr>
          <w:rFonts w:ascii="Sakkal Majalla" w:eastAsia="Times New Roman" w:hAnsi="Sakkal Majalla" w:cs="Sakkal Majalla"/>
          <w:color w:val="000000" w:themeColor="text1"/>
          <w:kern w:val="0"/>
          <w:sz w:val="28"/>
          <w:szCs w:val="28"/>
          <w:rtl/>
          <w14:ligatures w14:val="none"/>
        </w:rPr>
        <w:lastRenderedPageBreak/>
        <w:t xml:space="preserve">فهماً أعمق لطبيعة الأزمات باعتبارها نتاجاً لتراكمات يمكن رصدها واستباقها. وفي السياق ذاته، تناول المبارك </w:t>
      </w:r>
      <w:r w:rsidRPr="00E127A1">
        <w:rPr>
          <w:rFonts w:ascii="Sakkal Majalla" w:eastAsia="Times New Roman" w:hAnsi="Sakkal Majalla" w:cs="Sakkal Majalla"/>
          <w:color w:val="000000" w:themeColor="text1"/>
          <w:kern w:val="0"/>
          <w:sz w:val="28"/>
          <w:szCs w:val="28"/>
          <w14:ligatures w14:val="none"/>
        </w:rPr>
        <w:t xml:space="preserve">(2022) </w:t>
      </w:r>
      <w:r w:rsidRPr="00E127A1">
        <w:rPr>
          <w:rFonts w:ascii="Sakkal Majalla" w:eastAsia="Times New Roman" w:hAnsi="Sakkal Majalla" w:cs="Sakkal Majalla"/>
          <w:color w:val="000000" w:themeColor="text1"/>
          <w:kern w:val="0"/>
          <w:sz w:val="28"/>
          <w:szCs w:val="28"/>
          <w:rtl/>
          <w14:ligatures w14:val="none"/>
        </w:rPr>
        <w:t>إدارة الأزمات بوصفها منظومة من الإجراءات والعمليات التي تتبناها المؤسسات الحكومية والخاصة لمواجهة الأحداث الطارئة غير المتوقعة، مع التأكيد على أن فاعلية هذه المنظومة تتوقف على مدى الاستعداد المسبق وقدرة القطاعات المختلفة على التنسيق والتكامل فيما بينها. ويتّضح من هذا التعريف أن إدارة الأزمات ليست فعلاً ارتجالياً بل عملية مؤسسية مُخطَّطة تتطلب بنية تحتية إدارية وبشرية وتقنية</w:t>
      </w:r>
      <w:r w:rsidRPr="00E127A1">
        <w:rPr>
          <w:rFonts w:ascii="Sakkal Majalla" w:eastAsia="Times New Roman" w:hAnsi="Sakkal Majalla" w:cs="Sakkal Majalla"/>
          <w:color w:val="000000" w:themeColor="text1"/>
          <w:kern w:val="0"/>
          <w:sz w:val="28"/>
          <w:szCs w:val="28"/>
          <w14:ligatures w14:val="none"/>
        </w:rPr>
        <w:t>.</w:t>
      </w:r>
    </w:p>
    <w:p w14:paraId="4A8CF503"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ومن زاوية مختلفة، نظر أبو سليم (2022) إلى إدارة الأزمات من المنظور الاستراتيجي فعرّفها بأنها مجموعة الأساليب الاستراتيجية والتكتيكية التي تتبناها المنظمات للتعامل مع القضايا غير النمطية التي تفرزها الأزمات، مع التأكيد على أن التوزيع الوظيفي للأدوار الاستراتيجية داخل الهيكل التنظيمي يُمثّل متغيراً حاسماً في تحديد مسار الأزمة ومآلاتها. ويُضيف هذا التعريف بُعداً تنظيمياً مهماً يتجاوز النظرة الإجرائية نحو فهم إدارة الأزمات بوصفها وظيفة استراتيجية مدمجة في صلب العمل المؤسسي. أما السعيدي (2023) فقد تناول إدارة الأزمات بوصفها عملية ديناميكية متعددة المراحل تشمل اكتشاف إشارات الإنذار المبكر والاستعداد والوقاية واحتواء الأضرار واستعادة النشاط والتعلم من التجربة، وهو تعريف يعكس النظرة الدورية الحديثة التي ترى في الأزمة دورة حياة كاملة لا مجرد لحظة واحدة</w:t>
      </w:r>
      <w:r w:rsidRPr="00E127A1">
        <w:rPr>
          <w:rFonts w:ascii="Sakkal Majalla" w:eastAsia="Times New Roman" w:hAnsi="Sakkal Majalla" w:cs="Sakkal Majalla"/>
          <w:color w:val="000000" w:themeColor="text1"/>
          <w:kern w:val="0"/>
          <w:sz w:val="28"/>
          <w:szCs w:val="28"/>
          <w14:ligatures w14:val="none"/>
        </w:rPr>
        <w:t>.</w:t>
      </w:r>
    </w:p>
    <w:p w14:paraId="1CA05F9D"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وعلى الصعيد البيئي تحديداً، عرّف حمزة وآخرون </w:t>
      </w:r>
      <w:r w:rsidRPr="00E127A1">
        <w:rPr>
          <w:rFonts w:ascii="Sakkal Majalla" w:eastAsia="Times New Roman" w:hAnsi="Sakkal Majalla" w:cs="Sakkal Majalla"/>
          <w:color w:val="000000" w:themeColor="text1"/>
          <w:kern w:val="0"/>
          <w:sz w:val="28"/>
          <w:szCs w:val="28"/>
          <w14:ligatures w14:val="none"/>
        </w:rPr>
        <w:t xml:space="preserve">(Hamza et al., 2023) </w:t>
      </w:r>
      <w:r w:rsidRPr="00E127A1">
        <w:rPr>
          <w:rFonts w:ascii="Sakkal Majalla" w:eastAsia="Times New Roman" w:hAnsi="Sakkal Majalla" w:cs="Sakkal Majalla"/>
          <w:color w:val="000000" w:themeColor="text1"/>
          <w:kern w:val="0"/>
          <w:sz w:val="28"/>
          <w:szCs w:val="28"/>
          <w:rtl/>
          <w14:ligatures w14:val="none"/>
        </w:rPr>
        <w:t>إدارة الأزمات البيئية بأنها مجموعة العمليات المنظمة والمتكاملة التي تهدف إلى التنبؤ بالمخاطر البيئية وتقليل احتمالات وقوعها والتعامل مع تداعياتها حال حدوثها من خلال توظيف التكنولوجيا والتخطيط الاستراتيجي والتنسيق بين الجهات المعنية. ويُضيف غلوفا فيغشووفا وغرابارا</w:t>
      </w:r>
      <w:r w:rsidRPr="00E127A1">
        <w:rPr>
          <w:rFonts w:ascii="Sakkal Majalla" w:eastAsia="Times New Roman" w:hAnsi="Sakkal Majalla" w:cs="Sakkal Majalla"/>
          <w:color w:val="000000" w:themeColor="text1"/>
          <w:kern w:val="0"/>
          <w:sz w:val="28"/>
          <w:szCs w:val="28"/>
          <w14:ligatures w14:val="none"/>
        </w:rPr>
        <w:t xml:space="preserve"> (Glova Végsöová &amp; Grabara, 2024) </w:t>
      </w:r>
      <w:r w:rsidRPr="00E127A1">
        <w:rPr>
          <w:rFonts w:ascii="Sakkal Majalla" w:eastAsia="Times New Roman" w:hAnsi="Sakkal Majalla" w:cs="Sakkal Majalla"/>
          <w:color w:val="000000" w:themeColor="text1"/>
          <w:kern w:val="0"/>
          <w:sz w:val="28"/>
          <w:szCs w:val="28"/>
          <w:rtl/>
          <w14:ligatures w14:val="none"/>
        </w:rPr>
        <w:t>بُعداً تقنياً إلى هذا المفهوم حين يُشيران إلى أن إدارة الأزمات البيئية الصناعية تعتمد بشكل متزايد على أدوات النمذجة والمحاكاة الحاسوبية التي تُتيح تقدير مناطق الخطر ومسارات انتشار المواد الكيميائية، مما يُوسّع المفهوم ليشمل البُعد التكنولوجي إلى جانب الأبعاد الإدارية والتنظيمية</w:t>
      </w:r>
      <w:r w:rsidRPr="00E127A1">
        <w:rPr>
          <w:rFonts w:ascii="Sakkal Majalla" w:eastAsia="Times New Roman" w:hAnsi="Sakkal Majalla" w:cs="Sakkal Majalla"/>
          <w:color w:val="000000" w:themeColor="text1"/>
          <w:kern w:val="0"/>
          <w:sz w:val="28"/>
          <w:szCs w:val="28"/>
          <w14:ligatures w14:val="none"/>
        </w:rPr>
        <w:t>.</w:t>
      </w:r>
    </w:p>
    <w:p w14:paraId="4F80D69C"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وبناءً على ما تقدّم من تعريفات، يرى الباحث أن إدارة الأزمات البيئية في المنشآت الصناعية يمكن تعريفها إجرائياً بأنها منظومة متكاملة من العمليات الاستراتيجية والتنظيمية والتقنية التي تتبناها المنشأة </w:t>
      </w:r>
      <w:r w:rsidRPr="00E127A1">
        <w:rPr>
          <w:rFonts w:ascii="Sakkal Majalla" w:eastAsia="Times New Roman" w:hAnsi="Sakkal Majalla" w:cs="Sakkal Majalla"/>
          <w:color w:val="000000" w:themeColor="text1"/>
          <w:kern w:val="0"/>
          <w:sz w:val="28"/>
          <w:szCs w:val="28"/>
          <w:rtl/>
          <w14:ligatures w14:val="none"/>
        </w:rPr>
        <w:lastRenderedPageBreak/>
        <w:t>الصناعية بهدف استباق الأزمات البيئية المحتملة، لا سيما التسربات الكيميائية، والاستعداد لها والاستجابة الفورية لها والتعافي من آثارها والتعلم منها، وذلك من خلال أربعة أبعاد متكاملة هي التخطيط الاستراتيجي والاستجابة السريعة والتنسيق المؤسسي والتقييم والتحسين المستمر. ويتميّز هذا التعريف بجمعه بين الطابع الاستباقي والطابع التفاعلي لإدارة الأزمات، فضلاً عن تأكيده على تكامل الأبعاد الأربعة بوصفها حلقات مترابطة في سلسلة واحدة لا يمكن فصل أيٍّ منها عن الأخرى دون إضعاف المنظومة بأكملها</w:t>
      </w:r>
      <w:r w:rsidRPr="00E127A1">
        <w:rPr>
          <w:rFonts w:ascii="Sakkal Majalla" w:eastAsia="Times New Roman" w:hAnsi="Sakkal Majalla" w:cs="Sakkal Majalla"/>
          <w:color w:val="000000" w:themeColor="text1"/>
          <w:kern w:val="0"/>
          <w:sz w:val="28"/>
          <w:szCs w:val="28"/>
          <w14:ligatures w14:val="none"/>
        </w:rPr>
        <w:t>.</w:t>
      </w:r>
    </w:p>
    <w:p w14:paraId="0FB4A11B" w14:textId="52E8338B" w:rsidR="006254B4" w:rsidRPr="00E127A1" w:rsidRDefault="00B85931" w:rsidP="00B8593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0" w:name="_Toc228121480"/>
      <w:r w:rsidRPr="00E127A1">
        <w:rPr>
          <w:rFonts w:ascii="Sakkal Majalla" w:eastAsia="Times New Roman" w:hAnsi="Sakkal Majalla" w:cs="Sakkal Majalla" w:hint="cs"/>
          <w:b/>
          <w:bCs/>
          <w:color w:val="000000" w:themeColor="text1"/>
          <w:kern w:val="0"/>
          <w:sz w:val="32"/>
          <w:szCs w:val="32"/>
          <w:rtl/>
          <w14:ligatures w14:val="none"/>
        </w:rPr>
        <w:t xml:space="preserve">3.1.2 </w:t>
      </w:r>
      <w:r w:rsidR="006254B4" w:rsidRPr="00E127A1">
        <w:rPr>
          <w:rFonts w:ascii="Sakkal Majalla" w:eastAsia="Times New Roman" w:hAnsi="Sakkal Majalla" w:cs="Sakkal Majalla"/>
          <w:b/>
          <w:bCs/>
          <w:color w:val="000000" w:themeColor="text1"/>
          <w:kern w:val="0"/>
          <w:sz w:val="32"/>
          <w:szCs w:val="32"/>
          <w:rtl/>
          <w14:ligatures w14:val="none"/>
        </w:rPr>
        <w:t>أهمية إدارة الأزمات البيئية في المنشآت الصناعية</w:t>
      </w:r>
      <w:bookmarkEnd w:id="20"/>
    </w:p>
    <w:p w14:paraId="1F953B16"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تنبع أهمية إدارة الأزمات البيئية في القطاع الصناعي من طبيعة المخاطر التي ينطوي عليها هذا القطاع، إذ تتعامل المنشآت الصناعية الكبرى مع مواد كيميائية ذات خصائص سمّية وقابلة للاشتعال والتآكل، وأي خلل في المنظومة التشغيلية أو إهمال في إجراءات السلامة قد يتحول في دقائق معدودة إلى أزمة بيئية ذات أبعاد كارثية تطال العاملين والمجتمعات المحلية والموارد الطبيعية. وقد تنامى الوعي بهذه الأهمية في العقود الأخيرة مع تزايد الحوادث الصناعية الكبرى التي كشفت عن هشاشة كثير من المنظومات الإدارية القائمة وحاجتها إلى تطوير جذري</w:t>
      </w:r>
      <w:r w:rsidRPr="00E127A1">
        <w:rPr>
          <w:rFonts w:ascii="Sakkal Majalla" w:eastAsia="Times New Roman" w:hAnsi="Sakkal Majalla" w:cs="Sakkal Majalla"/>
          <w:color w:val="000000" w:themeColor="text1"/>
          <w:kern w:val="0"/>
          <w:sz w:val="28"/>
          <w:szCs w:val="28"/>
          <w14:ligatures w14:val="none"/>
        </w:rPr>
        <w:t>.</w:t>
      </w:r>
    </w:p>
    <w:p w14:paraId="3B089043"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ويُشير راجليتش وآخرون</w:t>
      </w:r>
      <w:r w:rsidRPr="00E127A1">
        <w:rPr>
          <w:rFonts w:ascii="Sakkal Majalla" w:eastAsia="Times New Roman" w:hAnsi="Sakkal Majalla" w:cs="Sakkal Majalla"/>
          <w:color w:val="000000" w:themeColor="text1"/>
          <w:kern w:val="0"/>
          <w:sz w:val="28"/>
          <w:szCs w:val="28"/>
          <w14:ligatures w14:val="none"/>
        </w:rPr>
        <w:t xml:space="preserve"> (Rajlić et al., 2025) </w:t>
      </w:r>
      <w:r w:rsidRPr="00E127A1">
        <w:rPr>
          <w:rFonts w:ascii="Sakkal Majalla" w:eastAsia="Times New Roman" w:hAnsi="Sakkal Majalla" w:cs="Sakkal Majalla"/>
          <w:color w:val="000000" w:themeColor="text1"/>
          <w:kern w:val="0"/>
          <w:sz w:val="28"/>
          <w:szCs w:val="28"/>
          <w:rtl/>
          <w14:ligatures w14:val="none"/>
        </w:rPr>
        <w:t xml:space="preserve">إلى أن أهمية إدارة الأزمات البيئية في المنشآت الصناعية الكبرى تتجلى في عدة محاور جوهرية: أولها حماية الأرواح البشرية، إذ تُمثّل حوادث التسرب الكيميائي تهديداً مباشراً لحياة العاملين داخل المنشأة وسكان المناطق المجاورة لها، وقد شهد العالم حوادث مأساوية أودت بحياة المئات نتيجة انفجارات أو تسربات في منشآت صناعية لم تكن تمتلك منظومات كافية لإدارة الأزمات. وثانيها حماية البيئة الطبيعية، حيث تؤدي التسربات الكيميائية إلى تلوث التربة والمياه الجوفية والهواء بمركبات سامة قد تستمر آثارها لعقود وتُدمّر النظم البيئية المحلية بشكل لا رجعة فيه. وثالثها تقليل الخسائر الاقتصادية، ذلك أن الأزمات البيئية الصناعية تترتب عليها تكاليف باهظة تشمل توقف الإنتاج وعمليات الإصلاح والتنظيف والتعويضات والغرامات التنظيمية، فضلاً عن الأضرار طويلة الأمد التي تلحق بسمعة المنشأة وعلاقاتها مع أصحاب المصلحة. ورابعها الامتثال التنظيمي والقانوني، إذ </w:t>
      </w:r>
      <w:r w:rsidRPr="00E127A1">
        <w:rPr>
          <w:rFonts w:ascii="Sakkal Majalla" w:eastAsia="Times New Roman" w:hAnsi="Sakkal Majalla" w:cs="Sakkal Majalla"/>
          <w:color w:val="000000" w:themeColor="text1"/>
          <w:kern w:val="0"/>
          <w:sz w:val="28"/>
          <w:szCs w:val="28"/>
          <w:rtl/>
          <w14:ligatures w14:val="none"/>
        </w:rPr>
        <w:lastRenderedPageBreak/>
        <w:t>تفرض التشريعات الوطنية والدولية على المنشآت الصناعية التزامات صارمة في مجال السلامة البيئية، وأي إخلال بهذه الالتزامات يُعرّض المنشأة لعقوبات قانونية ومالية قد تُهدد استمراريتها</w:t>
      </w:r>
      <w:r w:rsidRPr="00E127A1">
        <w:rPr>
          <w:rFonts w:ascii="Sakkal Majalla" w:eastAsia="Times New Roman" w:hAnsi="Sakkal Majalla" w:cs="Sakkal Majalla"/>
          <w:color w:val="000000" w:themeColor="text1"/>
          <w:kern w:val="0"/>
          <w:sz w:val="28"/>
          <w:szCs w:val="28"/>
          <w14:ligatures w14:val="none"/>
        </w:rPr>
        <w:t>.</w:t>
      </w:r>
    </w:p>
    <w:p w14:paraId="529328F0"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ويرى كوربن وآخرون</w:t>
      </w:r>
      <w:r w:rsidRPr="00E127A1">
        <w:rPr>
          <w:rFonts w:ascii="Sakkal Majalla" w:eastAsia="Times New Roman" w:hAnsi="Sakkal Majalla" w:cs="Sakkal Majalla"/>
          <w:color w:val="000000" w:themeColor="text1"/>
          <w:kern w:val="0"/>
          <w:sz w:val="28"/>
          <w:szCs w:val="28"/>
          <w14:ligatures w14:val="none"/>
        </w:rPr>
        <w:t xml:space="preserve"> (Corbin et al., 2021) </w:t>
      </w:r>
      <w:r w:rsidRPr="00E127A1">
        <w:rPr>
          <w:rFonts w:ascii="Sakkal Majalla" w:eastAsia="Times New Roman" w:hAnsi="Sakkal Majalla" w:cs="Sakkal Majalla"/>
          <w:color w:val="000000" w:themeColor="text1"/>
          <w:kern w:val="0"/>
          <w:sz w:val="28"/>
          <w:szCs w:val="28"/>
          <w:rtl/>
          <w14:ligatures w14:val="none"/>
        </w:rPr>
        <w:t>أن أهمية إدارة الأزمات البيئية تتعدى النطاق المؤسسي لتشمل البُعد المجتمعي والإنساني الأوسع، إذ إن المجتمعات المحيطة بالمنشآت الصناعية تتأثر بشكل مباشر بأي أزمة بيئية، مما يجعل المشاركة المجتمعية وإشراك السكان المحليين في خطط الطوارئ ركيزة أساسية لا يمكن تجاوزها. ويُضيف هذا المنظور بُعداً أخلاقياً واجتماعياً لأهمية إدارة الأزمات البيئية يتجاوز الحسابات الاقتصادية والتنظيمية الضيقة نحو مسؤولية أشمل تجاه المجتمع والبيئة. كما يرى صن وتشانغ</w:t>
      </w:r>
      <w:r w:rsidRPr="00E127A1">
        <w:rPr>
          <w:rFonts w:ascii="Sakkal Majalla" w:eastAsia="Times New Roman" w:hAnsi="Sakkal Majalla" w:cs="Sakkal Majalla"/>
          <w:color w:val="000000" w:themeColor="text1"/>
          <w:kern w:val="0"/>
          <w:sz w:val="28"/>
          <w:szCs w:val="28"/>
          <w14:ligatures w14:val="none"/>
        </w:rPr>
        <w:t xml:space="preserve"> (Sun &amp; Zhang, 2022) </w:t>
      </w:r>
      <w:r w:rsidRPr="00E127A1">
        <w:rPr>
          <w:rFonts w:ascii="Sakkal Majalla" w:eastAsia="Times New Roman" w:hAnsi="Sakkal Majalla" w:cs="Sakkal Majalla"/>
          <w:color w:val="000000" w:themeColor="text1"/>
          <w:kern w:val="0"/>
          <w:sz w:val="28"/>
          <w:szCs w:val="28"/>
          <w:rtl/>
          <w14:ligatures w14:val="none"/>
        </w:rPr>
        <w:t>أن أهمية إدارة الأزمات في القطاعات الصناعية الكبرى تكمن أيضاً في كونها أداة لتعزيز القدرة التنافسية المستدامة، إذ إن المنظمات التي تمتلك منظومات فعّالة لإدارة الأزمات تكون أقدر على الحفاظ على استمرارية عملياتها وحماية حصتها السوقية في أوقات الاضطراب، وهو ما يجعل إدارة الأزمات استثماراً استراتيجياً طويل الأمد لا مجرد تكلفة تشغيلية</w:t>
      </w:r>
      <w:r w:rsidRPr="00E127A1">
        <w:rPr>
          <w:rFonts w:ascii="Sakkal Majalla" w:eastAsia="Times New Roman" w:hAnsi="Sakkal Majalla" w:cs="Sakkal Majalla"/>
          <w:color w:val="000000" w:themeColor="text1"/>
          <w:kern w:val="0"/>
          <w:sz w:val="28"/>
          <w:szCs w:val="28"/>
          <w14:ligatures w14:val="none"/>
        </w:rPr>
        <w:t>.</w:t>
      </w:r>
    </w:p>
    <w:p w14:paraId="0FFE6F65" w14:textId="3DD9706A"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وفي السياق العربي والإسلامي، تبرز أهمية إضافية لإدارة الأزمات ترتبط بالبحث عن بدائل ومقاربات تتوافق مع القيم والمبادئ المحلية. وقد تناول بن خيرة (2022) هذا البُعد حين أشار إلى أن التمويل الإسلامي يُطرح بوصفه بديلاً يُسهم في تقليل حدة الأزمات الاقتصادية، وهو ما يُمكن تعميمه على مستوى الفكر الإداري ليشمل البحث عن مقاربات محلية لإدارة الأزمات البيئية تراعي خصوصيات السياق السعودي وتتكامل مع أهداف رؤية المملكة 2030 في تحقيق التنمية الصناعية المستدامة وحماية البيئة</w:t>
      </w:r>
      <w:r w:rsidRPr="00E127A1">
        <w:rPr>
          <w:rFonts w:ascii="Sakkal Majalla" w:eastAsia="Times New Roman" w:hAnsi="Sakkal Majalla" w:cs="Sakkal Majalla"/>
          <w:color w:val="000000" w:themeColor="text1"/>
          <w:kern w:val="0"/>
          <w:sz w:val="28"/>
          <w:szCs w:val="28"/>
          <w14:ligatures w14:val="none"/>
        </w:rPr>
        <w:t>.</w:t>
      </w:r>
    </w:p>
    <w:p w14:paraId="2F043229" w14:textId="760E722F" w:rsidR="006254B4" w:rsidRPr="00E127A1" w:rsidRDefault="00B85931" w:rsidP="00B8593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1" w:name="_Toc228121481"/>
      <w:r w:rsidRPr="00E127A1">
        <w:rPr>
          <w:rFonts w:ascii="Sakkal Majalla" w:eastAsia="Times New Roman" w:hAnsi="Sakkal Majalla" w:cs="Sakkal Majalla" w:hint="cs"/>
          <w:b/>
          <w:bCs/>
          <w:color w:val="000000" w:themeColor="text1"/>
          <w:kern w:val="0"/>
          <w:sz w:val="32"/>
          <w:szCs w:val="32"/>
          <w:rtl/>
          <w14:ligatures w14:val="none"/>
        </w:rPr>
        <w:t xml:space="preserve">4.1.2 </w:t>
      </w:r>
      <w:r w:rsidR="006254B4" w:rsidRPr="00E127A1">
        <w:rPr>
          <w:rFonts w:ascii="Sakkal Majalla" w:eastAsia="Times New Roman" w:hAnsi="Sakkal Majalla" w:cs="Sakkal Majalla"/>
          <w:b/>
          <w:bCs/>
          <w:color w:val="000000" w:themeColor="text1"/>
          <w:kern w:val="0"/>
          <w:sz w:val="32"/>
          <w:szCs w:val="32"/>
          <w:rtl/>
          <w14:ligatures w14:val="none"/>
        </w:rPr>
        <w:t xml:space="preserve"> أهداف إدارة الأزمات البيئية</w:t>
      </w:r>
      <w:bookmarkEnd w:id="21"/>
    </w:p>
    <w:p w14:paraId="4F0518C6"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تسعى إدارة الأزمات البيئية إلى تحقيق مجموعة من الأهداف المتكاملة التي تتراوح بين الأهداف الوقائية الاستباقية والأهداف العلاجية التفاعلية، وصولاً إلى أهداف التعلم والتطوير المستمر</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وقد تباينت رؤى الباحثين في تحديد هذه الأهداف وترتيب أولوياتها وفقاً للمدخل النظري الذي ينطلقون منه وطبيعة القطاع المدروس</w:t>
      </w:r>
      <w:r w:rsidRPr="00E127A1">
        <w:rPr>
          <w:rFonts w:ascii="Sakkal Majalla" w:eastAsia="Times New Roman" w:hAnsi="Sakkal Majalla" w:cs="Sakkal Majalla"/>
          <w:color w:val="000000" w:themeColor="text1"/>
          <w:kern w:val="0"/>
          <w:sz w:val="28"/>
          <w:szCs w:val="28"/>
          <w14:ligatures w14:val="none"/>
        </w:rPr>
        <w:t>.</w:t>
      </w:r>
    </w:p>
    <w:p w14:paraId="11944185"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ويُحدّد السعيدي (2023) أهداف إدارة الأزمات انطلاقاً من المراحل الخمس التي اعتمدها في تصنيفه، وتتمثل فيما يأتي</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أولاً، الكشف المبكر عن إشارات الإنذار التي تسبق الأزمة من خلال بناء أنظمة رصد ومتابعة مستمرة تُمكّن المنظمة من التقاط المؤشرات الأولية للخطر قبل تفاقمه. ثانياً، بناء حالة من الاستعداد والوقاية تشمل إعداد الخطط والسيناريوهات وتدريب الكوادر وتخصيص الموارد. ثالثاً، احتواء الأضرار عند وقوع الأزمة وتقليل نطاق انتشارها ومنع تحوّلها إلى كارثة شاملة. رابعاً، استعادة النشاط الطبيعي للمنظمة في أسرع وقت ممكن بعد انحسار الأزمة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خامساً، استخلاص الدروس والعبر من التجربة وتوظيفها في تطوير المنظومة الإدارية لمنع تكرار الأزمة أو تقليل آثارها في حال تكرارها</w:t>
      </w:r>
      <w:r w:rsidRPr="00E127A1">
        <w:rPr>
          <w:rFonts w:ascii="Sakkal Majalla" w:eastAsia="Times New Roman" w:hAnsi="Sakkal Majalla" w:cs="Sakkal Majalla"/>
          <w:color w:val="000000" w:themeColor="text1"/>
          <w:kern w:val="0"/>
          <w:sz w:val="28"/>
          <w:szCs w:val="28"/>
          <w14:ligatures w14:val="none"/>
        </w:rPr>
        <w:t>.</w:t>
      </w:r>
    </w:p>
    <w:p w14:paraId="7FA239C5"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ويرى خميس وحمد (2024) أن أهداف إدارة الأزمات تتجاوز مجرد التعامل مع الحدث الطارئ لتشمل تحسين الأداء المؤسسي بشكل عام، ويُحدّدان ثلاثة أهداف محورية: أولاً، تعزيز ثقافة الاستعداد المؤسسي بحيث تصبح الوقاية من الأزمات جزءاً من الثقافة التنظيمية لا مجرد إجراء شكلي. ثانياً، بناء قدرات مؤسسية مستدامة في مجالات الإنذار المبكر والاحتواء والتعافي تُسهم في رفع مستوى الأداء الكلي للمنظمة. ثالثاً، تحقيق التغذية الراجعة المستمرة من خلال آليات تقييم ومراجعة دورية تضمن تحديث الخطط والإجراءات في ضوء المستجدات والتجارب المتراكمة</w:t>
      </w:r>
      <w:r w:rsidRPr="00E127A1">
        <w:rPr>
          <w:rFonts w:ascii="Sakkal Majalla" w:eastAsia="Times New Roman" w:hAnsi="Sakkal Majalla" w:cs="Sakkal Majalla"/>
          <w:color w:val="000000" w:themeColor="text1"/>
          <w:kern w:val="0"/>
          <w:sz w:val="28"/>
          <w:szCs w:val="28"/>
          <w14:ligatures w14:val="none"/>
        </w:rPr>
        <w:t>.</w:t>
      </w:r>
    </w:p>
    <w:p w14:paraId="0D8F2C16"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وفي السياق الاستراتيجي، يُضيف أبو سليم </w:t>
      </w:r>
      <w:r w:rsidRPr="00E127A1">
        <w:rPr>
          <w:rFonts w:ascii="Sakkal Majalla" w:eastAsia="Times New Roman" w:hAnsi="Sakkal Majalla" w:cs="Sakkal Majalla"/>
          <w:color w:val="000000" w:themeColor="text1"/>
          <w:kern w:val="0"/>
          <w:sz w:val="28"/>
          <w:szCs w:val="28"/>
          <w14:ligatures w14:val="none"/>
        </w:rPr>
        <w:t xml:space="preserve">(2022) </w:t>
      </w:r>
      <w:r w:rsidRPr="00E127A1">
        <w:rPr>
          <w:rFonts w:ascii="Sakkal Majalla" w:eastAsia="Times New Roman" w:hAnsi="Sakkal Majalla" w:cs="Sakkal Majalla"/>
          <w:color w:val="000000" w:themeColor="text1"/>
          <w:kern w:val="0"/>
          <w:sz w:val="28"/>
          <w:szCs w:val="28"/>
          <w:rtl/>
          <w14:ligatures w14:val="none"/>
        </w:rPr>
        <w:t>أن من أهداف إدارة الأزمات تحقيق التوازن بين الاستجابة الفورية للأزمة والحفاظ على التوجه الاستراتيجي العام للمنظمة، إذ إن كثيراً من المنظمات تقع في فخ الانشغال الكامل بالأزمة الراهنة على حساب أهدافها الاستراتيجية طويلة الأمد، مما يُفضي إلى تبعات سلبية تتجاوز الأزمة ذاتها</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ويرتبط بهذا الهدف ما أشار إليه قمان وشعباني (2024) من أن توظيف الذكاء الاستراتيجي بأبعاده المتعددة، أي الرؤية المستقبلية والاستشراف والتفكير المنظومي والشراكة والتحفيز، يهدف إلى تمكين المنظمة من التعامل مع الأزمة ضمن إطار استراتيجي شامل لا بمعزل عنه. كما تُشير دراسة ستو ودربال</w:t>
      </w:r>
      <w:r w:rsidRPr="00E127A1">
        <w:rPr>
          <w:rFonts w:ascii="Sakkal Majalla" w:eastAsia="Times New Roman" w:hAnsi="Sakkal Majalla" w:cs="Sakkal Majalla"/>
          <w:color w:val="000000" w:themeColor="text1"/>
          <w:kern w:val="0"/>
          <w:sz w:val="28"/>
          <w:szCs w:val="28"/>
          <w14:ligatures w14:val="none"/>
        </w:rPr>
        <w:t xml:space="preserve"> (2022) </w:t>
      </w:r>
      <w:r w:rsidRPr="00E127A1">
        <w:rPr>
          <w:rFonts w:ascii="Sakkal Majalla" w:eastAsia="Times New Roman" w:hAnsi="Sakkal Majalla" w:cs="Sakkal Majalla"/>
          <w:color w:val="000000" w:themeColor="text1"/>
          <w:kern w:val="0"/>
          <w:sz w:val="28"/>
          <w:szCs w:val="28"/>
          <w:rtl/>
          <w14:ligatures w14:val="none"/>
        </w:rPr>
        <w:t>إلى أن من أهداف إدارة الأزمات تحقيق الرشاقة الاستراتيجية التي تُمكّن المنظمة من التكيف السريع مع المتغيرات غير المتوقعة دون فقدان بوصلتها الاستراتيجية، وهو هدف يجمع بين المرونة التكتيكية والثبات الاستراتيجي</w:t>
      </w:r>
      <w:r w:rsidRPr="00E127A1">
        <w:rPr>
          <w:rFonts w:ascii="Sakkal Majalla" w:eastAsia="Times New Roman" w:hAnsi="Sakkal Majalla" w:cs="Sakkal Majalla"/>
          <w:color w:val="000000" w:themeColor="text1"/>
          <w:kern w:val="0"/>
          <w:sz w:val="28"/>
          <w:szCs w:val="28"/>
          <w14:ligatures w14:val="none"/>
        </w:rPr>
        <w:t>.</w:t>
      </w:r>
    </w:p>
    <w:p w14:paraId="7DC1EFD9" w14:textId="2FC67861" w:rsidR="006254B4" w:rsidRPr="00E127A1" w:rsidRDefault="00B85931" w:rsidP="00B8593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2" w:name="_Toc228121482"/>
      <w:r w:rsidRPr="00E127A1">
        <w:rPr>
          <w:rFonts w:ascii="Sakkal Majalla" w:eastAsia="Times New Roman" w:hAnsi="Sakkal Majalla" w:cs="Sakkal Majalla" w:hint="cs"/>
          <w:b/>
          <w:bCs/>
          <w:color w:val="000000" w:themeColor="text1"/>
          <w:kern w:val="0"/>
          <w:sz w:val="32"/>
          <w:szCs w:val="32"/>
          <w:rtl/>
          <w14:ligatures w14:val="none"/>
        </w:rPr>
        <w:lastRenderedPageBreak/>
        <w:t xml:space="preserve">5.1.2 </w:t>
      </w:r>
      <w:r w:rsidR="006254B4" w:rsidRPr="00E127A1">
        <w:rPr>
          <w:rFonts w:ascii="Sakkal Majalla" w:eastAsia="Times New Roman" w:hAnsi="Sakkal Majalla" w:cs="Sakkal Majalla"/>
          <w:b/>
          <w:bCs/>
          <w:color w:val="000000" w:themeColor="text1"/>
          <w:kern w:val="0"/>
          <w:sz w:val="32"/>
          <w:szCs w:val="32"/>
          <w:rtl/>
          <w14:ligatures w14:val="none"/>
        </w:rPr>
        <w:t>أبعاد إدارة الأزمات البيئية</w:t>
      </w:r>
      <w:bookmarkEnd w:id="22"/>
    </w:p>
    <w:p w14:paraId="141B4B99"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تم تحديد أبعاد إدارة الأزمات البيئية في هذه الدراسة بناءً على مراجعة معمّقة لعدد من الأدبيات والدراسات ذات الصلة، حيث أسهمت دراسة السعيدي (2023) في تأصيل المراحل المتعاقبة لإدارة الأزمات، فيما وفّرت دراسة عبدالله (2024) إطاراً لفهم متطلبات التخطيط الاستراتيجي في سياق الأزمات، وقدّمت دراسة حمزة وآخرون</w:t>
      </w:r>
      <w:r w:rsidRPr="00E127A1">
        <w:rPr>
          <w:rFonts w:ascii="Sakkal Majalla" w:eastAsia="Times New Roman" w:hAnsi="Sakkal Majalla" w:cs="Sakkal Majalla"/>
          <w:color w:val="000000" w:themeColor="text1"/>
          <w:kern w:val="0"/>
          <w:sz w:val="28"/>
          <w:szCs w:val="28"/>
          <w14:ligatures w14:val="none"/>
        </w:rPr>
        <w:t xml:space="preserve"> (Hamza et al., 2023) </w:t>
      </w:r>
      <w:r w:rsidRPr="00E127A1">
        <w:rPr>
          <w:rFonts w:ascii="Sakkal Majalla" w:eastAsia="Times New Roman" w:hAnsi="Sakkal Majalla" w:cs="Sakkal Majalla"/>
          <w:color w:val="000000" w:themeColor="text1"/>
          <w:kern w:val="0"/>
          <w:sz w:val="28"/>
          <w:szCs w:val="28"/>
          <w:rtl/>
          <w14:ligatures w14:val="none"/>
        </w:rPr>
        <w:t>منظوراً تكاملياً يربط بين التكنولوجيا والتخطيط والتنسيق في إدارة الأزمات البيئية، كما أسهمت دراسة راجليتش وآخرون</w:t>
      </w:r>
      <w:r w:rsidRPr="00E127A1">
        <w:rPr>
          <w:rFonts w:ascii="Sakkal Majalla" w:eastAsia="Times New Roman" w:hAnsi="Sakkal Majalla" w:cs="Sakkal Majalla"/>
          <w:color w:val="000000" w:themeColor="text1"/>
          <w:kern w:val="0"/>
          <w:sz w:val="28"/>
          <w:szCs w:val="28"/>
          <w14:ligatures w14:val="none"/>
        </w:rPr>
        <w:t xml:space="preserve"> (Rajlić et al., 2025) </w:t>
      </w:r>
      <w:r w:rsidRPr="00E127A1">
        <w:rPr>
          <w:rFonts w:ascii="Sakkal Majalla" w:eastAsia="Times New Roman" w:hAnsi="Sakkal Majalla" w:cs="Sakkal Majalla"/>
          <w:color w:val="000000" w:themeColor="text1"/>
          <w:kern w:val="0"/>
          <w:sz w:val="28"/>
          <w:szCs w:val="28"/>
          <w:rtl/>
          <w14:ligatures w14:val="none"/>
        </w:rPr>
        <w:t>في إبراز أهمية التدريب المستمر والتقييم الدوري في رفع مستوى الجاهزية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وبناءً على هذه المراجعة، تبنّت الدراسة الحالية أربعة أبعاد أساسية لإدارة الأزمات البيئية، يُشكّل كل منها حلقة ضرورية في سلسلة متكاملة تبدأ بالاستباق وتنتهي بالتعلم والتحسين</w:t>
      </w:r>
      <w:r w:rsidRPr="00E127A1">
        <w:rPr>
          <w:rFonts w:ascii="Sakkal Majalla" w:eastAsia="Times New Roman" w:hAnsi="Sakkal Majalla" w:cs="Sakkal Majalla"/>
          <w:color w:val="000000" w:themeColor="text1"/>
          <w:kern w:val="0"/>
          <w:sz w:val="28"/>
          <w:szCs w:val="28"/>
          <w14:ligatures w14:val="none"/>
        </w:rPr>
        <w:t>.</w:t>
      </w:r>
    </w:p>
    <w:p w14:paraId="762FF87B" w14:textId="77777777" w:rsidR="006254B4" w:rsidRPr="00E127A1" w:rsidRDefault="006254B4" w:rsidP="000011E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البُعد الأول: التخطيط الاستراتيجي لإدارة الأزمات البيئية</w:t>
      </w:r>
    </w:p>
    <w:p w14:paraId="295C86F6"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يُمثّل التخطيط الاستراتيجي الركيزة الأولى والأساسية في منظومة إدارة الأزمات البيئية، إذ يُوفّر الإطار الفكري والعملي الذي تنطلق منه جميع الأنشطة اللاحقة من استعداد واستجابة وتعافٍ</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ويتجاوز مفهوم التخطيط الاستراتيجي لإدارة الأزمات البيئية مجرد إعداد خطط طوارئ مكتوبة ليشمل عملية تحليلية شاملة تبدأ بتحليل البيئة الداخلية والخارجية للمنشأة الصناعية، وتحديد مصادر الخطر الكيميائي والبيئي وتصنيفها وفق معايير الاحتمالية والشدة، ووضع سيناريوهات متعددة لكل نوع من أنواع التسربات المحتملة، وتحديد الموارد البشرية والمادية والتقنية اللازمة لمواجهة كل سيناريو، وتوزيع الأدوار والمسؤوليات بشكل واضح ومحدد مسبقاً</w:t>
      </w:r>
      <w:r w:rsidRPr="00E127A1">
        <w:rPr>
          <w:rFonts w:ascii="Sakkal Majalla" w:eastAsia="Times New Roman" w:hAnsi="Sakkal Majalla" w:cs="Sakkal Majalla"/>
          <w:color w:val="000000" w:themeColor="text1"/>
          <w:kern w:val="0"/>
          <w:sz w:val="28"/>
          <w:szCs w:val="28"/>
          <w14:ligatures w14:val="none"/>
        </w:rPr>
        <w:t>.</w:t>
      </w:r>
    </w:p>
    <w:p w14:paraId="5DB26402"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وتكمن خصوصية التخطيط الاستراتيجي في مجال الأزمات البيئية الصناعية في ضرورة مراعاة عوامل تقنية وعلمية دقيقة ترتبط بطبيعة المواد الكيميائية المتداولة في المنشأة وخصائصها الفيزيائية والكيميائية ومسارات انتشارها المحتملة في الهواء والتربة والمياه. وقد أشار عبدالله (2024) إلى أن التخطيط الاستراتيجي الفعّال لإدارة الأزمات يستلزم تقييماً مستمراً للخطط الموضوعة في ضوء المتغيرات البيئية والتنظيمية، وتعاوناً وثيقاً بين جميع الجهات المعنية، ومتابعة دائمة لمستوى تنفيذ الخطة، وتحديداً دقيقاً </w:t>
      </w:r>
      <w:r w:rsidRPr="00E127A1">
        <w:rPr>
          <w:rFonts w:ascii="Sakkal Majalla" w:eastAsia="Times New Roman" w:hAnsi="Sakkal Majalla" w:cs="Sakkal Majalla"/>
          <w:color w:val="000000" w:themeColor="text1"/>
          <w:kern w:val="0"/>
          <w:sz w:val="28"/>
          <w:szCs w:val="28"/>
          <w:rtl/>
          <w14:ligatures w14:val="none"/>
        </w:rPr>
        <w:lastRenderedPageBreak/>
        <w:t>للأهداف الاستراتيجية المرجوّة. ويعني ذلك أن التخطيط ليس عملية ساكنة تُنجَز مرة واحدة بل عملية ديناميكية تتطلب مراجعة دورية وتحديثاً مستمراً يُواكب التغيرات في بيئة العمل والتطورات التقنية والتنظيمية</w:t>
      </w:r>
      <w:r w:rsidRPr="00E127A1">
        <w:rPr>
          <w:rFonts w:ascii="Sakkal Majalla" w:eastAsia="Times New Roman" w:hAnsi="Sakkal Majalla" w:cs="Sakkal Majalla"/>
          <w:color w:val="000000" w:themeColor="text1"/>
          <w:kern w:val="0"/>
          <w:sz w:val="28"/>
          <w:szCs w:val="28"/>
          <w14:ligatures w14:val="none"/>
        </w:rPr>
        <w:t>.</w:t>
      </w:r>
    </w:p>
    <w:p w14:paraId="1FB375FF"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كما يرتبط التخطيط الاستراتيجي لإدارة الأزمات البيئية بمفهوم الاستشراف الاستراتيجي الذي يتجاوز التنبؤ التقليدي نحو بناء رؤى مستقبلية متعددة تأخذ في الحسبان مختلف الاحتمالات والسيناريوهات</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ويتّسق هذا التوجه مع ما طرحه قمان وشعباني (2024) حول أبعاد الذكاء الاستراتيجي التي تشمل الرؤية المستقبلية والاستشراف والتفكير المنظومي، وهي أبعاد تُثري عملية التخطيط وتجعلها أكثر شمولية ومرونة. ويُفيد توظيف التقنيات الحديثة في هذا السياق، حيث أشار غلوفا فيغشووفا وغرابارا</w:t>
      </w:r>
      <w:r w:rsidRPr="00E127A1">
        <w:rPr>
          <w:rFonts w:ascii="Sakkal Majalla" w:eastAsia="Times New Roman" w:hAnsi="Sakkal Majalla" w:cs="Sakkal Majalla"/>
          <w:color w:val="000000" w:themeColor="text1"/>
          <w:kern w:val="0"/>
          <w:sz w:val="28"/>
          <w:szCs w:val="28"/>
          <w14:ligatures w14:val="none"/>
        </w:rPr>
        <w:t xml:space="preserve"> (Glova Végsöová &amp; Grabara, 2024) </w:t>
      </w:r>
      <w:r w:rsidRPr="00E127A1">
        <w:rPr>
          <w:rFonts w:ascii="Sakkal Majalla" w:eastAsia="Times New Roman" w:hAnsi="Sakkal Majalla" w:cs="Sakkal Majalla"/>
          <w:color w:val="000000" w:themeColor="text1"/>
          <w:kern w:val="0"/>
          <w:sz w:val="28"/>
          <w:szCs w:val="28"/>
          <w:rtl/>
          <w14:ligatures w14:val="none"/>
        </w:rPr>
        <w:t>إلى إمكانية استخدام برامج المحاكاة الحاسوبية في نمذجة سيناريوهات التسرب الكيميائي وتقدير مناطق الخطر، مما يُعزّز دقة التخطيط ويُتيح اختبار فاعلية الخطط الموضوعة في بيئة افتراضية قبل الحاجة إلى تطبيقها واقعياً</w:t>
      </w:r>
      <w:r w:rsidRPr="00E127A1">
        <w:rPr>
          <w:rFonts w:ascii="Sakkal Majalla" w:eastAsia="Times New Roman" w:hAnsi="Sakkal Majalla" w:cs="Sakkal Majalla"/>
          <w:color w:val="000000" w:themeColor="text1"/>
          <w:kern w:val="0"/>
          <w:sz w:val="28"/>
          <w:szCs w:val="28"/>
          <w14:ligatures w14:val="none"/>
        </w:rPr>
        <w:t>.</w:t>
      </w:r>
    </w:p>
    <w:p w14:paraId="42C2863D" w14:textId="77777777" w:rsidR="006254B4" w:rsidRPr="00E127A1" w:rsidRDefault="006254B4" w:rsidP="000011E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البُعد الثاني: الاستجابة السريعة للتسربات الكيميائية</w:t>
      </w:r>
    </w:p>
    <w:p w14:paraId="3BA49A64"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تُشكّل الاستجابة السريعة المرحلة الحرجة في إدارة الأزمات البيئية الصناعية، إذ تتحدد في الدقائق والساعات الأولى بعد وقوع التسرب الكيميائي ملامحُ الأزمة ومداها وحجم خسائرها المحتملة. ويُقصد بالاستجابة السريعة في هذا السياق مجموعة الإجراءات الفورية المنظّمة والمتسلسلة التي تُتّخذ لحظة اكتشاف التسرب أو تلقي الإنذار به، وتشمل تفعيل أنظمة الإنذار المبكر وإبلاغ جميع الأطراف المعنية، وتنفيذ خطط الإخلاء المعدّة سلفاً، ونشر الفرق المتخصصة في الاحتواء والمعالجة الكيميائية، واستخدام المعدات والتقنيات المناسبة لوقف التسرب أو تقليل انتشاره إلى أدنى حد ممكن</w:t>
      </w:r>
      <w:r w:rsidRPr="00E127A1">
        <w:rPr>
          <w:rFonts w:ascii="Sakkal Majalla" w:eastAsia="Times New Roman" w:hAnsi="Sakkal Majalla" w:cs="Sakkal Majalla"/>
          <w:color w:val="000000" w:themeColor="text1"/>
          <w:kern w:val="0"/>
          <w:sz w:val="28"/>
          <w:szCs w:val="28"/>
          <w14:ligatures w14:val="none"/>
        </w:rPr>
        <w:t>.</w:t>
      </w:r>
    </w:p>
    <w:p w14:paraId="34C3CC10"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وتتوقف فاعلية الاستجابة السريعة على عدة عوامل مترابطة أبرزها سرعة اكتشاف الحادث من خلال أنظمة المستشعرات والرصد الآلي، ووضوح قنوات الاتصال الداخلية والخارجية التي تضمن وصول المعلومة إلى صانع القرار في الوقت المناسب، وجاهزية الكوادر البشرية المدرّبة على التعامل مع أنواع التسربات المختلفة، وتوفر المعدات اللوجستية والتقنية اللازمة في حالة تشغيلية سليمة. وقد شهدت </w:t>
      </w:r>
      <w:r w:rsidRPr="00E127A1">
        <w:rPr>
          <w:rFonts w:ascii="Sakkal Majalla" w:eastAsia="Times New Roman" w:hAnsi="Sakkal Majalla" w:cs="Sakkal Majalla"/>
          <w:color w:val="000000" w:themeColor="text1"/>
          <w:kern w:val="0"/>
          <w:sz w:val="28"/>
          <w:szCs w:val="28"/>
          <w:rtl/>
          <w14:ligatures w14:val="none"/>
        </w:rPr>
        <w:lastRenderedPageBreak/>
        <w:t>السنوات الأخيرة تطوراً لافتاً في هذا المجال مع دخول تقنيات إنترنت الأشياء والمستشعرات الذكية إلى منظومة الاستجابة للطوارئ، حيث تناول داماشيفيتشيوس وآخرون</w:t>
      </w:r>
      <w:r w:rsidRPr="00E127A1">
        <w:rPr>
          <w:rFonts w:ascii="Sakkal Majalla" w:eastAsia="Times New Roman" w:hAnsi="Sakkal Majalla" w:cs="Sakkal Majalla"/>
          <w:color w:val="000000" w:themeColor="text1"/>
          <w:kern w:val="0"/>
          <w:sz w:val="28"/>
          <w:szCs w:val="28"/>
          <w14:ligatures w14:val="none"/>
        </w:rPr>
        <w:t xml:space="preserve"> (Damaševičius et al., 2023) </w:t>
      </w:r>
      <w:r w:rsidRPr="00E127A1">
        <w:rPr>
          <w:rFonts w:ascii="Sakkal Majalla" w:eastAsia="Times New Roman" w:hAnsi="Sakkal Majalla" w:cs="Sakkal Majalla"/>
          <w:color w:val="000000" w:themeColor="text1"/>
          <w:kern w:val="0"/>
          <w:sz w:val="28"/>
          <w:szCs w:val="28"/>
          <w:rtl/>
          <w14:ligatures w14:val="none"/>
        </w:rPr>
        <w:t>دور هذه التقنيات في جمع البيانات اللحظية عن تركيزات الغازات ودرجات الحرارة ومعدلات التدفق، مما يُتيح اكتشاف التسرب في مراحله الأولى وتفعيل آليات الاستجابة الآلية قبل تفاقم الوضع. ويُمثّل هذا التطور نقلة نوعية في مفهوم الاستجابة السريعة من الاعتماد الكلي على الحواس البشرية والإبلاغ اليدوي نحو منظومة ذكية تُكمّل القدرات البشرية وتُعزّزها</w:t>
      </w:r>
      <w:r w:rsidRPr="00E127A1">
        <w:rPr>
          <w:rFonts w:ascii="Sakkal Majalla" w:eastAsia="Times New Roman" w:hAnsi="Sakkal Majalla" w:cs="Sakkal Majalla"/>
          <w:color w:val="000000" w:themeColor="text1"/>
          <w:kern w:val="0"/>
          <w:sz w:val="28"/>
          <w:szCs w:val="28"/>
          <w14:ligatures w14:val="none"/>
        </w:rPr>
        <w:t>.</w:t>
      </w:r>
    </w:p>
    <w:p w14:paraId="56786491"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ولا يقتصر مفهوم الاستجابة السريعة على الجانب التقني والإجرائي، بل يتضمن أيضاً بُعداً قيادياً حاسماً، إذ تتطلب لحظات الأزمة قيادة حاضرة وقادرة على اتخاذ قرارات سريعة في ظروف تتسم بعدم اليقين ونقص المعلومات والضغط الزمني الشديد. وقد تناول الشريف والحكمي والتيس (2024) دور القيادة الاستراتيجية في التعامل مع الأزمات في قطاع الاتصالات السعودي، مؤكدين على أن القيادة الفاعلة تُمثّل عنصراً محورياً في تحويل الخطط المكتوبة إلى استجابة فعلية منظّمة على أرض الواقع. ويتّسق هذا الطرح مع ما أشار إليه السعيدي (2023) من أن القيادة النشطة التي تتسم باتخاذ القرارات الموضوعية وتحفيز العاملين وتمكينهم تُسهم في رفع مستوى جاهزية المنظمة للتعامل مع الأزمات في جميع مراحلها</w:t>
      </w:r>
      <w:r w:rsidRPr="00E127A1">
        <w:rPr>
          <w:rFonts w:ascii="Sakkal Majalla" w:eastAsia="Times New Roman" w:hAnsi="Sakkal Majalla" w:cs="Sakkal Majalla"/>
          <w:color w:val="000000" w:themeColor="text1"/>
          <w:kern w:val="0"/>
          <w:sz w:val="28"/>
          <w:szCs w:val="28"/>
          <w14:ligatures w14:val="none"/>
        </w:rPr>
        <w:t>.</w:t>
      </w:r>
    </w:p>
    <w:p w14:paraId="63B6F7F3"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ومن الأهمية بمكان التأكيد على أن الاستجابة السريعة ليست عملاً ارتجالياً بل هي ترجمة عملية للتخطيط المسبق في لحظة الأزمة، وهو ما يُبرز الترابط العضوي بين البُعد الأول والبُعد الثاني في هذه الدراسة. فالمنشآت التي تستثمر في إعداد سيناريوهات الطوارئ المفصّلة وتُجري تدريبات محاكاة منتظمة تكون أقدر على الاستجابة الفعّالة حين تقع الأزمة الحقيقية، ذلك أن التدريب المتكرر يُحوّل إجراءات الاستجابة من معرفة نظرية إلى سلوك تلقائي مكتسب. وقد أكد راجليتش وآخرون</w:t>
      </w:r>
      <w:r w:rsidRPr="00E127A1">
        <w:rPr>
          <w:rFonts w:ascii="Sakkal Majalla" w:eastAsia="Times New Roman" w:hAnsi="Sakkal Majalla" w:cs="Sakkal Majalla"/>
          <w:color w:val="000000" w:themeColor="text1"/>
          <w:kern w:val="0"/>
          <w:sz w:val="28"/>
          <w:szCs w:val="28"/>
          <w14:ligatures w14:val="none"/>
        </w:rPr>
        <w:t xml:space="preserve"> (Rajlić et al., 2025) </w:t>
      </w:r>
      <w:r w:rsidRPr="00E127A1">
        <w:rPr>
          <w:rFonts w:ascii="Sakkal Majalla" w:eastAsia="Times New Roman" w:hAnsi="Sakkal Majalla" w:cs="Sakkal Majalla"/>
          <w:color w:val="000000" w:themeColor="text1"/>
          <w:kern w:val="0"/>
          <w:sz w:val="28"/>
          <w:szCs w:val="28"/>
          <w:rtl/>
          <w14:ligatures w14:val="none"/>
        </w:rPr>
        <w:t>في إطار مراجعتهم للأطر الدولية لإدارة الطوارئ الصناعية على أن المنشآت التي تُجري تدريبات محاكاة منتظمة تبني قدرات مؤسسية أعمق في مجال الاستجابة مقارنة بتلك التي تكتفي بالخطط الورقية دون ممارسة فعلية</w:t>
      </w:r>
      <w:r w:rsidRPr="00E127A1">
        <w:rPr>
          <w:rFonts w:ascii="Sakkal Majalla" w:eastAsia="Times New Roman" w:hAnsi="Sakkal Majalla" w:cs="Sakkal Majalla"/>
          <w:color w:val="000000" w:themeColor="text1"/>
          <w:kern w:val="0"/>
          <w:sz w:val="28"/>
          <w:szCs w:val="28"/>
          <w14:ligatures w14:val="none"/>
        </w:rPr>
        <w:t>.</w:t>
      </w:r>
    </w:p>
    <w:p w14:paraId="7D5306FB" w14:textId="77777777" w:rsidR="006254B4" w:rsidRPr="00E127A1" w:rsidRDefault="006254B4" w:rsidP="000011E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البُعد الثالث: التنسيق المؤسسي</w:t>
      </w:r>
    </w:p>
    <w:p w14:paraId="753FC5FD"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يُشير التنسيق المؤسسي إلى مجموعة الآليات والترتيبات التنظيمية التي تضمن تكامل الجهود بين مختلف الوحدات الإدارية والتشغيلية داخل المنشأة الصناعية من جهة، وبين المنشأة والجهات الخارجية ذات العلاقة من جهة أخرى، بما يُحقق استجابة موحّدة وفعّالة ومتّسقة للأزمات البيئية. ويكتسب هذا البُعد أهمية استثنائية في سياق الأزمات الكيميائية الصناعية التي تتطلب بطبيعتها تدخل جهات متعددة ومتنوعة تشمل إدارة السلامة والصحة المهنية والبيئة، وإدارة العمليات والإنتاج، وإدارة الموارد البشرية، وإدارة الاتصال المؤسسي، فضلاً عن جهات خارجية كأجهزة الدفاع المدني والجهات الرقابية البيئية والمرافق الصحية والمجتمعات المحلية المجاورة للمنشأة</w:t>
      </w:r>
      <w:r w:rsidRPr="00E127A1">
        <w:rPr>
          <w:rFonts w:ascii="Sakkal Majalla" w:eastAsia="Times New Roman" w:hAnsi="Sakkal Majalla" w:cs="Sakkal Majalla"/>
          <w:color w:val="000000" w:themeColor="text1"/>
          <w:kern w:val="0"/>
          <w:sz w:val="28"/>
          <w:szCs w:val="28"/>
          <w14:ligatures w14:val="none"/>
        </w:rPr>
        <w:t>.</w:t>
      </w:r>
    </w:p>
    <w:p w14:paraId="2A9B7006"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ويتجاوز التنسيق المؤسسي الفعّال مفهوم التعاون العرضي الذي يحدث بشكل تلقائي أثناء الأزمة ليشمل بناء هياكل تنظيمية دائمة وبروتوكولات واضحة ومتفق عليها مسبقاً تُحدّد أدوار كل جهة ومسؤولياتها وقنوات الاتصال بينها وآليات تبادل المعلومات واتخاذ القرارات المشتركة. وقد أكد كوربن وآخرون</w:t>
      </w:r>
      <w:r w:rsidRPr="00E127A1">
        <w:rPr>
          <w:rFonts w:ascii="Sakkal Majalla" w:eastAsia="Times New Roman" w:hAnsi="Sakkal Majalla" w:cs="Sakkal Majalla"/>
          <w:color w:val="000000" w:themeColor="text1"/>
          <w:kern w:val="0"/>
          <w:sz w:val="28"/>
          <w:szCs w:val="28"/>
          <w14:ligatures w14:val="none"/>
        </w:rPr>
        <w:t xml:space="preserve"> (Corbin et al., 2021) </w:t>
      </w:r>
      <w:r w:rsidRPr="00E127A1">
        <w:rPr>
          <w:rFonts w:ascii="Sakkal Majalla" w:eastAsia="Times New Roman" w:hAnsi="Sakkal Majalla" w:cs="Sakkal Majalla"/>
          <w:color w:val="000000" w:themeColor="text1"/>
          <w:kern w:val="0"/>
          <w:sz w:val="28"/>
          <w:szCs w:val="28"/>
          <w:rtl/>
          <w14:ligatures w14:val="none"/>
        </w:rPr>
        <w:t>على أن المشاركة المجتمعية والتنسيق بين القطاعات المختلفة يُمثّلان ركيزة أساسية لنجاح إدارة الطوارئ، وأن الأنظمة التي تعمل بمعزل عن بعضها تُنتج استجابات مجزأة وغير كافية مهما بلغت كفاءة كل نظام على حدة. ويُبرز هذا الطرح أن التنسيق ليس مجرد قيمة مضافة بل شرط ضروري لفاعلية المنظومة بأكملها</w:t>
      </w:r>
      <w:r w:rsidRPr="00E127A1">
        <w:rPr>
          <w:rFonts w:ascii="Sakkal Majalla" w:eastAsia="Times New Roman" w:hAnsi="Sakkal Majalla" w:cs="Sakkal Majalla"/>
          <w:color w:val="000000" w:themeColor="text1"/>
          <w:kern w:val="0"/>
          <w:sz w:val="28"/>
          <w:szCs w:val="28"/>
          <w14:ligatures w14:val="none"/>
        </w:rPr>
        <w:t>.</w:t>
      </w:r>
    </w:p>
    <w:p w14:paraId="28256C6D"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ويرتبط التنسيق المؤسسي ارتباطاً وثيقاً بالبنية التحتية للاتصال والمعلومات داخل المنشأة، إذ تُشكّل القدرة على تبادل المعلومات بسرعة ودقة بين مختلف المستويات الإدارية والوحدات التشغيلية عاملاً حاسماً في تحقيق التنسيق المطلوب أثناء الأزمة. وفي هذا الإطار، تناول الدليمي والجنابي (2022) دور الإدارة الإلكترونية في تعزيز الجاهزية الاستراتيجية، مؤكدين على أن البنية التقنية من أجهزة وبرمجيات وموارد بشرية مؤهلة تُشكّل البيئة التمكينية التي يقوم عليها التنسيق المؤسسي الفعّال. غير أن مجرد توفر البنية التحتية التقنية لا يكفي ما لم تُصاحبها ثقافة تنظيمية تُشجّع على التشارك والشفافية وتكسر الحواجز بين الإدارات والأقسام المختلفة، وهو ما يطرح تحدياً ثقافياً وسلوكياً لا يقل أهمية عن التحدي التقني والإجرائي</w:t>
      </w:r>
      <w:r w:rsidRPr="00E127A1">
        <w:rPr>
          <w:rFonts w:ascii="Sakkal Majalla" w:eastAsia="Times New Roman" w:hAnsi="Sakkal Majalla" w:cs="Sakkal Majalla"/>
          <w:color w:val="000000" w:themeColor="text1"/>
          <w:kern w:val="0"/>
          <w:sz w:val="28"/>
          <w:szCs w:val="28"/>
          <w14:ligatures w14:val="none"/>
        </w:rPr>
        <w:t>.</w:t>
      </w:r>
    </w:p>
    <w:p w14:paraId="3EBD47B2"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ومن الجوانب المهمة في التنسيق المؤسسي أيضاً ما يتعلق بالكفاءات البشرية القادرة على إدارة العلاقات البينية بين الوحدات التنظيمية والجهات الخارجية. فقد تناولت مروة محمد علي (2024) دور الكفاءات الإدارية في إدارة الأزمات في قطاع البترول، حيث فحصت أبعاد حُسن اختيار الموظفين الأكفاء والتدريب والتحفيز بوصفها عوامل تُسهم في بناء فرق عمل قادرة على التنسيق والتكامل تحت ضغط الأزمة. ويُفيد هذا الطرح في التأكيد على أن التنسيق المؤسسي الناجح يعتمد في نهاية المطاف على نوعية الموارد البشرية المنخرطة فيه وعلى المناخ التنظيمي الذي يدفعها نحو التعاون والمبادرة. كما تناولت البشيري وآخرون (2023) دور إدارة الموارد البشرية في إدارة الأزمات، مؤكدين على أن التنسيق بين إدارة الموارد البشرية والإدارات التشغيلية الأخرى يُمثّل محوراً حيوياً في بناء الجاهزية المؤسسية الشاملة، لا سيما في ما يتعلق بتوفير الكوادر المؤهلة وتوزيعها على مواقع العمل الحرجة وضمان استمرارية العمليات أثناء الأزمة</w:t>
      </w:r>
      <w:r w:rsidRPr="00E127A1">
        <w:rPr>
          <w:rFonts w:ascii="Sakkal Majalla" w:eastAsia="Times New Roman" w:hAnsi="Sakkal Majalla" w:cs="Sakkal Majalla"/>
          <w:color w:val="000000" w:themeColor="text1"/>
          <w:kern w:val="0"/>
          <w:sz w:val="28"/>
          <w:szCs w:val="28"/>
          <w14:ligatures w14:val="none"/>
        </w:rPr>
        <w:t>.</w:t>
      </w:r>
    </w:p>
    <w:p w14:paraId="7E74570B" w14:textId="77777777" w:rsidR="006254B4" w:rsidRPr="00E127A1" w:rsidRDefault="006254B4" w:rsidP="000011E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البُعد الرابع: التقييم والتحسين المستمر</w:t>
      </w:r>
    </w:p>
    <w:p w14:paraId="503C49F7"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يُمثّل التقييم والتحسين المستمر الحلقة الختامية والتأسيسية في آن واحد ضمن منظومة إدارة الأزمات البيئية، إذ يُغلق دورة الأزمة الراهنة ويُفتح في الوقت ذاته دورة جديدة من الاستعداد والتطوير. ويُقصد بهذا البُعد مجموعة العمليات المنهجية التي تُجريها المنشأة بعد انتهاء الأزمة أو بشكل دوري لتقييم فاعلية الإجراءات المتّبعة في جميع المراحل، وتحديد نقاط القوة التي ينبغي تعزيزها ونقاط الضعف التي يتعيّن معالجتها، واستخلاص الدروس المستفادة وتوثيقها وتحويلها إلى معرفة مؤسسية تُغذّي عمليات التخطيط والاستعداد المستقبلية</w:t>
      </w:r>
      <w:r w:rsidRPr="00E127A1">
        <w:rPr>
          <w:rFonts w:ascii="Sakkal Majalla" w:eastAsia="Times New Roman" w:hAnsi="Sakkal Majalla" w:cs="Sakkal Majalla"/>
          <w:color w:val="000000" w:themeColor="text1"/>
          <w:kern w:val="0"/>
          <w:sz w:val="28"/>
          <w:szCs w:val="28"/>
          <w14:ligatures w14:val="none"/>
        </w:rPr>
        <w:t>.</w:t>
      </w:r>
    </w:p>
    <w:p w14:paraId="33EE6412"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ويستند هذا البُعد إلى فلسفة التعلم التنظيمي التي ترى أن المنظمات الأكثر نجاحاً هي تلك التي تمتلك القدرة على التعلم من تجاربها وتحويل هذا التعلم إلى ممارسات مؤسسية مُحسّنة. وقد أكد صن وتشانغ</w:t>
      </w:r>
      <w:r w:rsidRPr="00E127A1">
        <w:rPr>
          <w:rFonts w:ascii="Sakkal Majalla" w:eastAsia="Times New Roman" w:hAnsi="Sakkal Majalla" w:cs="Sakkal Majalla"/>
          <w:color w:val="000000" w:themeColor="text1"/>
          <w:kern w:val="0"/>
          <w:sz w:val="28"/>
          <w:szCs w:val="28"/>
          <w14:ligatures w14:val="none"/>
        </w:rPr>
        <w:t xml:space="preserve"> (Sun &amp; Zhang, 2022) </w:t>
      </w:r>
      <w:r w:rsidRPr="00E127A1">
        <w:rPr>
          <w:rFonts w:ascii="Sakkal Majalla" w:eastAsia="Times New Roman" w:hAnsi="Sakkal Majalla" w:cs="Sakkal Majalla"/>
          <w:color w:val="000000" w:themeColor="text1"/>
          <w:kern w:val="0"/>
          <w:sz w:val="28"/>
          <w:szCs w:val="28"/>
          <w:rtl/>
          <w14:ligatures w14:val="none"/>
        </w:rPr>
        <w:t xml:space="preserve">على أهمية الاستجابة الاستراتيجية للأزمات التي تتضمن مراجعة شاملة للاستراتيجيات المتّبعة في ضوء التجربة الفعلية، مع التأكيد على ضرورة التنويع في الاستراتيجيات والتحول الرقمي بوصفهما أدوات لتعزيز قدرة المنظمة على التكيف والتجدد المستمر. ويُبرز هذا الطرح أن التقييم </w:t>
      </w:r>
      <w:r w:rsidRPr="00E127A1">
        <w:rPr>
          <w:rFonts w:ascii="Sakkal Majalla" w:eastAsia="Times New Roman" w:hAnsi="Sakkal Majalla" w:cs="Sakkal Majalla"/>
          <w:color w:val="000000" w:themeColor="text1"/>
          <w:kern w:val="0"/>
          <w:sz w:val="28"/>
          <w:szCs w:val="28"/>
          <w:rtl/>
          <w14:ligatures w14:val="none"/>
        </w:rPr>
        <w:lastRenderedPageBreak/>
        <w:t>والتحسين ليسا عمليتين تقنيتين فحسب بل يتطلبان رؤية استراتيجية تربط بين دروس الماضي ومتطلبات المستقبل</w:t>
      </w:r>
      <w:r w:rsidRPr="00E127A1">
        <w:rPr>
          <w:rFonts w:ascii="Sakkal Majalla" w:eastAsia="Times New Roman" w:hAnsi="Sakkal Majalla" w:cs="Sakkal Majalla"/>
          <w:color w:val="000000" w:themeColor="text1"/>
          <w:kern w:val="0"/>
          <w:sz w:val="28"/>
          <w:szCs w:val="28"/>
          <w14:ligatures w14:val="none"/>
        </w:rPr>
        <w:t>.</w:t>
      </w:r>
    </w:p>
    <w:p w14:paraId="5B81CA1F"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ويتضمن التقييم والتحسين المستمر عدة عمليات فرعية متكاملة تشمل: تحليل ما بعد الأزمة الذي يُراجع تسلسل الأحداث والقرارات المتّخذة ويُقارن بين ما كان مخططاً وما حدث فعلياً، وتقييم أداء الفرق والأفراد في مختلف مراحل الاستجابة، ومراجعة كفاية الموارد المتاحة ومدى ملاءمة المعدات والتقنيات المستخدمة، وتحديث خطط الطوارئ والسيناريوهات في ضوء الدروس المستفادة، وتطوير برامج التدريب والمحاكاة بناءً على الفجوات المكتشفة. وقد أشار حسين وعلوان (2023) إلى أن مفهوم التجديد الاستراتيجي يقوم على أبعاد الاستكشاف والريادة واستثمار الفرص وتشارك القيادة، وهي أبعاد تتقاطع مع فلسفة التحسين المستمر في كونها تسعى إلى تجاوز الحالة الراهنة نحو حالة أفضل من خلال التعلم والابتكار والمشاركة</w:t>
      </w:r>
      <w:r w:rsidRPr="00E127A1">
        <w:rPr>
          <w:rFonts w:ascii="Sakkal Majalla" w:eastAsia="Times New Roman" w:hAnsi="Sakkal Majalla" w:cs="Sakkal Majalla"/>
          <w:color w:val="000000" w:themeColor="text1"/>
          <w:kern w:val="0"/>
          <w:sz w:val="28"/>
          <w:szCs w:val="28"/>
          <w14:ligatures w14:val="none"/>
        </w:rPr>
        <w:t>.</w:t>
      </w:r>
    </w:p>
    <w:p w14:paraId="1D340153"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ومن الجوانب المهمة في هذا البُعد ما يتعلق بإدارة المعرفة المؤسسية الناتجة عن تجارب الأزمات. فقد تناول العلي والحسناوي (2021) دور إدارة المعرفة في تعزيز جاهزية المنظمات، مؤكدين على أن بناء نظم فعّالة لإدارة المعرفة يُسهم في الحفاظ على الخبرات المتراكمة وتوظيفها في تحسين قدرات المنظمة على مواجهة الأزمات المستقبلية. ويعني ذلك أن الدروس المستفادة من كل أزمة ينبغي ألا تبقى حبيسة التقارير والملفات بل يجب أن تتحول إلى معرفة حية تتدفق عبر المنظمة وتُغني ثقافتها المؤسسية وممارساتها اليومية. كما أن عملية التقييم والتحسين المستمر لا تقتصر على فترة ما بعد الأزمة بل تشمل أيضاً المراجعة الدورية للخطط والإجراءات في أوقات الاستقرار، وإجراء تدريبات محاكاة منتظمة يُعقبها تقييم وتحليل للأداء، مما يجعل من التحسين عملية مستدامة لا موسمية</w:t>
      </w:r>
      <w:r w:rsidRPr="00E127A1">
        <w:rPr>
          <w:rFonts w:ascii="Sakkal Majalla" w:eastAsia="Times New Roman" w:hAnsi="Sakkal Majalla" w:cs="Sakkal Majalla"/>
          <w:color w:val="000000" w:themeColor="text1"/>
          <w:kern w:val="0"/>
          <w:sz w:val="28"/>
          <w:szCs w:val="28"/>
          <w14:ligatures w14:val="none"/>
        </w:rPr>
        <w:t>.</w:t>
      </w:r>
    </w:p>
    <w:p w14:paraId="3F6C5946" w14:textId="44BC346C" w:rsidR="006254B4" w:rsidRPr="00E127A1" w:rsidRDefault="00B85931" w:rsidP="00B8593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3" w:name="_Toc228121483"/>
      <w:r w:rsidRPr="00E127A1">
        <w:rPr>
          <w:rFonts w:ascii="Sakkal Majalla" w:eastAsia="Times New Roman" w:hAnsi="Sakkal Majalla" w:cs="Sakkal Majalla" w:hint="cs"/>
          <w:b/>
          <w:bCs/>
          <w:color w:val="000000" w:themeColor="text1"/>
          <w:kern w:val="0"/>
          <w:sz w:val="32"/>
          <w:szCs w:val="32"/>
          <w:rtl/>
          <w14:ligatures w14:val="none"/>
        </w:rPr>
        <w:t xml:space="preserve">6.1.2 </w:t>
      </w:r>
      <w:r w:rsidR="006254B4" w:rsidRPr="00E127A1">
        <w:rPr>
          <w:rFonts w:ascii="Sakkal Majalla" w:eastAsia="Times New Roman" w:hAnsi="Sakkal Majalla" w:cs="Sakkal Majalla"/>
          <w:b/>
          <w:bCs/>
          <w:color w:val="000000" w:themeColor="text1"/>
          <w:kern w:val="0"/>
          <w:sz w:val="32"/>
          <w:szCs w:val="32"/>
          <w:rtl/>
          <w14:ligatures w14:val="none"/>
        </w:rPr>
        <w:t>استراتيجيات إدارة الأزمات البيئية في المنشآت الصناعية</w:t>
      </w:r>
      <w:bookmarkEnd w:id="23"/>
    </w:p>
    <w:p w14:paraId="3AA9A860"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تتنوع الاستراتيجيات التي يمكن أن تتبناها المنشآت الصناعية في إدارة أزماتها البيئية وفقاً لطبيعة المخاطر المحتملة وحجم المنشأة وقدراتها المؤسسية والتنظيمية والمالية، غير أن الأدبيات تُشير إلى مجموعة </w:t>
      </w:r>
      <w:r w:rsidRPr="00E127A1">
        <w:rPr>
          <w:rFonts w:ascii="Sakkal Majalla" w:eastAsia="Times New Roman" w:hAnsi="Sakkal Majalla" w:cs="Sakkal Majalla"/>
          <w:color w:val="000000" w:themeColor="text1"/>
          <w:kern w:val="0"/>
          <w:sz w:val="28"/>
          <w:szCs w:val="28"/>
          <w:rtl/>
          <w14:ligatures w14:val="none"/>
        </w:rPr>
        <w:lastRenderedPageBreak/>
        <w:t>من الاستراتيجيات الرئيسية التي تُشكّل في مجملها منظومة متكاملة يمكن للمنشأة أن تستند إليها في بناء قدراتها لمواجهة الأزمات البيئية</w:t>
      </w:r>
      <w:r w:rsidRPr="00E127A1">
        <w:rPr>
          <w:rFonts w:ascii="Sakkal Majalla" w:eastAsia="Times New Roman" w:hAnsi="Sakkal Majalla" w:cs="Sakkal Majalla"/>
          <w:color w:val="000000" w:themeColor="text1"/>
          <w:kern w:val="0"/>
          <w:sz w:val="28"/>
          <w:szCs w:val="28"/>
          <w14:ligatures w14:val="none"/>
        </w:rPr>
        <w:t>.</w:t>
      </w:r>
    </w:p>
    <w:p w14:paraId="19AD2B77"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تتمثّل الاستراتيجية الأولى في استراتيجية الوقاية والتجنب التي تهدف إلى منع الأزمة من الوقوع أصلاً من خلال القضاء على مسبباتها أو تقليل احتمالات حدوثها إلى أدنى مستوى ممكن. وتعتمد هذه الاستراتيجية على أنظمة الصيانة الوقائية المنتظمة للمعدات والأنظمة التشغيلية، وتطبيق أعلى معايير السلامة في تصميم المنشآت وعملياتها، والاستثمار في تقنيات الرصد والمراقبة المبكرة. وقد أشار حمزة وآخرون </w:t>
      </w:r>
      <w:r w:rsidRPr="00E127A1">
        <w:rPr>
          <w:rFonts w:ascii="Sakkal Majalla" w:eastAsia="Times New Roman" w:hAnsi="Sakkal Majalla" w:cs="Sakkal Majalla"/>
          <w:color w:val="000000" w:themeColor="text1"/>
          <w:kern w:val="0"/>
          <w:sz w:val="28"/>
          <w:szCs w:val="28"/>
          <w14:ligatures w14:val="none"/>
        </w:rPr>
        <w:t xml:space="preserve">(Hamza et al., 2023) </w:t>
      </w:r>
      <w:r w:rsidRPr="00E127A1">
        <w:rPr>
          <w:rFonts w:ascii="Sakkal Majalla" w:eastAsia="Times New Roman" w:hAnsi="Sakkal Majalla" w:cs="Sakkal Majalla"/>
          <w:color w:val="000000" w:themeColor="text1"/>
          <w:kern w:val="0"/>
          <w:sz w:val="28"/>
          <w:szCs w:val="28"/>
          <w:rtl/>
          <w14:ligatures w14:val="none"/>
        </w:rPr>
        <w:t>إلى أهمية توظيف التكنولوجيا في دعم استراتيجيات الوقاية من الأزمات البيئية، لا سيما نظم المعلومات الجغرافية وأدوات الاستشعار عن بُعد التي تُتيح رصد المتغيرات البيئية بشكل مستمر والكشف عن أي انحرافات قد تُنذر بوقوع أزمة</w:t>
      </w:r>
      <w:r w:rsidRPr="00E127A1">
        <w:rPr>
          <w:rFonts w:ascii="Sakkal Majalla" w:eastAsia="Times New Roman" w:hAnsi="Sakkal Majalla" w:cs="Sakkal Majalla"/>
          <w:color w:val="000000" w:themeColor="text1"/>
          <w:kern w:val="0"/>
          <w:sz w:val="28"/>
          <w:szCs w:val="28"/>
          <w14:ligatures w14:val="none"/>
        </w:rPr>
        <w:t>.</w:t>
      </w:r>
    </w:p>
    <w:p w14:paraId="23693DBD"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وتتمثّل الاستراتيجية الثانية في استراتيجية الاستعداد والجاهزية التي تنطلق من افتراض واقعي مفاده أنه مهما بلغت جهود الوقاية فإن احتمال وقوع الأزمة يظل قائماً، وبالتالي يتعيّن على المنشأة أن تكون في حالة استعداد دائم للتعامل معها. وتشمل هذه الاستراتيجية إعداد خطط طوارئ تفصيلية لمختلف السيناريوهات المحتملة، وتشكيل فرق أزمات مدرّبة ومجهّزة، وإجراء تدريبات محاكاة دورية، وتوفير المعدات والمواد اللازمة للاستجابة في حالة تشغيلية جاهزة. وقد أكد راجليتش وآخرون</w:t>
      </w:r>
      <w:r w:rsidRPr="00E127A1">
        <w:rPr>
          <w:rFonts w:ascii="Sakkal Majalla" w:eastAsia="Times New Roman" w:hAnsi="Sakkal Majalla" w:cs="Sakkal Majalla"/>
          <w:color w:val="000000" w:themeColor="text1"/>
          <w:kern w:val="0"/>
          <w:sz w:val="28"/>
          <w:szCs w:val="28"/>
          <w14:ligatures w14:val="none"/>
        </w:rPr>
        <w:t xml:space="preserve"> (Rajlić et al., 2025) </w:t>
      </w:r>
      <w:r w:rsidRPr="00E127A1">
        <w:rPr>
          <w:rFonts w:ascii="Sakkal Majalla" w:eastAsia="Times New Roman" w:hAnsi="Sakkal Majalla" w:cs="Sakkal Majalla"/>
          <w:color w:val="000000" w:themeColor="text1"/>
          <w:kern w:val="0"/>
          <w:sz w:val="28"/>
          <w:szCs w:val="28"/>
          <w:rtl/>
          <w14:ligatures w14:val="none"/>
        </w:rPr>
        <w:t>في إطار مراجعتهم للأطر الدولية مثل إطار هيوغو وإطار سينداي لإدارة مخاطر الكوارث على أن الجاهزية المؤسسية تتطلب وثائق تخطيط محدّثة وتدريباً مستمراً يدمج بين النظرية والتطبيق، وأن الفجوة بين الخطط المكتوبة والممارسة الفعلية تُمثّل أحد أكبر التحديات التي تواجه المنشآت الصناعية الكبرى</w:t>
      </w:r>
      <w:r w:rsidRPr="00E127A1">
        <w:rPr>
          <w:rFonts w:ascii="Sakkal Majalla" w:eastAsia="Times New Roman" w:hAnsi="Sakkal Majalla" w:cs="Sakkal Majalla"/>
          <w:color w:val="000000" w:themeColor="text1"/>
          <w:kern w:val="0"/>
          <w:sz w:val="28"/>
          <w:szCs w:val="28"/>
          <w14:ligatures w14:val="none"/>
        </w:rPr>
        <w:t>.</w:t>
      </w:r>
    </w:p>
    <w:p w14:paraId="17723668"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وتتمثّل الاستراتيجية الثالثة في استراتيجية الاحتواء وتقليل الأضرار التي تُفعَّل فور وقوع الأزمة وتهدف إلى السيطرة على الوضع ومنع تفاقمه وتقليل الخسائر البشرية والمادية والبيئية إلى أدنى حد ممكن. وتعتمد هذه الاستراتيجية على سرعة اتخاذ القرار ووضوح خطوط السلطة وفاعلية قنوات الاتصال بين جميع الأطراف المعنية. وقد أشار غلوفا فيغشووفا وغرابارا</w:t>
      </w:r>
      <w:r w:rsidRPr="00E127A1">
        <w:rPr>
          <w:rFonts w:ascii="Sakkal Majalla" w:eastAsia="Times New Roman" w:hAnsi="Sakkal Majalla" w:cs="Sakkal Majalla"/>
          <w:color w:val="000000" w:themeColor="text1"/>
          <w:kern w:val="0"/>
          <w:sz w:val="28"/>
          <w:szCs w:val="28"/>
          <w14:ligatures w14:val="none"/>
        </w:rPr>
        <w:t xml:space="preserve"> (Glova Végsöová &amp; Grabara, 2024) </w:t>
      </w:r>
      <w:r w:rsidRPr="00E127A1">
        <w:rPr>
          <w:rFonts w:ascii="Sakkal Majalla" w:eastAsia="Times New Roman" w:hAnsi="Sakkal Majalla" w:cs="Sakkal Majalla"/>
          <w:color w:val="000000" w:themeColor="text1"/>
          <w:kern w:val="0"/>
          <w:sz w:val="28"/>
          <w:szCs w:val="28"/>
          <w:rtl/>
          <w14:ligatures w14:val="none"/>
        </w:rPr>
        <w:t xml:space="preserve">إلى أن أدوات النمذجة والمحاكاة الحاسوبية تُسهم في دعم استراتيجية الاحتواء من خلال تقدير مناطق الخطر </w:t>
      </w:r>
      <w:r w:rsidRPr="00E127A1">
        <w:rPr>
          <w:rFonts w:ascii="Sakkal Majalla" w:eastAsia="Times New Roman" w:hAnsi="Sakkal Majalla" w:cs="Sakkal Majalla"/>
          <w:color w:val="000000" w:themeColor="text1"/>
          <w:kern w:val="0"/>
          <w:sz w:val="28"/>
          <w:szCs w:val="28"/>
          <w:rtl/>
          <w14:ligatures w14:val="none"/>
        </w:rPr>
        <w:lastRenderedPageBreak/>
        <w:t>ومسارات انتشار المواد الكيميائية المتسربة بشكل لحظي، مما يُتيح لصنّاع القرار توجيه جهود الاحتواء نحو المناطق الأكثر تعرضاً للخطر وتحديد أولويات الإخلاء والتدخل. كما أن توظيف تقنيات إنترنت الأشياء في هذا السياق، كما تناولها داماشيفيتشيوس وآخرون</w:t>
      </w:r>
      <w:r w:rsidRPr="00E127A1">
        <w:rPr>
          <w:rFonts w:ascii="Sakkal Majalla" w:eastAsia="Times New Roman" w:hAnsi="Sakkal Majalla" w:cs="Sakkal Majalla"/>
          <w:color w:val="000000" w:themeColor="text1"/>
          <w:kern w:val="0"/>
          <w:sz w:val="28"/>
          <w:szCs w:val="28"/>
          <w14:ligatures w14:val="none"/>
        </w:rPr>
        <w:t xml:space="preserve"> (Damaševičius et al., 2023)</w:t>
      </w:r>
      <w:r w:rsidRPr="00E127A1">
        <w:rPr>
          <w:rFonts w:ascii="Sakkal Majalla" w:eastAsia="Times New Roman" w:hAnsi="Sakkal Majalla" w:cs="Sakkal Majalla"/>
          <w:color w:val="000000" w:themeColor="text1"/>
          <w:kern w:val="0"/>
          <w:sz w:val="28"/>
          <w:szCs w:val="28"/>
          <w:rtl/>
          <w14:ligatures w14:val="none"/>
        </w:rPr>
        <w:t>، يُعزّز قدرة المنشأة على رصد تطور الأزمة لحظياً واتخاذ القرارات بناءً على بيانات آنية دقيقة لا على تقديرات تقريبية</w:t>
      </w:r>
      <w:r w:rsidRPr="00E127A1">
        <w:rPr>
          <w:rFonts w:ascii="Sakkal Majalla" w:eastAsia="Times New Roman" w:hAnsi="Sakkal Majalla" w:cs="Sakkal Majalla"/>
          <w:color w:val="000000" w:themeColor="text1"/>
          <w:kern w:val="0"/>
          <w:sz w:val="28"/>
          <w:szCs w:val="28"/>
          <w14:ligatures w14:val="none"/>
        </w:rPr>
        <w:t>.</w:t>
      </w:r>
    </w:p>
    <w:p w14:paraId="139DF6D8"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وتتمثّل الاستراتيجية الرابعة في استراتيجية التعافي وإعادة البناء التي تبدأ بعد السيطرة على الأزمة وتهدف إلى إعادة المنشأة إلى حالتها الطبيعية في أسرع وقت ممكن مع الاستفادة من تجربة الأزمة في تعزيز قدراتها المؤسسية. وتشمل هذه الاستراتيجية إصلاح الأضرار المادية ومعالجة التلوث البيئي الناتج عن التسرب وإعادة تشغيل العمليات الإنتاجية بشكل تدريجي ومراجعة شاملة للإجراءات والأنظمة التي أخفقت أثناء الأزمة. وقد أشار صن وتشانغ</w:t>
      </w:r>
      <w:r w:rsidRPr="00E127A1">
        <w:rPr>
          <w:rFonts w:ascii="Sakkal Majalla" w:eastAsia="Times New Roman" w:hAnsi="Sakkal Majalla" w:cs="Sakkal Majalla"/>
          <w:color w:val="000000" w:themeColor="text1"/>
          <w:kern w:val="0"/>
          <w:sz w:val="28"/>
          <w:szCs w:val="28"/>
          <w14:ligatures w14:val="none"/>
        </w:rPr>
        <w:t xml:space="preserve"> (Sun &amp; Zhang, 2022) </w:t>
      </w:r>
      <w:r w:rsidRPr="00E127A1">
        <w:rPr>
          <w:rFonts w:ascii="Sakkal Majalla" w:eastAsia="Times New Roman" w:hAnsi="Sakkal Majalla" w:cs="Sakkal Majalla"/>
          <w:color w:val="000000" w:themeColor="text1"/>
          <w:kern w:val="0"/>
          <w:sz w:val="28"/>
          <w:szCs w:val="28"/>
          <w:rtl/>
          <w14:ligatures w14:val="none"/>
        </w:rPr>
        <w:t>إلى أن التعافي الاستراتيجي من الأزمات يتطلب تنويعاً في الاستراتيجيات وتبنياً للتحول الرقمي بوصفهما أداتين لتعزيز مرونة المنظمة وقدرتها على استعادة نشاطها بسرعة وكفاءة</w:t>
      </w:r>
      <w:r w:rsidRPr="00E127A1">
        <w:rPr>
          <w:rFonts w:ascii="Sakkal Majalla" w:eastAsia="Times New Roman" w:hAnsi="Sakkal Majalla" w:cs="Sakkal Majalla"/>
          <w:color w:val="000000" w:themeColor="text1"/>
          <w:kern w:val="0"/>
          <w:sz w:val="28"/>
          <w:szCs w:val="28"/>
          <w14:ligatures w14:val="none"/>
        </w:rPr>
        <w:t>.</w:t>
      </w:r>
    </w:p>
    <w:p w14:paraId="2E1385C0"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وتتمثّل الاستراتيجية الخامسة في استراتيجية التعلم المؤسسي التي تُعدّ الاستراتيجية الأكثر ارتباطاً ببُعد التقييم والتحسين المستمر، إذ تقوم على استخلاص الدروس من تجربة الأزمة وتحويلها إلى معرفة مؤسسية تُغني الذاكرة التنظيمية وتُحسّن الممارسات المستقبلية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 xml:space="preserve">وقد أكد العلي والحسناوي (2021) على أن إدارة المعرفة تُسهم في تعزيز جاهزية المنظمات من خلال الحفاظ على الخبرات المتراكمة وتيسير الوصول إليها عند الحاجة، مما يجعل كل أزمة تمرّ بها المنشأة فرصة لتطوير قدراتها وتعزيز مناعتها المؤسسية. ويتكامل هذا التوجه مع ما طرحه حسين وعلوان </w:t>
      </w:r>
      <w:r w:rsidRPr="00E127A1">
        <w:rPr>
          <w:rFonts w:ascii="Sakkal Majalla" w:eastAsia="Times New Roman" w:hAnsi="Sakkal Majalla" w:cs="Sakkal Majalla"/>
          <w:color w:val="000000" w:themeColor="text1"/>
          <w:kern w:val="0"/>
          <w:sz w:val="28"/>
          <w:szCs w:val="28"/>
          <w14:ligatures w14:val="none"/>
        </w:rPr>
        <w:t xml:space="preserve">(2023) </w:t>
      </w:r>
      <w:r w:rsidRPr="00E127A1">
        <w:rPr>
          <w:rFonts w:ascii="Sakkal Majalla" w:eastAsia="Times New Roman" w:hAnsi="Sakkal Majalla" w:cs="Sakkal Majalla"/>
          <w:color w:val="000000" w:themeColor="text1"/>
          <w:kern w:val="0"/>
          <w:sz w:val="28"/>
          <w:szCs w:val="28"/>
          <w:rtl/>
          <w14:ligatures w14:val="none"/>
        </w:rPr>
        <w:t>حول مفهوم التجديد الاستراتيجي الذي يقوم على الاستكشاف والريادة واستثمار الفرص، إذ يمكن النظر إلى الأزمة بوصفها محفّزاً للتجديد المؤسسي إذا أُحسن توظيف دروسها في إعادة تصميم العمليات والإجراءات والهياكل التنظيمية</w:t>
      </w:r>
      <w:r w:rsidRPr="00E127A1">
        <w:rPr>
          <w:rFonts w:ascii="Sakkal Majalla" w:eastAsia="Times New Roman" w:hAnsi="Sakkal Majalla" w:cs="Sakkal Majalla"/>
          <w:color w:val="000000" w:themeColor="text1"/>
          <w:kern w:val="0"/>
          <w:sz w:val="28"/>
          <w:szCs w:val="28"/>
          <w14:ligatures w14:val="none"/>
        </w:rPr>
        <w:t>.</w:t>
      </w:r>
    </w:p>
    <w:p w14:paraId="3DFEE2F4" w14:textId="7777777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ومن الجدير بالإشارة أن هذه الاستراتيجيات الخمس لا تعمل بشكل منفصل بل تتكامل فيما بينها في إطار منظومة واحدة، حيث تُغذّي كل استراتيجية الاستراتيجيات الأخرى في حلقة تعلّم وتطوير مستمرة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 xml:space="preserve">فدروس التعلم المؤسسي تُسهم في تحسين استراتيجيات الوقاية والاستعداد، والخبرات المكتسبة من </w:t>
      </w:r>
      <w:r w:rsidRPr="00E127A1">
        <w:rPr>
          <w:rFonts w:ascii="Sakkal Majalla" w:eastAsia="Times New Roman" w:hAnsi="Sakkal Majalla" w:cs="Sakkal Majalla"/>
          <w:color w:val="000000" w:themeColor="text1"/>
          <w:kern w:val="0"/>
          <w:sz w:val="28"/>
          <w:szCs w:val="28"/>
          <w:rtl/>
          <w14:ligatures w14:val="none"/>
        </w:rPr>
        <w:lastRenderedPageBreak/>
        <w:t>عمليات الاحتواء تُثري خطط الاستجابة المستقبلية، ومراجعات ما بعد التعافي تكشف عن فجوات ينبغي معالجتها في جميع المراحل</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وهذا التكامل الحلقي هو ما يُميّز المنشآت الصناعية التي تمتلك منظومة ناضجة لإدارة الأزمات البيئية عن تلك التي تتعامل مع كل أزمة بوصفها حدثاً معزولاً لا يرتبط بما سبقه ولا يُؤسّس لما بعده</w:t>
      </w:r>
      <w:r w:rsidRPr="00E127A1">
        <w:rPr>
          <w:rFonts w:ascii="Sakkal Majalla" w:eastAsia="Times New Roman" w:hAnsi="Sakkal Majalla" w:cs="Sakkal Majalla"/>
          <w:color w:val="000000" w:themeColor="text1"/>
          <w:kern w:val="0"/>
          <w:sz w:val="28"/>
          <w:szCs w:val="28"/>
          <w14:ligatures w14:val="none"/>
        </w:rPr>
        <w:t>.</w:t>
      </w:r>
    </w:p>
    <w:p w14:paraId="1307B17B" w14:textId="010889F2" w:rsidR="006254B4" w:rsidRPr="00E127A1" w:rsidRDefault="00B85931" w:rsidP="00B85931">
      <w:pPr>
        <w:jc w:val="center"/>
        <w:outlineLvl w:val="1"/>
        <w:rPr>
          <w:rFonts w:ascii="Sakkal Majalla" w:eastAsia="Times New Roman" w:hAnsi="Sakkal Majalla" w:cs="Sakkal Majalla"/>
          <w:b/>
          <w:bCs/>
          <w:color w:val="000000" w:themeColor="text1"/>
          <w:kern w:val="0"/>
          <w:sz w:val="36"/>
          <w:szCs w:val="36"/>
          <w14:ligatures w14:val="none"/>
        </w:rPr>
      </w:pPr>
      <w:r w:rsidRPr="00E127A1">
        <w:rPr>
          <w:rFonts w:ascii="Sakkal Majalla" w:eastAsia="Times New Roman" w:hAnsi="Sakkal Majalla" w:cs="Sakkal Majalla"/>
          <w:b/>
          <w:bCs/>
          <w:color w:val="000000" w:themeColor="text1"/>
          <w:kern w:val="0"/>
          <w:sz w:val="36"/>
          <w:szCs w:val="36"/>
          <w:rtl/>
          <w14:ligatures w14:val="none"/>
        </w:rPr>
        <w:br w:type="page"/>
      </w:r>
      <w:bookmarkStart w:id="24" w:name="_Toc228121484"/>
      <w:r w:rsidR="006254B4" w:rsidRPr="00E127A1">
        <w:rPr>
          <w:rFonts w:ascii="Sakkal Majalla" w:eastAsia="Times New Roman" w:hAnsi="Sakkal Majalla" w:cs="Sakkal Majalla"/>
          <w:b/>
          <w:bCs/>
          <w:color w:val="000000" w:themeColor="text1"/>
          <w:kern w:val="0"/>
          <w:sz w:val="36"/>
          <w:szCs w:val="36"/>
          <w:rtl/>
          <w14:ligatures w14:val="none"/>
        </w:rPr>
        <w:lastRenderedPageBreak/>
        <w:t>المبحث الثاني: جاهزية المنشآت الصناعية لمواجهة التسربات الكيميائية</w:t>
      </w:r>
      <w:bookmarkEnd w:id="24"/>
    </w:p>
    <w:p w14:paraId="293082A4" w14:textId="765132E6" w:rsidR="006254B4" w:rsidRPr="00E127A1" w:rsidRDefault="00B85931" w:rsidP="00B85931">
      <w:pPr>
        <w:spacing w:before="100" w:beforeAutospacing="1" w:after="100" w:afterAutospacing="1" w:line="360" w:lineRule="auto"/>
        <w:outlineLvl w:val="2"/>
        <w:rPr>
          <w:rFonts w:ascii="Sakkal Majalla" w:eastAsia="Times New Roman" w:hAnsi="Sakkal Majalla" w:cs="Sakkal Majalla"/>
          <w:b/>
          <w:bCs/>
          <w:color w:val="000000" w:themeColor="text1"/>
          <w:kern w:val="0"/>
          <w:sz w:val="32"/>
          <w:szCs w:val="32"/>
          <w14:ligatures w14:val="none"/>
        </w:rPr>
      </w:pPr>
      <w:bookmarkStart w:id="25" w:name="_Toc228121485"/>
      <w:r w:rsidRPr="00E127A1">
        <w:rPr>
          <w:rFonts w:ascii="Sakkal Majalla" w:eastAsia="Times New Roman" w:hAnsi="Sakkal Majalla" w:cs="Sakkal Majalla" w:hint="cs"/>
          <w:b/>
          <w:bCs/>
          <w:color w:val="000000" w:themeColor="text1"/>
          <w:kern w:val="0"/>
          <w:sz w:val="32"/>
          <w:szCs w:val="32"/>
          <w:rtl/>
          <w14:ligatures w14:val="none"/>
        </w:rPr>
        <w:t xml:space="preserve">1.2.2 </w:t>
      </w:r>
      <w:r w:rsidR="006254B4" w:rsidRPr="00E127A1">
        <w:rPr>
          <w:rFonts w:ascii="Sakkal Majalla" w:eastAsia="Times New Roman" w:hAnsi="Sakkal Majalla" w:cs="Sakkal Majalla"/>
          <w:b/>
          <w:bCs/>
          <w:color w:val="000000" w:themeColor="text1"/>
          <w:kern w:val="0"/>
          <w:sz w:val="32"/>
          <w:szCs w:val="32"/>
          <w:rtl/>
          <w14:ligatures w14:val="none"/>
        </w:rPr>
        <w:t>تمهيد</w:t>
      </w:r>
      <w:bookmarkEnd w:id="25"/>
    </w:p>
    <w:p w14:paraId="4510A7F1" w14:textId="18910857" w:rsidR="006254B4" w:rsidRPr="00E127A1" w:rsidRDefault="006254B4"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127A1">
        <w:rPr>
          <w:rFonts w:ascii="Sakkal Majalla" w:eastAsia="Times New Roman" w:hAnsi="Sakkal Majalla" w:cs="Sakkal Majalla"/>
          <w:color w:val="000000" w:themeColor="text1"/>
          <w:kern w:val="0"/>
          <w:sz w:val="28"/>
          <w:szCs w:val="28"/>
          <w:rtl/>
          <w14:ligatures w14:val="none"/>
        </w:rPr>
        <w:t>يُمثّل مفهوم الجاهزية أحد المفاهيم المحورية في أدبيات الإدارة الاستراتيجية وإدارة الأزمات على حد سواء، إذ يعكس مدى قدرة المنظمة على التنبؤ بالتحديات المحتملة والاستعداد لها والتعامل معها بمرونة وكفاءة حين وقوعها. وتكتسب الجاهزية في السياق الصناعي بُعداً خاصاً يرتبط بطبيعة المخاطر العالية التي تنطوي عليها العمليات الصناعية، لا سيما تلك المتعلقة بالتسربات الكيميائية التي قد تُهدد حياة الإنسان وسلامة البيئة واستمرارية المنشأة في آن واحد. ويسعى هذا المبحث إلى تأصيل مفهوم جاهزية المنشآت الصناعية نظرياً من خلال استعراض تعريفاته وأهميته وأهدافه وأبعاده ومقوماته واستراتيجيات تعزيزه، مع التركيز على السياق الخاص بمواجهة التسربات الكيميائية في المنشآت الصنا</w:t>
      </w:r>
      <w:r w:rsidRPr="00E127A1">
        <w:rPr>
          <w:rFonts w:ascii="Sakkal Majalla" w:hAnsi="Sakkal Majalla" w:cs="Sakkal Majalla"/>
          <w:color w:val="000000" w:themeColor="text1"/>
          <w:sz w:val="28"/>
          <w:szCs w:val="28"/>
          <w:rtl/>
        </w:rPr>
        <w:t xml:space="preserve"> </w:t>
      </w:r>
      <w:r w:rsidRPr="00E127A1">
        <w:rPr>
          <w:rFonts w:ascii="Sakkal Majalla" w:eastAsia="Times New Roman" w:hAnsi="Sakkal Majalla" w:cs="Sakkal Majalla"/>
          <w:color w:val="000000" w:themeColor="text1"/>
          <w:kern w:val="0"/>
          <w:sz w:val="28"/>
          <w:szCs w:val="28"/>
          <w:rtl/>
          <w14:ligatures w14:val="none"/>
        </w:rPr>
        <w:t>عية بالمنطقة الشرقية بالمملكة العربية السعودية</w:t>
      </w:r>
      <w:r w:rsidRPr="00E127A1">
        <w:rPr>
          <w:rFonts w:ascii="Sakkal Majalla" w:eastAsia="Times New Roman" w:hAnsi="Sakkal Majalla" w:cs="Sakkal Majalla"/>
          <w:color w:val="000000" w:themeColor="text1"/>
          <w:kern w:val="0"/>
          <w:sz w:val="28"/>
          <w:szCs w:val="28"/>
          <w14:ligatures w14:val="none"/>
        </w:rPr>
        <w:t>.</w:t>
      </w:r>
    </w:p>
    <w:p w14:paraId="56BE667C" w14:textId="5DC53E33" w:rsidR="00493B7A" w:rsidRPr="00E127A1" w:rsidRDefault="00B85931" w:rsidP="00B85931">
      <w:pPr>
        <w:spacing w:before="100" w:beforeAutospacing="1" w:after="100" w:afterAutospacing="1" w:line="360" w:lineRule="auto"/>
        <w:outlineLvl w:val="2"/>
        <w:rPr>
          <w:rFonts w:ascii="Sakkal Majalla" w:eastAsia="Times New Roman" w:hAnsi="Sakkal Majalla" w:cs="Sakkal Majalla"/>
          <w:b/>
          <w:bCs/>
          <w:color w:val="000000" w:themeColor="text1"/>
          <w:kern w:val="0"/>
          <w:sz w:val="32"/>
          <w:szCs w:val="32"/>
          <w14:ligatures w14:val="none"/>
        </w:rPr>
      </w:pPr>
      <w:bookmarkStart w:id="26" w:name="_Toc228121486"/>
      <w:r w:rsidRPr="00E127A1">
        <w:rPr>
          <w:rFonts w:ascii="Sakkal Majalla" w:eastAsia="Times New Roman" w:hAnsi="Sakkal Majalla" w:cs="Sakkal Majalla" w:hint="cs"/>
          <w:b/>
          <w:bCs/>
          <w:color w:val="000000" w:themeColor="text1"/>
          <w:kern w:val="0"/>
          <w:sz w:val="32"/>
          <w:szCs w:val="32"/>
          <w:rtl/>
          <w14:ligatures w14:val="none"/>
        </w:rPr>
        <w:t xml:space="preserve">2.2.2 </w:t>
      </w:r>
      <w:r w:rsidR="00493B7A" w:rsidRPr="00E127A1">
        <w:rPr>
          <w:rFonts w:ascii="Sakkal Majalla" w:eastAsia="Times New Roman" w:hAnsi="Sakkal Majalla" w:cs="Sakkal Majalla"/>
          <w:b/>
          <w:bCs/>
          <w:color w:val="000000" w:themeColor="text1"/>
          <w:kern w:val="0"/>
          <w:sz w:val="32"/>
          <w:szCs w:val="32"/>
          <w:rtl/>
          <w14:ligatures w14:val="none"/>
        </w:rPr>
        <w:t xml:space="preserve"> مفهوم جاهزية المنشآت الصناعية</w:t>
      </w:r>
      <w:bookmarkEnd w:id="26"/>
    </w:p>
    <w:p w14:paraId="616E777D"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حظي مفهوم الجاهزية باهتمام متزايد في الأدبيات الإدارية خلال العقدين الأخيرين، لا سيما بعد تزايد الأزمات العالمية التي كشفت عن هشاشة كثير من المنظمات في مواجهة الأحداث غير المتوقعة. وقد تعددت تعريفات الجاهزية وتنوّعت وفقاً للحقل المعرفي الذي يتناولها والسياق التنظيمي الذي تُدرَس فيه، غير أن ثمة قاسماً مشتركاً بين هذه التعريفات يتمثّل في التأكيد على أن الجاهزية تتجاوز مجرد الاستعداد المادي لتشمل أبعاداً بشرية وتنظيمية وثقافية وتقنية متكاملة</w:t>
      </w:r>
      <w:r w:rsidRPr="00E127A1">
        <w:rPr>
          <w:rFonts w:ascii="Sakkal Majalla" w:eastAsia="Times New Roman" w:hAnsi="Sakkal Majalla" w:cs="Sakkal Majalla"/>
          <w:color w:val="000000" w:themeColor="text1"/>
          <w:kern w:val="0"/>
          <w:sz w:val="28"/>
          <w:szCs w:val="28"/>
          <w14:ligatures w14:val="none"/>
        </w:rPr>
        <w:t>.</w:t>
      </w:r>
    </w:p>
    <w:p w14:paraId="65EAEB72"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وقد تناول البصو (2025) مفهوم الجاهزية الاستراتيجية بوصفها قدرة المنظمة الشاملة على التنبؤ بالتحديات والفرص في بيئتها الداخلية والخارجية والاستعداد لها بما يُمكّنها من تحقيق أهدافها الاستراتيجية والحفاظ على استمراريتها ونجاحها. ويتميّز هذا التعريف بنظرته الشمولية التي لا تقصر الجاهزية على البُعد الدفاعي المتمثل في مواجهة التهديدات، بل تمتد لتشمل البُعد الهجومي المتمثل في اقتناص الفرص، مما يجعل الجاهزية مفهوماً استراتيجياً بامتياز لا مجرد مفهوم تشغيلي. وقد حدّد البصو </w:t>
      </w:r>
      <w:r w:rsidRPr="00E127A1">
        <w:rPr>
          <w:rFonts w:ascii="Sakkal Majalla" w:eastAsia="Times New Roman" w:hAnsi="Sakkal Majalla" w:cs="Sakkal Majalla"/>
          <w:color w:val="000000" w:themeColor="text1"/>
          <w:kern w:val="0"/>
          <w:sz w:val="28"/>
          <w:szCs w:val="28"/>
          <w:rtl/>
          <w14:ligatures w14:val="none"/>
        </w:rPr>
        <w:lastRenderedPageBreak/>
        <w:t>خمسة أبعاد للجاهزية الاستراتيجية هي جاهزية القيادة، والمواءمة الاستراتيجية، والجاهزية التكنولوجية، والثقافة التنظيمية، والعمل الجماعي، وهو تصنيف يعكس تعدد المكونات التي ينبغي أن تتوفر مجتمعة لتحقيق الجاهزية الفعلية</w:t>
      </w:r>
      <w:r w:rsidRPr="00E127A1">
        <w:rPr>
          <w:rFonts w:ascii="Sakkal Majalla" w:eastAsia="Times New Roman" w:hAnsi="Sakkal Majalla" w:cs="Sakkal Majalla"/>
          <w:color w:val="000000" w:themeColor="text1"/>
          <w:kern w:val="0"/>
          <w:sz w:val="28"/>
          <w:szCs w:val="28"/>
          <w14:ligatures w14:val="none"/>
        </w:rPr>
        <w:t>.</w:t>
      </w:r>
    </w:p>
    <w:p w14:paraId="005769FB"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ومن منظور مختلف، تناول حسين وعلوان</w:t>
      </w:r>
      <w:r w:rsidRPr="00E127A1">
        <w:rPr>
          <w:rFonts w:ascii="Sakkal Majalla" w:eastAsia="Times New Roman" w:hAnsi="Sakkal Majalla" w:cs="Sakkal Majalla"/>
          <w:color w:val="000000" w:themeColor="text1"/>
          <w:kern w:val="0"/>
          <w:sz w:val="28"/>
          <w:szCs w:val="28"/>
          <w14:ligatures w14:val="none"/>
        </w:rPr>
        <w:t xml:space="preserve"> (2023) </w:t>
      </w:r>
      <w:r w:rsidRPr="00E127A1">
        <w:rPr>
          <w:rFonts w:ascii="Sakkal Majalla" w:eastAsia="Times New Roman" w:hAnsi="Sakkal Majalla" w:cs="Sakkal Majalla"/>
          <w:color w:val="000000" w:themeColor="text1"/>
          <w:kern w:val="0"/>
          <w:sz w:val="28"/>
          <w:szCs w:val="28"/>
          <w:rtl/>
          <w14:ligatures w14:val="none"/>
        </w:rPr>
        <w:t>مفهوم الجاهزية التنظيمية في القطاع الصحي، وعرّفاها بأنها مدى استعداد المنظمة للتغيير والتجديد الاستراتيجي من خلال توفر أربعة مقومات أساسية هي دعم الإدارة العليا، والثقافة التنظيمية الداعمة، والمرونة المؤسسية، ووضوح الرؤية. ويُضيف هذا التعريف بُعداً ديناميكياً لمفهوم الجاهزية يربطها بقدرة المنظمة على التجدد والتكيف لا مجرد الحفاظ على الوضع القائم، وهو ما يتّسق مع طبيعة الأزمات البيئية الصناعية التي تتطلب من المنشأة قدرة مستمرة على التكيف مع المتغيرات والمخاطر المتجددة. أما الدليمي والجنابي (2022) فقد تناولا الجاهزية الاستراتيجية من زاوية تقنية، إذ عرّفاها في سياق الإدارة الإلكترونية بأنها قدرة المنظمة على تبنّي التحولات التقنية والتنظيمية والاستفادة منها في تعزيز كفاءتها وفاعليتها، وحدّدا لها ثلاثة أبعاد هي جاهزية التغيير التنظيمي، وجاهزية القيادة والإدارة، وجاهزية رأس المال البشري. ويكشف هذا التعريف عن ارتباط الجاهزية بالقدرة على التحول والتطور لا بالثبات والجمود</w:t>
      </w:r>
      <w:r w:rsidRPr="00E127A1">
        <w:rPr>
          <w:rFonts w:ascii="Sakkal Majalla" w:eastAsia="Times New Roman" w:hAnsi="Sakkal Majalla" w:cs="Sakkal Majalla"/>
          <w:color w:val="000000" w:themeColor="text1"/>
          <w:kern w:val="0"/>
          <w:sz w:val="28"/>
          <w:szCs w:val="28"/>
          <w14:ligatures w14:val="none"/>
        </w:rPr>
        <w:t>.</w:t>
      </w:r>
    </w:p>
    <w:p w14:paraId="34897570"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وعلى الصعيد الدولي، تناول راجليتش وآخرون </w:t>
      </w:r>
      <w:r w:rsidRPr="00E127A1">
        <w:rPr>
          <w:rFonts w:ascii="Sakkal Majalla" w:eastAsia="Times New Roman" w:hAnsi="Sakkal Majalla" w:cs="Sakkal Majalla"/>
          <w:color w:val="000000" w:themeColor="text1"/>
          <w:kern w:val="0"/>
          <w:sz w:val="28"/>
          <w:szCs w:val="28"/>
          <w14:ligatures w14:val="none"/>
        </w:rPr>
        <w:t xml:space="preserve">(Rajlić et al., 2025) </w:t>
      </w:r>
      <w:r w:rsidRPr="00E127A1">
        <w:rPr>
          <w:rFonts w:ascii="Sakkal Majalla" w:eastAsia="Times New Roman" w:hAnsi="Sakkal Majalla" w:cs="Sakkal Majalla"/>
          <w:color w:val="000000" w:themeColor="text1"/>
          <w:kern w:val="0"/>
          <w:sz w:val="28"/>
          <w:szCs w:val="28"/>
          <w:rtl/>
          <w14:ligatures w14:val="none"/>
        </w:rPr>
        <w:t>مفهوم جاهزية المنشآت الصناعية الكبرى لحالات الطوارئ في إطار الأطر الدولية لإدارة مخاطر الكوارث، وعرّفوها بأنها المستوى الفعلي لاستعداد المنشأة للتعامل مع حالات الطوارئ المحتملة من حيث توفر وثائق التخطيط المحدّثة والكوادر المدرّبة والمعدات الجاهزة والقدرة على تنفيذ خطط الطوارئ بشكل عملي لا نظري فحسب. ويُركّز هذا التعريف على الفجوة بين الجاهزية النظرية والجاهزية الفعلية، مُنبّهاً إلى أن امتلاك خطط مكتوبة ومعدات متوفرة لا يعني بالضرورة أن المنشأة جاهزة فعلاً ما لم تكن قادرة على تحويل هذه الموارد إلى استجابة عملية فعّالة عند الحاجة</w:t>
      </w:r>
      <w:r w:rsidRPr="00E127A1">
        <w:rPr>
          <w:rFonts w:ascii="Sakkal Majalla" w:eastAsia="Times New Roman" w:hAnsi="Sakkal Majalla" w:cs="Sakkal Majalla"/>
          <w:color w:val="000000" w:themeColor="text1"/>
          <w:kern w:val="0"/>
          <w:sz w:val="28"/>
          <w:szCs w:val="28"/>
          <w14:ligatures w14:val="none"/>
        </w:rPr>
        <w:t>.</w:t>
      </w:r>
    </w:p>
    <w:p w14:paraId="186B0675"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وبناءً على ما تقدّم، يرى الباحث أن جاهزية المنشآت الصناعية لمواجهة التسربات الكيميائية يمكن تعريفها إجرائياً بأنها الحالة المؤسسية الشاملة التي تعكس مدى قدرة المنشأة الصناعية على التنبؤ </w:t>
      </w:r>
      <w:r w:rsidRPr="00E127A1">
        <w:rPr>
          <w:rFonts w:ascii="Sakkal Majalla" w:eastAsia="Times New Roman" w:hAnsi="Sakkal Majalla" w:cs="Sakkal Majalla"/>
          <w:color w:val="000000" w:themeColor="text1"/>
          <w:kern w:val="0"/>
          <w:sz w:val="28"/>
          <w:szCs w:val="28"/>
          <w:rtl/>
          <w14:ligatures w14:val="none"/>
        </w:rPr>
        <w:lastRenderedPageBreak/>
        <w:t>بمخاطر التسربات الكيميائية والاستعداد لها والاستجابة الفعّالة لها والتعافي السريع من آثارها، وذلك من خلال توفّر منظومة متكاملة من المقومات البشرية والتقنية والتنظيمية والقيادية التي تعمل بشكل متناسق ومترابط</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ويتميّز هذا التعريف بتأكيده على الطابع الشمولي للجاهزية وعدم اختزالها في بُعد واحد، فضلاً عن ربطها بالسياق الخاص بالتسربات الكيميائية الذي يفرض متطلبات تقنية وعلمية وتنظيمية محددة</w:t>
      </w:r>
      <w:r w:rsidRPr="00E127A1">
        <w:rPr>
          <w:rFonts w:ascii="Sakkal Majalla" w:eastAsia="Times New Roman" w:hAnsi="Sakkal Majalla" w:cs="Sakkal Majalla"/>
          <w:color w:val="000000" w:themeColor="text1"/>
          <w:kern w:val="0"/>
          <w:sz w:val="28"/>
          <w:szCs w:val="28"/>
          <w14:ligatures w14:val="none"/>
        </w:rPr>
        <w:t>.</w:t>
      </w:r>
    </w:p>
    <w:p w14:paraId="1F568677" w14:textId="1D68F885" w:rsidR="00493B7A" w:rsidRPr="00E127A1" w:rsidRDefault="00B85931" w:rsidP="00B8593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7" w:name="_Toc228121487"/>
      <w:r w:rsidRPr="00E127A1">
        <w:rPr>
          <w:rFonts w:ascii="Sakkal Majalla" w:eastAsia="Times New Roman" w:hAnsi="Sakkal Majalla" w:cs="Sakkal Majalla" w:hint="cs"/>
          <w:b/>
          <w:bCs/>
          <w:color w:val="000000" w:themeColor="text1"/>
          <w:kern w:val="0"/>
          <w:sz w:val="32"/>
          <w:szCs w:val="32"/>
          <w:rtl/>
          <w14:ligatures w14:val="none"/>
        </w:rPr>
        <w:t xml:space="preserve">3.2.2 </w:t>
      </w:r>
      <w:r w:rsidR="00493B7A" w:rsidRPr="00E127A1">
        <w:rPr>
          <w:rFonts w:ascii="Sakkal Majalla" w:eastAsia="Times New Roman" w:hAnsi="Sakkal Majalla" w:cs="Sakkal Majalla"/>
          <w:b/>
          <w:bCs/>
          <w:color w:val="000000" w:themeColor="text1"/>
          <w:kern w:val="0"/>
          <w:sz w:val="32"/>
          <w:szCs w:val="32"/>
          <w:rtl/>
          <w14:ligatures w14:val="none"/>
        </w:rPr>
        <w:t>أهمية جاهزية المنشآت الصناعية</w:t>
      </w:r>
      <w:bookmarkEnd w:id="27"/>
    </w:p>
    <w:p w14:paraId="55714192"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تنبع أهمية جاهزية المنشآت الصناعية من حقيقة أن المنشأة غير الجاهزة لمواجهة الأزمات البيئية تُصبح عرضة لخسائر مضاعفة مقارنة بتلك التي تمتلك مستوى مقبولاً من الجاهزية، إذ إن غياب الاستعداد لا يعني فقط عدم القدرة على التعامل مع الأزمة حين وقوعها بل يعني أيضاً فقدان القدرة على التنبؤ بها واستباقها في مراحلها المبكرة. وقد تزايد الوعي بأهمية الجاهزية المؤسسية بعد سلسلة من الأزمات الكبرى التي كشفت عن أن كثيراً من المنظمات التي كانت تُعدّ رائدة في قطاعاتها انهارت أو تعرّضت لخسائر فادحة لأنها لم تكن تمتلك المستوى الكافي من الاستعداد</w:t>
      </w:r>
      <w:r w:rsidRPr="00E127A1">
        <w:rPr>
          <w:rFonts w:ascii="Sakkal Majalla" w:eastAsia="Times New Roman" w:hAnsi="Sakkal Majalla" w:cs="Sakkal Majalla"/>
          <w:color w:val="000000" w:themeColor="text1"/>
          <w:kern w:val="0"/>
          <w:sz w:val="28"/>
          <w:szCs w:val="28"/>
          <w14:ligatures w14:val="none"/>
        </w:rPr>
        <w:t>.</w:t>
      </w:r>
    </w:p>
    <w:p w14:paraId="74ED5CAC"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ويُشير البصو (2025) إلى أن أهمية الجاهزية الاستراتيجية تتجلى في عدة محاور: أولها أنها تُمكّن المنظمة من استشراف التحديات المستقبلية والتهيؤ لها بشكل استباقي بدلاً من الانتظار حتى تقع الأزمة ثم محاولة التعامل معها بشكل ارتجالي. ثانيها أنها تُعزّز قدرة المنظمة على الحفاظ على توازنها الاستراتيجي في أوقات الاضطراب وعدم الانجراف نحو قرارات عشوائية تحت ضغط الأزمة. ثالثها أنها تُسهم في بناء ثقة أصحاب المصلحة من عاملين ومستثمرين ومجتمع محلي وجهات رقابية في قدرة المنشأة على إدارة المخاطر بشكل مسؤول. رابعها أنها تُمثّل ميزة تنافسية تُميّز المنشآت الجاهزة عن نظيراتها في السوق، لا سيما في القطاعات التي تتسم بمخاطر عالية كالقطاع البتروكيميائي والتحويلي</w:t>
      </w:r>
      <w:r w:rsidRPr="00E127A1">
        <w:rPr>
          <w:rFonts w:ascii="Sakkal Majalla" w:eastAsia="Times New Roman" w:hAnsi="Sakkal Majalla" w:cs="Sakkal Majalla"/>
          <w:color w:val="000000" w:themeColor="text1"/>
          <w:kern w:val="0"/>
          <w:sz w:val="28"/>
          <w:szCs w:val="28"/>
          <w14:ligatures w14:val="none"/>
        </w:rPr>
        <w:t>.</w:t>
      </w:r>
    </w:p>
    <w:p w14:paraId="51091C22"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ويرى حسين وعلوان (2023) أن أهمية الجاهزية التنظيمية تكمن في كونها الشرط المسبق لأي عملية تجديد أو تطوير استراتيجي ناجح، إذ لا يمكن للمنظمة أن تتجدد وتتطور إذا لم تكن تمتلك أساساً مؤسسياً صلباً يتيح لها استيعاب التغييرات والتكيف معها دون فقدان تماسكها الداخلي. وهذا المنظور يُعمّق فهم أهمية الجاهزية بربطها بقدرة المنظمة على النمو والتجدد لا مجرد البقاء والاستمرار، وهو ما </w:t>
      </w:r>
      <w:r w:rsidRPr="00E127A1">
        <w:rPr>
          <w:rFonts w:ascii="Sakkal Majalla" w:eastAsia="Times New Roman" w:hAnsi="Sakkal Majalla" w:cs="Sakkal Majalla"/>
          <w:color w:val="000000" w:themeColor="text1"/>
          <w:kern w:val="0"/>
          <w:sz w:val="28"/>
          <w:szCs w:val="28"/>
          <w:rtl/>
          <w14:ligatures w14:val="none"/>
        </w:rPr>
        <w:lastRenderedPageBreak/>
        <w:t>ينطبق على المنشآت الصناعية التي تحتاج إلى تطوير مستمر لأنظمتها وعملياتها في ضوء التطورات التقنية والتنظيمية والتشريعية المتسارعة</w:t>
      </w:r>
      <w:r w:rsidRPr="00E127A1">
        <w:rPr>
          <w:rFonts w:ascii="Sakkal Majalla" w:eastAsia="Times New Roman" w:hAnsi="Sakkal Majalla" w:cs="Sakkal Majalla"/>
          <w:color w:val="000000" w:themeColor="text1"/>
          <w:kern w:val="0"/>
          <w:sz w:val="28"/>
          <w:szCs w:val="28"/>
          <w14:ligatures w14:val="none"/>
        </w:rPr>
        <w:t>.</w:t>
      </w:r>
    </w:p>
    <w:p w14:paraId="658922AF"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كما يُضيف راجليتش وآخرون</w:t>
      </w:r>
      <w:r w:rsidRPr="00E127A1">
        <w:rPr>
          <w:rFonts w:ascii="Sakkal Majalla" w:eastAsia="Times New Roman" w:hAnsi="Sakkal Majalla" w:cs="Sakkal Majalla"/>
          <w:color w:val="000000" w:themeColor="text1"/>
          <w:kern w:val="0"/>
          <w:sz w:val="28"/>
          <w:szCs w:val="28"/>
          <w14:ligatures w14:val="none"/>
        </w:rPr>
        <w:t xml:space="preserve"> (Rajlić et al., 2025) </w:t>
      </w:r>
      <w:r w:rsidRPr="00E127A1">
        <w:rPr>
          <w:rFonts w:ascii="Sakkal Majalla" w:eastAsia="Times New Roman" w:hAnsi="Sakkal Majalla" w:cs="Sakkal Majalla"/>
          <w:color w:val="000000" w:themeColor="text1"/>
          <w:kern w:val="0"/>
          <w:sz w:val="28"/>
          <w:szCs w:val="28"/>
          <w:rtl/>
          <w14:ligatures w14:val="none"/>
        </w:rPr>
        <w:t>بُعداً إنسانياً وبيئياً لأهمية الجاهزية حين يُشيرون إلى أن المنشآت الصناعية الكبرى التي تفتقر إلى الجاهزية الكافية تُشكّل تهديداً مباشراً لحياة العاملين فيها ولسلامة المجتمعات المحيطة بها والنظم البيئية المجاورة لها، وأن الخسائر الاقتصادية الناجمة عن غياب الجاهزية تتجاوز بكثير تكاليف الاستثمار في بناء منظومات الاستعداد والوقاية. ويُعزّز هذا المنظور الحجة الاقتصادية للاستثمار في الجاهزية بالحجة الأخلاقية والإنسانية، مما يجعل من الجاهزية التزاماً مؤسسياً ومجتمعياً لا مجرد خيار إداري</w:t>
      </w:r>
      <w:r w:rsidRPr="00E127A1">
        <w:rPr>
          <w:rFonts w:ascii="Sakkal Majalla" w:eastAsia="Times New Roman" w:hAnsi="Sakkal Majalla" w:cs="Sakkal Majalla"/>
          <w:color w:val="000000" w:themeColor="text1"/>
          <w:kern w:val="0"/>
          <w:sz w:val="28"/>
          <w:szCs w:val="28"/>
          <w14:ligatures w14:val="none"/>
        </w:rPr>
        <w:t>.</w:t>
      </w:r>
    </w:p>
    <w:p w14:paraId="590487B6"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ومن الزاوية التقنية، يُشير داماشيفيتشيوس وآخرون</w:t>
      </w:r>
      <w:r w:rsidRPr="00E127A1">
        <w:rPr>
          <w:rFonts w:ascii="Sakkal Majalla" w:eastAsia="Times New Roman" w:hAnsi="Sakkal Majalla" w:cs="Sakkal Majalla"/>
          <w:color w:val="000000" w:themeColor="text1"/>
          <w:kern w:val="0"/>
          <w:sz w:val="28"/>
          <w:szCs w:val="28"/>
          <w14:ligatures w14:val="none"/>
        </w:rPr>
        <w:t xml:space="preserve"> (Damaševičius et al., 2023) </w:t>
      </w:r>
      <w:r w:rsidRPr="00E127A1">
        <w:rPr>
          <w:rFonts w:ascii="Sakkal Majalla" w:eastAsia="Times New Roman" w:hAnsi="Sakkal Majalla" w:cs="Sakkal Majalla"/>
          <w:color w:val="000000" w:themeColor="text1"/>
          <w:kern w:val="0"/>
          <w:sz w:val="28"/>
          <w:szCs w:val="28"/>
          <w:rtl/>
          <w14:ligatures w14:val="none"/>
        </w:rPr>
        <w:t>إلى أن أهمية الجاهزية التقنية للمنشآت الصناعية تتزايد مع تطور تقنيات إنترنت الأشياء والمستشعرات الذكية التي أصبحت تُوفّر إمكانيات غير مسبوقة في مجال الرصد والإنذار المبكر، غير أن الاستفادة من هذه التقنيات تتطلب مستوى عالياً من الجاهزية التقنية والبشرية والتنظيمية يشمل البنية التحتية الرقمية والكوادر المؤهلة والعمليات المصممة لتوظيف هذه التقنيات بفاعلية. وهذا يعني أن الجاهزية التقنية ليست مجرد اقتناء معدات وأجهزة حديثة بل هي منظومة متكاملة من القدرات التي تُمكّن المنشأة من توظيف التكنولوجيا في خدمة أهداف السلامة والحماية البيئية</w:t>
      </w:r>
      <w:r w:rsidRPr="00E127A1">
        <w:rPr>
          <w:rFonts w:ascii="Sakkal Majalla" w:eastAsia="Times New Roman" w:hAnsi="Sakkal Majalla" w:cs="Sakkal Majalla"/>
          <w:color w:val="000000" w:themeColor="text1"/>
          <w:kern w:val="0"/>
          <w:sz w:val="28"/>
          <w:szCs w:val="28"/>
          <w14:ligatures w14:val="none"/>
        </w:rPr>
        <w:t>.</w:t>
      </w:r>
    </w:p>
    <w:p w14:paraId="65B6E6B9" w14:textId="21BAE5E3" w:rsidR="00493B7A" w:rsidRPr="00E127A1" w:rsidRDefault="00B85931" w:rsidP="00B8593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8" w:name="_Toc228121488"/>
      <w:r w:rsidRPr="00E127A1">
        <w:rPr>
          <w:rFonts w:ascii="Sakkal Majalla" w:eastAsia="Times New Roman" w:hAnsi="Sakkal Majalla" w:cs="Sakkal Majalla" w:hint="cs"/>
          <w:b/>
          <w:bCs/>
          <w:color w:val="000000" w:themeColor="text1"/>
          <w:kern w:val="0"/>
          <w:sz w:val="32"/>
          <w:szCs w:val="32"/>
          <w:rtl/>
          <w14:ligatures w14:val="none"/>
        </w:rPr>
        <w:t xml:space="preserve">4.2.2 </w:t>
      </w:r>
      <w:r w:rsidR="00493B7A" w:rsidRPr="00E127A1">
        <w:rPr>
          <w:rFonts w:ascii="Sakkal Majalla" w:eastAsia="Times New Roman" w:hAnsi="Sakkal Majalla" w:cs="Sakkal Majalla"/>
          <w:b/>
          <w:bCs/>
          <w:color w:val="000000" w:themeColor="text1"/>
          <w:kern w:val="0"/>
          <w:sz w:val="32"/>
          <w:szCs w:val="32"/>
          <w:rtl/>
          <w14:ligatures w14:val="none"/>
        </w:rPr>
        <w:t>أهداف تعزيز جاهزية المنشآت الصناعية</w:t>
      </w:r>
      <w:bookmarkEnd w:id="28"/>
    </w:p>
    <w:p w14:paraId="34BE25D8"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تسعى عملية تعزيز جاهزية المنشآت الصناعية لمواجهة التسربات الكيميائية إلى تحقيق مجموعة من الأهداف المتكاملة التي تتراوح بين حماية الأرواح والبيئة وتحقيق الاستدامة المؤسسية. وقد تباينت رؤى الباحثين في تحديد هذه الأهداف وفقاً للمدخل النظري والسياق التنظيمي المدروس</w:t>
      </w:r>
      <w:r w:rsidRPr="00E127A1">
        <w:rPr>
          <w:rFonts w:ascii="Sakkal Majalla" w:eastAsia="Times New Roman" w:hAnsi="Sakkal Majalla" w:cs="Sakkal Majalla"/>
          <w:color w:val="000000" w:themeColor="text1"/>
          <w:kern w:val="0"/>
          <w:sz w:val="28"/>
          <w:szCs w:val="28"/>
          <w14:ligatures w14:val="none"/>
        </w:rPr>
        <w:t>.</w:t>
      </w:r>
    </w:p>
    <w:p w14:paraId="7DBE92C0"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ويُحدّد راجليتش وآخرون</w:t>
      </w:r>
      <w:r w:rsidRPr="00E127A1">
        <w:rPr>
          <w:rFonts w:ascii="Sakkal Majalla" w:eastAsia="Times New Roman" w:hAnsi="Sakkal Majalla" w:cs="Sakkal Majalla"/>
          <w:color w:val="000000" w:themeColor="text1"/>
          <w:kern w:val="0"/>
          <w:sz w:val="28"/>
          <w:szCs w:val="28"/>
          <w14:ligatures w14:val="none"/>
        </w:rPr>
        <w:t xml:space="preserve"> (Rajlić et al., 2025) </w:t>
      </w:r>
      <w:r w:rsidRPr="00E127A1">
        <w:rPr>
          <w:rFonts w:ascii="Sakkal Majalla" w:eastAsia="Times New Roman" w:hAnsi="Sakkal Majalla" w:cs="Sakkal Majalla"/>
          <w:color w:val="000000" w:themeColor="text1"/>
          <w:kern w:val="0"/>
          <w:sz w:val="28"/>
          <w:szCs w:val="28"/>
          <w:rtl/>
          <w14:ligatures w14:val="none"/>
        </w:rPr>
        <w:t xml:space="preserve">أهداف الجاهزية الصناعية انطلاقاً من الأطر الدولية لإدارة مخاطر الكوارث فيما يأتي: أولاً، تقليل الخسائر البشرية إلى أدنى حد ممكن من خلال بناء </w:t>
      </w:r>
      <w:r w:rsidRPr="00E127A1">
        <w:rPr>
          <w:rFonts w:ascii="Sakkal Majalla" w:eastAsia="Times New Roman" w:hAnsi="Sakkal Majalla" w:cs="Sakkal Majalla"/>
          <w:color w:val="000000" w:themeColor="text1"/>
          <w:kern w:val="0"/>
          <w:sz w:val="28"/>
          <w:szCs w:val="28"/>
          <w:rtl/>
          <w14:ligatures w14:val="none"/>
        </w:rPr>
        <w:lastRenderedPageBreak/>
        <w:t>قدرات استجابة فورية تُمكّن من حماية العاملين والسكان المجاورين في الدقائق الأولى الحرجة من الأزمة. ثانياً، الحدّ من الأضرار البيئية عبر امتلاك الأدوات والتقنيات اللازمة لاحتواء التسربات الكيميائية ومنع انتشارها في التربة والمياه والهواء. ثالثاً، تقليل الخسائر الاقتصادية الناتجة عن توقف الإنتاج وتكاليف الإصلاح والتعويضات والغرامات التنظيمية</w:t>
      </w:r>
      <w:r w:rsidRPr="00E127A1">
        <w:rPr>
          <w:rFonts w:ascii="Sakkal Majalla" w:eastAsia="Times New Roman" w:hAnsi="Sakkal Majalla" w:cs="Sakkal Majalla"/>
          <w:color w:val="000000" w:themeColor="text1"/>
          <w:kern w:val="0"/>
          <w:sz w:val="28"/>
          <w:szCs w:val="28"/>
          <w14:ligatures w14:val="none"/>
        </w:rPr>
        <w:t>.</w:t>
      </w:r>
    </w:p>
    <w:p w14:paraId="1310D44D"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ويرى البصو (2025) أن أهداف الجاهزية الاستراتيجية تمتد لتشمل أبعاداً أوسع تتجاوز إدارة الأزمات بمعناها الضيق</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أولاً، تحقيق المواءمة الاستراتيجية بين قدرات المنشأة ومتطلبات بيئتها الخارجية بما يضمن قدرتها على مواجهة التحديات والاستفادة من الفرص في آن واحد. ثانياً، بناء ثقافة تنظيمية تتسم بالمرونة والتكيف وتتبنى الاستعداد المستمر بوصفه قيمة مؤسسية لا مجرد إجراء إداري. ثالثاً، تعزيز النجاح المنظمي الشامل من خلال ضمان استمرارية العمليات وحماية الأصول المادية والبشرية والمعنوية للمنشأة</w:t>
      </w:r>
      <w:r w:rsidRPr="00E127A1">
        <w:rPr>
          <w:rFonts w:ascii="Sakkal Majalla" w:eastAsia="Times New Roman" w:hAnsi="Sakkal Majalla" w:cs="Sakkal Majalla"/>
          <w:color w:val="000000" w:themeColor="text1"/>
          <w:kern w:val="0"/>
          <w:sz w:val="28"/>
          <w:szCs w:val="28"/>
          <w14:ligatures w14:val="none"/>
        </w:rPr>
        <w:t>.</w:t>
      </w:r>
    </w:p>
    <w:p w14:paraId="07AD4DE4"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كما يُضيف خميس وحمد (2024) أهدافاً ترتبط بتحسين الأداء المؤسسي الشامل: أولاً، تعزيز الغرض الاستراتيجي والرؤية المؤسسية من خلال دمج الجاهزية في التوجه الاستراتيجي العام للمنشأة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ثانياً، رفع مستوى رضا أصحاب المصلحة من عاملين وعملاء ومجتمع محلي وجهات رقابية. ثالثاً، تحقيق التعلم المستمر الذي يُغذّي عمليات التطوير والتحسين الدائمة. ويتّسق هذا التوجه مع ما أشار إليه حسين وعلوان (2023) من أن الجاهزية التنظيمية تهدف في نهاية المطاف إلى تمكين المنظمة من التجديد الاستراتيجي المستمر الذي يضمن بقاءها وتطورها في بيئة متغيرة ومعقدة</w:t>
      </w:r>
      <w:r w:rsidRPr="00E127A1">
        <w:rPr>
          <w:rFonts w:ascii="Sakkal Majalla" w:eastAsia="Times New Roman" w:hAnsi="Sakkal Majalla" w:cs="Sakkal Majalla"/>
          <w:color w:val="000000" w:themeColor="text1"/>
          <w:kern w:val="0"/>
          <w:sz w:val="28"/>
          <w:szCs w:val="28"/>
          <w14:ligatures w14:val="none"/>
        </w:rPr>
        <w:t>.</w:t>
      </w:r>
    </w:p>
    <w:p w14:paraId="5BA48104" w14:textId="5BC0AB91" w:rsidR="00493B7A" w:rsidRPr="00E127A1" w:rsidRDefault="00B85931" w:rsidP="00B8593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9" w:name="_Toc228121489"/>
      <w:r w:rsidRPr="00E127A1">
        <w:rPr>
          <w:rFonts w:ascii="Sakkal Majalla" w:eastAsia="Times New Roman" w:hAnsi="Sakkal Majalla" w:cs="Sakkal Majalla" w:hint="cs"/>
          <w:b/>
          <w:bCs/>
          <w:color w:val="000000" w:themeColor="text1"/>
          <w:kern w:val="0"/>
          <w:sz w:val="32"/>
          <w:szCs w:val="32"/>
          <w:rtl/>
          <w14:ligatures w14:val="none"/>
        </w:rPr>
        <w:t xml:space="preserve">5.2.2 </w:t>
      </w:r>
      <w:r w:rsidR="00493B7A" w:rsidRPr="00E127A1">
        <w:rPr>
          <w:rFonts w:ascii="Sakkal Majalla" w:eastAsia="Times New Roman" w:hAnsi="Sakkal Majalla" w:cs="Sakkal Majalla"/>
          <w:b/>
          <w:bCs/>
          <w:color w:val="000000" w:themeColor="text1"/>
          <w:kern w:val="0"/>
          <w:sz w:val="32"/>
          <w:szCs w:val="32"/>
          <w:rtl/>
          <w14:ligatures w14:val="none"/>
        </w:rPr>
        <w:t>أبعاد ومقومات جاهزية المنشآت الصناعية</w:t>
      </w:r>
      <w:bookmarkEnd w:id="29"/>
    </w:p>
    <w:p w14:paraId="50F65C81"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تتعدد الأبعاد والمقومات التي تُشكّل في مجملها منظومة الجاهزية المؤسسية للمنشآت الصناعية، وقد تباينت تصنيفات الباحثين لهذه الأبعاد وفقاً للمدخل النظري المعتمد وطبيعة القطاع المدروس</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غير أن الاستقراء المتأني للأدبيات يكشف عن مقومات أساسية تتكرر في معظم التصنيفات وإن اختلفت مسمياتها وطريقة تجميعها</w:t>
      </w:r>
      <w:r w:rsidRPr="00E127A1">
        <w:rPr>
          <w:rFonts w:ascii="Sakkal Majalla" w:eastAsia="Times New Roman" w:hAnsi="Sakkal Majalla" w:cs="Sakkal Majalla"/>
          <w:color w:val="000000" w:themeColor="text1"/>
          <w:kern w:val="0"/>
          <w:sz w:val="28"/>
          <w:szCs w:val="28"/>
          <w14:ligatures w14:val="none"/>
        </w:rPr>
        <w:t>.</w:t>
      </w:r>
    </w:p>
    <w:p w14:paraId="1647A9D7" w14:textId="77777777" w:rsidR="00493B7A" w:rsidRPr="00E127A1" w:rsidRDefault="00493B7A" w:rsidP="00062076">
      <w:pPr>
        <w:pStyle w:val="a8"/>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lastRenderedPageBreak/>
        <w:t>الجاهزية القيادية والإدارية</w:t>
      </w:r>
    </w:p>
    <w:p w14:paraId="564B62F0"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تُمثّل القيادة الركيزة الأولى في بناء الجاهزية المؤسسية، إذ إن التزام القيادة العليا بتعزيز الاستعداد وتخصيص الموارد اللازمة وبناء ثقافة السلامة يُشكّل المحرك الأساسي لجميع جهود الجاهزية الأخرى. وقد أكد حسين وعلوان (2023) على أن دعم الإدارة العليا يُعدّ من المقومات الأساسية للجاهزية التنظيمية، إذ بدون هذا الدعم تبقى مبادرات الاستعداد محدودة الأثر ومقتصرة على الجهود الفردية غير المنسقة</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ويتّسق هذا الطرح مع ما أشار إليه البصو (2025) حول جاهزية القيادة بوصفها بُعداً محورياً يتضمن قدرة القيادة على بناء رؤية استراتيجية واضحة وترجمتها إلى ممارسات عملية تُعزّز استعداد المنشأة. كما أشار الشريف والحكمي والتيس (2024) إلى أن القيادة الاستراتيجية الفاعلة تُسهم في تعزيز التعلم من الأزمات السابقة والوقاية من الأزمات المستقبلية، وهو ما يربط بين البُعد القيادي ومنظومة الجاهزية الشاملة</w:t>
      </w:r>
      <w:r w:rsidRPr="00E127A1">
        <w:rPr>
          <w:rFonts w:ascii="Sakkal Majalla" w:eastAsia="Times New Roman" w:hAnsi="Sakkal Majalla" w:cs="Sakkal Majalla"/>
          <w:color w:val="000000" w:themeColor="text1"/>
          <w:kern w:val="0"/>
          <w:sz w:val="28"/>
          <w:szCs w:val="28"/>
          <w14:ligatures w14:val="none"/>
        </w:rPr>
        <w:t>.</w:t>
      </w:r>
    </w:p>
    <w:p w14:paraId="251F761E"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ولا يقتصر البُعد القيادي على القيادة العليا فحسب بل يمتد ليشمل القيادات الوسطى والإشرافية التي تتولى المسؤولية المباشرة عن تنفيذ خطط الطوارئ وإدارة فرق العمل الميدانية أثناء الأزمات</w:t>
      </w:r>
      <w:r w:rsidRPr="00E127A1">
        <w:rPr>
          <w:rFonts w:ascii="Sakkal Majalla" w:eastAsia="Times New Roman" w:hAnsi="Sakkal Majalla" w:cs="Sakkal Majalla"/>
          <w:color w:val="000000" w:themeColor="text1"/>
          <w:kern w:val="0"/>
          <w:sz w:val="28"/>
          <w:szCs w:val="28"/>
          <w14:ligatures w14:val="none"/>
        </w:rPr>
        <w:t xml:space="preserve">. </w:t>
      </w:r>
      <w:r w:rsidRPr="00E127A1">
        <w:rPr>
          <w:rFonts w:ascii="Sakkal Majalla" w:eastAsia="Times New Roman" w:hAnsi="Sakkal Majalla" w:cs="Sakkal Majalla"/>
          <w:color w:val="000000" w:themeColor="text1"/>
          <w:kern w:val="0"/>
          <w:sz w:val="28"/>
          <w:szCs w:val="28"/>
          <w:rtl/>
          <w14:ligatures w14:val="none"/>
        </w:rPr>
        <w:t>وقد تناول السعيدي (2023) دور القيادة النشطة في إدارة الأزمات من حيث أبعاد تحقيق الأهداف التنظيمية واتخاذ القرارات الموضوعية وتحفيز العاملين وتمكينهم وبناء فرق العمل وحل النزاعات، وهي أبعاد تنطبق بشكل مباشر على الجاهزية القيادية المطلوبة في المنشآت الصناعية التي تتعامل مع مخاطر كيميائية عالية وتتطلب قيادات حاضرة وقادرة على اتخاذ قرارات سريعة وحاسمة في ظروف بالغة التعقيد</w:t>
      </w:r>
      <w:r w:rsidRPr="00E127A1">
        <w:rPr>
          <w:rFonts w:ascii="Sakkal Majalla" w:eastAsia="Times New Roman" w:hAnsi="Sakkal Majalla" w:cs="Sakkal Majalla"/>
          <w:color w:val="000000" w:themeColor="text1"/>
          <w:kern w:val="0"/>
          <w:sz w:val="28"/>
          <w:szCs w:val="28"/>
          <w14:ligatures w14:val="none"/>
        </w:rPr>
        <w:t>.</w:t>
      </w:r>
    </w:p>
    <w:p w14:paraId="43032A13" w14:textId="77777777" w:rsidR="00493B7A" w:rsidRPr="00E127A1" w:rsidRDefault="00493B7A" w:rsidP="00062076">
      <w:pPr>
        <w:pStyle w:val="a8"/>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الجاهزية البشرية والكفاءات</w:t>
      </w:r>
    </w:p>
    <w:p w14:paraId="6B71F830"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تُمثّل الموارد البشرية المؤهلة والمدرّبة العنصر الأكثر أهمية في منظومة الجاهزية المؤسسية، إذ إن المعدات الأحدث والخطط الأدق لا تُحقق الجاهزية المطلوبة ما لم تتوفر كوادر بشرية قادرة على توظيفها بفاعلية في ظروف الأزمة. وقد تناولت البشيري وآخرون (2023) دور إدارة الموارد البشرية في إدارة الأزمات، مؤكدين على أن الجاهزية البشرية تتطلب منظومة متكاملة تبدأ من الاستقطاب والاختيار مروراً بالتدريب والتطوير المستمر وصولاً إلى التحفيز والاحتفاظ بالكفاءات. ويتّسق هذا الطرح مع ما أشارت إليه مروة </w:t>
      </w:r>
      <w:r w:rsidRPr="00E127A1">
        <w:rPr>
          <w:rFonts w:ascii="Sakkal Majalla" w:eastAsia="Times New Roman" w:hAnsi="Sakkal Majalla" w:cs="Sakkal Majalla"/>
          <w:color w:val="000000" w:themeColor="text1"/>
          <w:kern w:val="0"/>
          <w:sz w:val="28"/>
          <w:szCs w:val="28"/>
          <w:rtl/>
          <w14:ligatures w14:val="none"/>
        </w:rPr>
        <w:lastRenderedPageBreak/>
        <w:t>محمد علي (2024) حول أهمية حُسن اختيار الموظفين الأكفاء وتحفيزهم بوصفهما مقومين أساسيين للكفاءة الإدارية في سياق إدارة الأزمات</w:t>
      </w:r>
      <w:r w:rsidRPr="00E127A1">
        <w:rPr>
          <w:rFonts w:ascii="Sakkal Majalla" w:eastAsia="Times New Roman" w:hAnsi="Sakkal Majalla" w:cs="Sakkal Majalla"/>
          <w:color w:val="000000" w:themeColor="text1"/>
          <w:kern w:val="0"/>
          <w:sz w:val="28"/>
          <w:szCs w:val="28"/>
          <w14:ligatures w14:val="none"/>
        </w:rPr>
        <w:t>.</w:t>
      </w:r>
    </w:p>
    <w:p w14:paraId="0E4B28C0"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ويتجاوز مفهوم الجاهزية البشرية في السياق الصناعي الكيميائي مجرد التوفر العددي للعاملين ليشمل مستوى التخصص والمعرفة التقنية بطبيعة المواد الكيميائية المتداولة في المنشأة وخصائصها ومخاطرها وطرق التعامل معها في حالات الطوارئ. ويتطلب ذلك برامج تدريب متخصصة ومستمرة تشمل التدريب النظري على أساسيات السلامة الكيميائية والتدريب العملي على استخدام معدات الحماية والاستجابة وتدريبات المحاكاة التي تُحاكي سيناريوهات حقيقية للتسربات الكيميائية. وقد أشار بوخويدم ومعامر (2021) إلى أن مستوى تكوين الموارد البشرية يُمثّل عاملاً حاسماً في تعزيز جاهزية المؤسسات للإيفاء بمتطلبات بيئتها المتغيرة، مؤكدين على ضرورة توفير تدريب شامل ومستمر يُغطي جميع مراحل المسار المهني لا يقتصر على فترة التعيين الأولى فحسب</w:t>
      </w:r>
      <w:r w:rsidRPr="00E127A1">
        <w:rPr>
          <w:rFonts w:ascii="Sakkal Majalla" w:eastAsia="Times New Roman" w:hAnsi="Sakkal Majalla" w:cs="Sakkal Majalla"/>
          <w:color w:val="000000" w:themeColor="text1"/>
          <w:kern w:val="0"/>
          <w:sz w:val="28"/>
          <w:szCs w:val="28"/>
          <w14:ligatures w14:val="none"/>
        </w:rPr>
        <w:t>.</w:t>
      </w:r>
    </w:p>
    <w:p w14:paraId="74670305" w14:textId="77777777" w:rsidR="00493B7A" w:rsidRPr="00E127A1" w:rsidRDefault="00493B7A" w:rsidP="00062076">
      <w:pPr>
        <w:pStyle w:val="a8"/>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الجاهزية التكنولوجية والتقنية</w:t>
      </w:r>
    </w:p>
    <w:p w14:paraId="2EEBDCA4"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يُمثّل البُعد التكنولوجي أحد المكونات الأساسية لجاهزية المنشآت الصناعية في العصر الحالي، إذ أصبحت التقنيات الحديثة تُوفّر إمكانيات غير مسبوقة في مجالات الرصد والإنذار المبكر والاستجابة والاحتواء والتقييم. وقد تناول الدليمي والجنابي (2022) دور البنية التحتية التقنية من أجهزة وبرمجيات في تعزيز الجاهزية الاستراتيجية، مؤكدين على أن الإدارة الإلكترونية بمكوناتها المختلفة تُسهم في رفع مستوى استعداد المنظمة للتعامل مع التحديات والمتغيرات. وفي سياق الأزمات البيئية الصناعية تحديداً، تشمل الجاهزية التكنولوجية عدة مكونات أبرزها أنظمة المستشعرات والكاشفات الكيميائية المنتشرة في أرجاء المنشأة والتي تُتيح رصد أي تسرب في مراحله الأولى، وأنظمة الإنذار المبكر الآلية التي تُفعّل إجراءات الاستجابة فور اكتشاف الخطر، وشبكات الاتصال الموثوقة التي تضمن تدفق المعلومات بين جميع الأطراف المعنية في الوقت المناسب</w:t>
      </w:r>
      <w:r w:rsidRPr="00E127A1">
        <w:rPr>
          <w:rFonts w:ascii="Sakkal Majalla" w:eastAsia="Times New Roman" w:hAnsi="Sakkal Majalla" w:cs="Sakkal Majalla"/>
          <w:color w:val="000000" w:themeColor="text1"/>
          <w:kern w:val="0"/>
          <w:sz w:val="28"/>
          <w:szCs w:val="28"/>
          <w14:ligatures w14:val="none"/>
        </w:rPr>
        <w:t>.</w:t>
      </w:r>
    </w:p>
    <w:p w14:paraId="297C42F1"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وقد تناول غلوفا فيغشووفا وغرابارا</w:t>
      </w:r>
      <w:r w:rsidRPr="00E127A1">
        <w:rPr>
          <w:rFonts w:ascii="Sakkal Majalla" w:eastAsia="Times New Roman" w:hAnsi="Sakkal Majalla" w:cs="Sakkal Majalla"/>
          <w:color w:val="000000" w:themeColor="text1"/>
          <w:kern w:val="0"/>
          <w:sz w:val="28"/>
          <w:szCs w:val="28"/>
          <w14:ligatures w14:val="none"/>
        </w:rPr>
        <w:t xml:space="preserve"> (Glova Végsöová &amp; Grabara, 2024) </w:t>
      </w:r>
      <w:r w:rsidRPr="00E127A1">
        <w:rPr>
          <w:rFonts w:ascii="Sakkal Majalla" w:eastAsia="Times New Roman" w:hAnsi="Sakkal Majalla" w:cs="Sakkal Majalla"/>
          <w:color w:val="000000" w:themeColor="text1"/>
          <w:kern w:val="0"/>
          <w:sz w:val="28"/>
          <w:szCs w:val="28"/>
          <w:rtl/>
          <w14:ligatures w14:val="none"/>
        </w:rPr>
        <w:t xml:space="preserve">أدوات النمذجة والمحاكاة الحاسوبية بوصفها مكوناً مهماً من مكونات الجاهزية التقنية للمنشآت الصناعية، إذ تُتيح هذه </w:t>
      </w:r>
      <w:r w:rsidRPr="00E127A1">
        <w:rPr>
          <w:rFonts w:ascii="Sakkal Majalla" w:eastAsia="Times New Roman" w:hAnsi="Sakkal Majalla" w:cs="Sakkal Majalla"/>
          <w:color w:val="000000" w:themeColor="text1"/>
          <w:kern w:val="0"/>
          <w:sz w:val="28"/>
          <w:szCs w:val="28"/>
          <w:rtl/>
          <w14:ligatures w14:val="none"/>
        </w:rPr>
        <w:lastRenderedPageBreak/>
        <w:t>الأدوات إجراء محاكاة لسيناريوهات التسرب الكيميائي وتقدير مناطق الخطر ومسارات انتشار المواد المتسربة، مما يُمكّن صانعي القرار من اختبار خطط الطوارئ في بيئة افتراضية والتعرف على نقاط الضعف قبل وقوع الأزمة الحقيقية. كما أشار داماشيفيتشيوس وآخرون</w:t>
      </w:r>
      <w:r w:rsidRPr="00E127A1">
        <w:rPr>
          <w:rFonts w:ascii="Sakkal Majalla" w:eastAsia="Times New Roman" w:hAnsi="Sakkal Majalla" w:cs="Sakkal Majalla"/>
          <w:color w:val="000000" w:themeColor="text1"/>
          <w:kern w:val="0"/>
          <w:sz w:val="28"/>
          <w:szCs w:val="28"/>
          <w14:ligatures w14:val="none"/>
        </w:rPr>
        <w:t xml:space="preserve"> (Damaševičius et al., 2023) </w:t>
      </w:r>
      <w:r w:rsidRPr="00E127A1">
        <w:rPr>
          <w:rFonts w:ascii="Sakkal Majalla" w:eastAsia="Times New Roman" w:hAnsi="Sakkal Majalla" w:cs="Sakkal Majalla"/>
          <w:color w:val="000000" w:themeColor="text1"/>
          <w:kern w:val="0"/>
          <w:sz w:val="28"/>
          <w:szCs w:val="28"/>
          <w:rtl/>
          <w14:ligatures w14:val="none"/>
        </w:rPr>
        <w:t>إلى الفوائد الكبيرة التي تُحققها تقنيات إنترنت الأشياء في مجال الاستجابة للطوارئ، مع التنبيه في الوقت ذاته إلى تحديات تتعلق بالخصوصية وأمن البيانات ينبغي مراعاتها عند تصميم منظومات الرصد الذكية في المنشآت الصناعية</w:t>
      </w:r>
      <w:r w:rsidRPr="00E127A1">
        <w:rPr>
          <w:rFonts w:ascii="Sakkal Majalla" w:eastAsia="Times New Roman" w:hAnsi="Sakkal Majalla" w:cs="Sakkal Majalla"/>
          <w:color w:val="000000" w:themeColor="text1"/>
          <w:kern w:val="0"/>
          <w:sz w:val="28"/>
          <w:szCs w:val="28"/>
          <w14:ligatures w14:val="none"/>
        </w:rPr>
        <w:t>.</w:t>
      </w:r>
    </w:p>
    <w:p w14:paraId="1F20D658" w14:textId="77777777" w:rsidR="00493B7A" w:rsidRPr="00E127A1" w:rsidRDefault="00493B7A" w:rsidP="00062076">
      <w:pPr>
        <w:pStyle w:val="a8"/>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b/>
          <w:bCs/>
          <w:color w:val="000000" w:themeColor="text1"/>
          <w:kern w:val="0"/>
          <w:sz w:val="28"/>
          <w:szCs w:val="28"/>
          <w:rtl/>
          <w14:ligatures w14:val="none"/>
        </w:rPr>
        <w:t>الجاهزية التنظيمية والثقافية</w:t>
      </w:r>
    </w:p>
    <w:p w14:paraId="49CBA9B0"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يشمل البُعد التنظيمي والثقافي للجاهزية مجموعة من المكونات غير الملموسة التي تُشكّل البيئة الحاضنة لجهود الاستعداد والاستجابة. ويتضمن هذا البُعد الهيكل التنظيمي الواضح الذي يُحدّد الأدوار والمسؤوليات في أوقات الأزمات، والسياسات والإجراءات المكتوبة والمعتمدة التي تُرشد سلوك العاملين في مختلف مراحل الأزمة، والثقافة التنظيمية التي تُقدّر السلامة وتُشجّع على الإبلاغ عن المخاطر والمشاركة في جهود الاستعداد. وقد أكد حسين وعلوان (2023) على أن الثقافة التنظيمية الداعمة والمرونة المؤسسية تُمثّلان من أهم مقومات الجاهزية التنظيمية، إذ بدونهما تتحول الإجراءات والسياسات إلى نصوص جامدة لا تنعكس على السلوك الفعلي للعاملين. ويتّسق هذا الطرح مع ما أشار إليه البصو </w:t>
      </w:r>
      <w:r w:rsidRPr="00E127A1">
        <w:rPr>
          <w:rFonts w:ascii="Sakkal Majalla" w:eastAsia="Times New Roman" w:hAnsi="Sakkal Majalla" w:cs="Sakkal Majalla"/>
          <w:color w:val="000000" w:themeColor="text1"/>
          <w:kern w:val="0"/>
          <w:sz w:val="28"/>
          <w:szCs w:val="28"/>
          <w14:ligatures w14:val="none"/>
        </w:rPr>
        <w:t xml:space="preserve">(2025) </w:t>
      </w:r>
      <w:r w:rsidRPr="00E127A1">
        <w:rPr>
          <w:rFonts w:ascii="Sakkal Majalla" w:eastAsia="Times New Roman" w:hAnsi="Sakkal Majalla" w:cs="Sakkal Majalla"/>
          <w:color w:val="000000" w:themeColor="text1"/>
          <w:kern w:val="0"/>
          <w:sz w:val="28"/>
          <w:szCs w:val="28"/>
          <w:rtl/>
          <w14:ligatures w14:val="none"/>
        </w:rPr>
        <w:t>حول دور الثقافة التنظيمية والعمل الجماعي في بناء الجاهزية الاستراتيجية، إذ تحتاج المنشأة إلى ثقافة تُشجّع على التعاون والمبادرة وتكسر الحواجز بين الإدارات والأقسام لتُمكّن من استجابة منسّقة وفعّالة عند وقوع الأزمة</w:t>
      </w:r>
      <w:r w:rsidRPr="00E127A1">
        <w:rPr>
          <w:rFonts w:ascii="Sakkal Majalla" w:eastAsia="Times New Roman" w:hAnsi="Sakkal Majalla" w:cs="Sakkal Majalla"/>
          <w:color w:val="000000" w:themeColor="text1"/>
          <w:kern w:val="0"/>
          <w:sz w:val="28"/>
          <w:szCs w:val="28"/>
          <w14:ligatures w14:val="none"/>
        </w:rPr>
        <w:t>.</w:t>
      </w:r>
    </w:p>
    <w:p w14:paraId="253995DD"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وتتداخل الجاهزية التنظيمية مع ما أشار إليه أناد والنجار (2023) حول دور المسح البيئي في تعزيز جاهزية التغيير الاستراتيجي، إذ تناولا أبعاد الملاءمة والدعم الإداري وفاعلية التغيير وتكافؤ الفرص بوصفها مكونات للجاهزية التنظيمية، وأكدا على أن المنظمات التي تُمارس الرصد البيئي المستمر وتُحلّل بيئتها الداخلية والخارجية بشكل منهجي تكون أكثر استعداداً للتعامل مع التحديات والمتغيرات. ويُثري هذا </w:t>
      </w:r>
      <w:r w:rsidRPr="00E127A1">
        <w:rPr>
          <w:rFonts w:ascii="Sakkal Majalla" w:eastAsia="Times New Roman" w:hAnsi="Sakkal Majalla" w:cs="Sakkal Majalla"/>
          <w:color w:val="000000" w:themeColor="text1"/>
          <w:kern w:val="0"/>
          <w:sz w:val="28"/>
          <w:szCs w:val="28"/>
          <w:rtl/>
          <w14:ligatures w14:val="none"/>
        </w:rPr>
        <w:lastRenderedPageBreak/>
        <w:t>الطرح فهم الجاهزية التنظيمية بربطها بمفهوم الاستشراف والتحليل البيئي الذي يُمكّن المنشأة من توقع المخاطر واتخاذ الإجراءات الاستباقية اللازمة</w:t>
      </w:r>
      <w:r w:rsidRPr="00E127A1">
        <w:rPr>
          <w:rFonts w:ascii="Sakkal Majalla" w:eastAsia="Times New Roman" w:hAnsi="Sakkal Majalla" w:cs="Sakkal Majalla"/>
          <w:color w:val="000000" w:themeColor="text1"/>
          <w:kern w:val="0"/>
          <w:sz w:val="28"/>
          <w:szCs w:val="28"/>
          <w14:ligatures w14:val="none"/>
        </w:rPr>
        <w:t>.</w:t>
      </w:r>
    </w:p>
    <w:p w14:paraId="3108E922" w14:textId="799B56FD" w:rsidR="00493B7A" w:rsidRPr="00E127A1" w:rsidRDefault="00B85931" w:rsidP="00B8593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28121490"/>
      <w:r w:rsidRPr="00E127A1">
        <w:rPr>
          <w:rFonts w:ascii="Sakkal Majalla" w:eastAsia="Times New Roman" w:hAnsi="Sakkal Majalla" w:cs="Sakkal Majalla" w:hint="cs"/>
          <w:b/>
          <w:bCs/>
          <w:color w:val="000000" w:themeColor="text1"/>
          <w:kern w:val="0"/>
          <w:sz w:val="32"/>
          <w:szCs w:val="32"/>
          <w:rtl/>
          <w14:ligatures w14:val="none"/>
        </w:rPr>
        <w:t xml:space="preserve">6.2.2 </w:t>
      </w:r>
      <w:r w:rsidR="00493B7A" w:rsidRPr="00E127A1">
        <w:rPr>
          <w:rFonts w:ascii="Sakkal Majalla" w:eastAsia="Times New Roman" w:hAnsi="Sakkal Majalla" w:cs="Sakkal Majalla"/>
          <w:b/>
          <w:bCs/>
          <w:color w:val="000000" w:themeColor="text1"/>
          <w:kern w:val="0"/>
          <w:sz w:val="32"/>
          <w:szCs w:val="32"/>
          <w:rtl/>
          <w14:ligatures w14:val="none"/>
        </w:rPr>
        <w:t>استراتيجيات تعزيز جاهزية المنشآت الصناعية</w:t>
      </w:r>
      <w:bookmarkEnd w:id="30"/>
    </w:p>
    <w:p w14:paraId="3DE4855C"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تتطلب عملية تعزيز جاهزية المنشآت الصناعية لمواجهة التسربات الكيميائية تبنّي مجموعة من الاستراتيجيات المتكاملة التي تستهدف مختلف أبعاد الجاهزية ومقوماتها. وتتنوع هذه الاستراتيجيات بين ما هو موجّه نحو الموارد البشرية وما يستهدف البنية التحتية التقنية وما يتعلق بالأنظمة والعمليات التنظيمية</w:t>
      </w:r>
      <w:r w:rsidRPr="00E127A1">
        <w:rPr>
          <w:rFonts w:ascii="Sakkal Majalla" w:eastAsia="Times New Roman" w:hAnsi="Sakkal Majalla" w:cs="Sakkal Majalla"/>
          <w:color w:val="000000" w:themeColor="text1"/>
          <w:kern w:val="0"/>
          <w:sz w:val="28"/>
          <w:szCs w:val="28"/>
          <w14:ligatures w14:val="none"/>
        </w:rPr>
        <w:t>.</w:t>
      </w:r>
    </w:p>
    <w:p w14:paraId="02DCE342"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تتمثّل الاستراتيجية الأولى في استراتيجية بناء القدرات البشرية المتخصصة التي تقوم على الاستثمار المستمر في تطوير الكفاءات والمهارات اللازمة للتعامل مع الأزمات الكيميائية. ويتجاوز مفهوم بناء القدرات في هذا السياق التدريب بمعناه التقليدي ليشمل بناء ثقافة التعلم المستمر وتبادل المعرفة والخبرات بين العاملين. وقد أشار بوخويدم ومعامر (2021) إلى ضرورة توفير تدريب شامل يُغطي جميع مراحل المسار المهني ولا يقتصر على فترة التعيين الأولى، مما يعني أن بناء القدرات عملية مستمرة ومتجددة تتطلب موارد وجهوداً متواصلة. كما أكدت البشيري وآخرون (2023) على أهمية إدارة الموارد البشرية الاستراتيجية في بناء الجاهزية المؤسسية من خلال منظومة متكاملة تشمل الاستقطاب والاختيار والتدريب والتطوير والتحفيز والاحتفاظ بالكوادر المتميزة</w:t>
      </w:r>
      <w:r w:rsidRPr="00E127A1">
        <w:rPr>
          <w:rFonts w:ascii="Sakkal Majalla" w:eastAsia="Times New Roman" w:hAnsi="Sakkal Majalla" w:cs="Sakkal Majalla"/>
          <w:color w:val="000000" w:themeColor="text1"/>
          <w:kern w:val="0"/>
          <w:sz w:val="28"/>
          <w:szCs w:val="28"/>
          <w14:ligatures w14:val="none"/>
        </w:rPr>
        <w:t>.</w:t>
      </w:r>
    </w:p>
    <w:p w14:paraId="6F06FD5E"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وتتمثّل الاستراتيجية الثانية في استراتيجية التحول التقني والرقمي التي تهدف إلى توظيف التقنيات الحديثة في تعزيز مختلف أبعاد الجاهزية. ويشمل ذلك نشر أنظمة المستشعرات والكاشفات الذكية في أرجاء المنشأة، وبناء منصات رقمية لإدارة الطوارئ تُتيح تبادل المعلومات واتخاذ القرارات في الوقت الحقيقي، واعتماد أدوات المحاكاة الحاسوبية في تصميم سيناريوهات التدريب والتخطيط. وقد أشار الدليمي والجنابي (2022) إلى أن الإدارة الإلكترونية بمكوناتها من أجهزة وبرمجيات وموارد بشرية مؤهلة تُعزّز الجاهزية الاستراتيجية للمنظمات، غير أن نجاح هذه الاستراتيجية يتوقف على مدى تكامل البنية التقنية مع القدرات البشرية والأنظمة التنظيمية</w:t>
      </w:r>
      <w:r w:rsidRPr="00E127A1">
        <w:rPr>
          <w:rFonts w:ascii="Sakkal Majalla" w:eastAsia="Times New Roman" w:hAnsi="Sakkal Majalla" w:cs="Sakkal Majalla"/>
          <w:color w:val="000000" w:themeColor="text1"/>
          <w:kern w:val="0"/>
          <w:sz w:val="28"/>
          <w:szCs w:val="28"/>
          <w14:ligatures w14:val="none"/>
        </w:rPr>
        <w:t>.</w:t>
      </w:r>
    </w:p>
    <w:p w14:paraId="7A32E74C"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lastRenderedPageBreak/>
        <w:t>وتتمثّل الاستراتيجية الثالثة في استراتيجية التخطيط والمحاكاة المستمرة التي تقوم على إعداد خطط طوارئ تفصيلية لمختلف سيناريوهات التسربات الكيميائية المحتملة وإجراء تدريبات محاكاة دورية لاختبار هذه الخطط وتحسينها. وتكمن أهمية هذه الاستراتيجية في أنها تُسهم في تحويل الجاهزية من حالة نظرية إلى قدرة عملية مُختبَرة، إذ إن الفارق بين المنشأة التي تمتلك خطة طوارئ مكتوبة والمنشأة التي تختبر هذه الخطة بشكل دوري يُمكن أن يكون حاسماً في لحظة الأزمة الحقيقية. وقد أكد راجليتش وآخرون</w:t>
      </w:r>
      <w:r w:rsidRPr="00E127A1">
        <w:rPr>
          <w:rFonts w:ascii="Sakkal Majalla" w:eastAsia="Times New Roman" w:hAnsi="Sakkal Majalla" w:cs="Sakkal Majalla"/>
          <w:color w:val="000000" w:themeColor="text1"/>
          <w:kern w:val="0"/>
          <w:sz w:val="28"/>
          <w:szCs w:val="28"/>
          <w14:ligatures w14:val="none"/>
        </w:rPr>
        <w:t xml:space="preserve"> (Rajlić et al., 2025) </w:t>
      </w:r>
      <w:r w:rsidRPr="00E127A1">
        <w:rPr>
          <w:rFonts w:ascii="Sakkal Majalla" w:eastAsia="Times New Roman" w:hAnsi="Sakkal Majalla" w:cs="Sakkal Majalla"/>
          <w:color w:val="000000" w:themeColor="text1"/>
          <w:kern w:val="0"/>
          <w:sz w:val="28"/>
          <w:szCs w:val="28"/>
          <w:rtl/>
          <w14:ligatures w14:val="none"/>
        </w:rPr>
        <w:t>على أن المنشآت التي تُجري تدريبات محاكاة منتظمة تبني قدرات مؤسسية أعمق في مجال الاستجابة، وأن دمج النظرية مع التطبيق العملي يُمثّل مفتاح الجاهزية الفعلية في المنشآت الصناعية الكبرى</w:t>
      </w:r>
      <w:r w:rsidRPr="00E127A1">
        <w:rPr>
          <w:rFonts w:ascii="Sakkal Majalla" w:eastAsia="Times New Roman" w:hAnsi="Sakkal Majalla" w:cs="Sakkal Majalla"/>
          <w:color w:val="000000" w:themeColor="text1"/>
          <w:kern w:val="0"/>
          <w:sz w:val="28"/>
          <w:szCs w:val="28"/>
          <w14:ligatures w14:val="none"/>
        </w:rPr>
        <w:t>.</w:t>
      </w:r>
    </w:p>
    <w:p w14:paraId="0DE051F6"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وتتمثّل الاستراتيجية الرابعة في استراتيجية بناء الشراكات والتنسيق المؤسسي التي تهدف إلى تعزيز جاهزية المنشأة من خلال بناء علاقات تعاون وتنسيق مع الجهات الخارجية ذات العلاقة كأجهزة الدفاع المدني والجهات الرقابية البيئية والمرافق الصحية والمنشآت الصناعية المجاورة. وقد أكد كوربن وآخرون</w:t>
      </w:r>
      <w:r w:rsidRPr="00E127A1">
        <w:rPr>
          <w:rFonts w:ascii="Sakkal Majalla" w:eastAsia="Times New Roman" w:hAnsi="Sakkal Majalla" w:cs="Sakkal Majalla"/>
          <w:color w:val="000000" w:themeColor="text1"/>
          <w:kern w:val="0"/>
          <w:sz w:val="28"/>
          <w:szCs w:val="28"/>
          <w14:ligatures w14:val="none"/>
        </w:rPr>
        <w:t xml:space="preserve"> (Corbin et al., 2021) </w:t>
      </w:r>
      <w:r w:rsidRPr="00E127A1">
        <w:rPr>
          <w:rFonts w:ascii="Sakkal Majalla" w:eastAsia="Times New Roman" w:hAnsi="Sakkal Majalla" w:cs="Sakkal Majalla"/>
          <w:color w:val="000000" w:themeColor="text1"/>
          <w:kern w:val="0"/>
          <w:sz w:val="28"/>
          <w:szCs w:val="28"/>
          <w:rtl/>
          <w14:ligatures w14:val="none"/>
        </w:rPr>
        <w:t>على أن المشاركة المجتمعية والتنسيق بين القطاعات المختلفة يُمثّلان أساساً لنجاح إدارة الطوارئ، وأن الجاهزية الحقيقية لا تتحقق على مستوى المنشأة المنفردة بل تتطلب منظومة تعاونية أوسع تشمل جميع الأطراف المعنية. ويتكامل هذا التوجه مع ما طرحه قمان وشعباني (2024) حول بُعد الشراكة بوصفه أحد أبعاد الذكاء الاستراتيجي التي تُعزّز قدرة المنظمة على مواجهة المخاطر والأزمات</w:t>
      </w:r>
      <w:r w:rsidRPr="00E127A1">
        <w:rPr>
          <w:rFonts w:ascii="Sakkal Majalla" w:eastAsia="Times New Roman" w:hAnsi="Sakkal Majalla" w:cs="Sakkal Majalla"/>
          <w:color w:val="000000" w:themeColor="text1"/>
          <w:kern w:val="0"/>
          <w:sz w:val="28"/>
          <w:szCs w:val="28"/>
          <w14:ligatures w14:val="none"/>
        </w:rPr>
        <w:t>.</w:t>
      </w:r>
    </w:p>
    <w:p w14:paraId="71B50DE0"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 xml:space="preserve">وتتمثّل الاستراتيجية الخامسة في استراتيجية إدارة المعرفة والتعلم المؤسسي التي تهدف إلى بناء نظم فعّالة لتوثيق الخبرات والدروس المستفادة من الأزمات والحوادث السابقة وتحويلها إلى معرفة مؤسسية متاحة ومُوظَّفة في تحسين الجاهزية. وقد أكد العلي والحسناوي </w:t>
      </w:r>
      <w:r w:rsidRPr="00E127A1">
        <w:rPr>
          <w:rFonts w:ascii="Sakkal Majalla" w:eastAsia="Times New Roman" w:hAnsi="Sakkal Majalla" w:cs="Sakkal Majalla"/>
          <w:color w:val="000000" w:themeColor="text1"/>
          <w:kern w:val="0"/>
          <w:sz w:val="28"/>
          <w:szCs w:val="28"/>
          <w14:ligatures w14:val="none"/>
        </w:rPr>
        <w:t xml:space="preserve">(2021) </w:t>
      </w:r>
      <w:r w:rsidRPr="00E127A1">
        <w:rPr>
          <w:rFonts w:ascii="Sakkal Majalla" w:eastAsia="Times New Roman" w:hAnsi="Sakkal Majalla" w:cs="Sakkal Majalla"/>
          <w:color w:val="000000" w:themeColor="text1"/>
          <w:kern w:val="0"/>
          <w:sz w:val="28"/>
          <w:szCs w:val="28"/>
          <w:rtl/>
          <w14:ligatures w14:val="none"/>
        </w:rPr>
        <w:t>على أن إدارة المعرفة تُسهم في تعزيز جاهزية المنظمات من خلال الحفاظ على الخبرات المتراكمة ورفع مستوى قدرات العاملين وتحسين ظروف العمل. ويعني ذلك أن كل حادث أو تسرب تتعرض له المنشأة أو المنشآت المماثلة ينبغي أن يُحلَّل ويُوثَّق ويُحوَّل إلى دروس مستفادة تُغذّي عمليات التخطيط والتدريب والاستعداد المستقبلية، مما يجعل من المعرفة المؤسسية رافعة أساسية لتعزيز الجاهزية بشكل مستدام</w:t>
      </w:r>
      <w:r w:rsidRPr="00E127A1">
        <w:rPr>
          <w:rFonts w:ascii="Sakkal Majalla" w:eastAsia="Times New Roman" w:hAnsi="Sakkal Majalla" w:cs="Sakkal Majalla"/>
          <w:color w:val="000000" w:themeColor="text1"/>
          <w:kern w:val="0"/>
          <w:sz w:val="28"/>
          <w:szCs w:val="28"/>
          <w14:ligatures w14:val="none"/>
        </w:rPr>
        <w:t>.</w:t>
      </w:r>
    </w:p>
    <w:p w14:paraId="075CD813" w14:textId="049502D0" w:rsidR="00493B7A" w:rsidRPr="00E127A1" w:rsidRDefault="00B85931" w:rsidP="00B8593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1" w:name="_Toc228121491"/>
      <w:r w:rsidRPr="00E127A1">
        <w:rPr>
          <w:rFonts w:ascii="Sakkal Majalla" w:eastAsia="Times New Roman" w:hAnsi="Sakkal Majalla" w:cs="Sakkal Majalla" w:hint="cs"/>
          <w:b/>
          <w:bCs/>
          <w:color w:val="000000" w:themeColor="text1"/>
          <w:kern w:val="0"/>
          <w:sz w:val="32"/>
          <w:szCs w:val="32"/>
          <w:rtl/>
          <w14:ligatures w14:val="none"/>
        </w:rPr>
        <w:lastRenderedPageBreak/>
        <w:t xml:space="preserve">7.2.2 </w:t>
      </w:r>
      <w:r w:rsidR="00493B7A" w:rsidRPr="00E127A1">
        <w:rPr>
          <w:rFonts w:ascii="Sakkal Majalla" w:eastAsia="Times New Roman" w:hAnsi="Sakkal Majalla" w:cs="Sakkal Majalla"/>
          <w:b/>
          <w:bCs/>
          <w:color w:val="000000" w:themeColor="text1"/>
          <w:kern w:val="0"/>
          <w:sz w:val="32"/>
          <w:szCs w:val="32"/>
          <w:rtl/>
          <w14:ligatures w14:val="none"/>
        </w:rPr>
        <w:t>العلاقة بين إدارة الأزمات البيئية وجاهزية المنشآت الصناعية</w:t>
      </w:r>
      <w:bookmarkEnd w:id="31"/>
    </w:p>
    <w:p w14:paraId="0FD9FC37" w14:textId="77777777" w:rsidR="00493B7A" w:rsidRPr="00E127A1" w:rsidRDefault="00493B7A" w:rsidP="00B859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يتبيّن من الاستعراض النظري السابق أن ثمة علاقة عضوية وثيقة بين إدارة الأزمات البيئية بأبعادها الأربعة وجاهزية المنشآت الصناعية لمواجهة التسربات الكيميائية، إذ تُشكّل إدارة الأزمات البيئية المدخل الاستراتيجي والتنظيمي الذي تتبلور من خلاله الجاهزية المؤسسية وتتعزز. فالتخطيط الاستراتيجي يُوفّر الإطار الفكري والعملي للاستعداد من خلال تحليل المخاطر ووضع السيناريوهات وتحديد الأدوار وتخصيص الموارد، مما يرفع مستوى الجاهزية في أبعادها المختلفة. والاستجابة السريعة تُترجم هذا الاستعداد إلى فعل مؤسسي منظّم في لحظة الأزمة، مما يكشف عن المستوى الحقيقي للجاهزية ويُحدّد الفجوات التي ينبغي معالجتها. والتنسيق المؤسسي يضمن تكامل جهود الجاهزية بين مختلف الوحدات والجهات بما يُنتج استجابة موحّدة وفعّالة. والتقييم والتحسين المستمر يُغلق حلقة التعلم ويُغذّي دورة جديدة من التطوير والتحسين في مستوى الجاهزية</w:t>
      </w:r>
      <w:r w:rsidRPr="00E127A1">
        <w:rPr>
          <w:rFonts w:ascii="Sakkal Majalla" w:eastAsia="Times New Roman" w:hAnsi="Sakkal Majalla" w:cs="Sakkal Majalla"/>
          <w:color w:val="000000" w:themeColor="text1"/>
          <w:kern w:val="0"/>
          <w:sz w:val="28"/>
          <w:szCs w:val="28"/>
          <w14:ligatures w14:val="none"/>
        </w:rPr>
        <w:t>.</w:t>
      </w:r>
    </w:p>
    <w:p w14:paraId="38AD7D02" w14:textId="77777777" w:rsidR="00493B7A" w:rsidRPr="00E127A1" w:rsidRDefault="00493B7A" w:rsidP="00837FBE">
      <w:pPr>
        <w:spacing w:before="100" w:beforeAutospacing="1" w:after="100" w:afterAutospacing="1" w:line="276" w:lineRule="auto"/>
        <w:ind w:firstLine="706"/>
        <w:jc w:val="both"/>
        <w:rPr>
          <w:rFonts w:ascii="Sakkal Majalla" w:eastAsia="Times New Roman" w:hAnsi="Sakkal Majalla" w:cs="Sakkal Majalla"/>
          <w:color w:val="000000" w:themeColor="text1"/>
          <w:kern w:val="0"/>
          <w:sz w:val="28"/>
          <w:szCs w:val="28"/>
          <w14:ligatures w14:val="none"/>
        </w:rPr>
      </w:pPr>
      <w:r w:rsidRPr="00E127A1">
        <w:rPr>
          <w:rFonts w:ascii="Sakkal Majalla" w:eastAsia="Times New Roman" w:hAnsi="Sakkal Majalla" w:cs="Sakkal Majalla"/>
          <w:color w:val="000000" w:themeColor="text1"/>
          <w:kern w:val="0"/>
          <w:sz w:val="28"/>
          <w:szCs w:val="28"/>
          <w:rtl/>
          <w14:ligatures w14:val="none"/>
        </w:rPr>
        <w:t>وتتّسق هذه الرؤية التكاملية مع ما طرحه صن وتشانغ</w:t>
      </w:r>
      <w:r w:rsidRPr="00E127A1">
        <w:rPr>
          <w:rFonts w:ascii="Sakkal Majalla" w:eastAsia="Times New Roman" w:hAnsi="Sakkal Majalla" w:cs="Sakkal Majalla"/>
          <w:color w:val="000000" w:themeColor="text1"/>
          <w:kern w:val="0"/>
          <w:sz w:val="28"/>
          <w:szCs w:val="28"/>
          <w14:ligatures w14:val="none"/>
        </w:rPr>
        <w:t xml:space="preserve"> (Sun &amp; Zhang, 2022) </w:t>
      </w:r>
      <w:r w:rsidRPr="00E127A1">
        <w:rPr>
          <w:rFonts w:ascii="Sakkal Majalla" w:eastAsia="Times New Roman" w:hAnsi="Sakkal Majalla" w:cs="Sakkal Majalla"/>
          <w:color w:val="000000" w:themeColor="text1"/>
          <w:kern w:val="0"/>
          <w:sz w:val="28"/>
          <w:szCs w:val="28"/>
          <w:rtl/>
          <w14:ligatures w14:val="none"/>
        </w:rPr>
        <w:t>حول ضرورة تبنّي مقاربة استراتيجية شاملة في إدارة الأزمات تجمع بين التنويع في الاستراتيجيات والتحول الرقمي لتعزيز مرونة المنظمة وقدرتها على التكيف. كما تتوافق مع ما أكده المبارك</w:t>
      </w:r>
      <w:r w:rsidRPr="00E127A1">
        <w:rPr>
          <w:rFonts w:ascii="Sakkal Majalla" w:eastAsia="Times New Roman" w:hAnsi="Sakkal Majalla" w:cs="Sakkal Majalla"/>
          <w:color w:val="000000" w:themeColor="text1"/>
          <w:kern w:val="0"/>
          <w:sz w:val="28"/>
          <w:szCs w:val="28"/>
          <w14:ligatures w14:val="none"/>
        </w:rPr>
        <w:t xml:space="preserve"> (2022) </w:t>
      </w:r>
      <w:r w:rsidRPr="00E127A1">
        <w:rPr>
          <w:rFonts w:ascii="Sakkal Majalla" w:eastAsia="Times New Roman" w:hAnsi="Sakkal Majalla" w:cs="Sakkal Majalla"/>
          <w:color w:val="000000" w:themeColor="text1"/>
          <w:kern w:val="0"/>
          <w:sz w:val="28"/>
          <w:szCs w:val="28"/>
          <w:rtl/>
          <w14:ligatures w14:val="none"/>
        </w:rPr>
        <w:t>من أن فاعلية إدارة الأزمات تتوقف على مدى الاستعداد المسبق والتنسيق بين القطاعات المختلفة، وهو ما يؤكد أن الجاهزية ليست حالة ساكنة بل هي نتاج ديناميكي لمنظومة إدارة الأزمات البيئية بأبعادها المتعددة. وعليه، فإن هذه الدراسة تنطلق من فرضية مفادها أن تعزيز إدارة الأزمات البيئية بأبعادها الأربعة يؤدي إلى رفع مستوى جاهزية المنشآت الصناعية لمواجهة التسربات الكيميائية، وهو ما ستسعى الدراسة الميدانية إلى اختباره والتحقق منه</w:t>
      </w:r>
      <w:r w:rsidRPr="00E127A1">
        <w:rPr>
          <w:rFonts w:ascii="Sakkal Majalla" w:eastAsia="Times New Roman" w:hAnsi="Sakkal Majalla" w:cs="Sakkal Majalla"/>
          <w:color w:val="000000" w:themeColor="text1"/>
          <w:kern w:val="0"/>
          <w:sz w:val="28"/>
          <w:szCs w:val="28"/>
          <w14:ligatures w14:val="none"/>
        </w:rPr>
        <w:t>.</w:t>
      </w:r>
    </w:p>
    <w:p w14:paraId="67D7315E" w14:textId="0F2B64FF" w:rsidR="009C6E53" w:rsidRPr="00E127A1" w:rsidRDefault="00B85931" w:rsidP="00DA13D4">
      <w:pPr>
        <w:jc w:val="center"/>
        <w:outlineLvl w:val="0"/>
        <w:rPr>
          <w:rFonts w:cs="Sakkal Majalla"/>
          <w:b/>
          <w:bCs/>
          <w:color w:val="000000" w:themeColor="text1"/>
          <w:sz w:val="24"/>
          <w:szCs w:val="32"/>
          <w:rtl/>
        </w:rPr>
        <w:sectPr w:rsidR="009C6E53" w:rsidRPr="00E127A1" w:rsidSect="000011E2">
          <w:footerReference w:type="default" r:id="rId9"/>
          <w:pgSz w:w="11906" w:h="16838" w:code="9"/>
          <w:pgMar w:top="1440" w:right="1985" w:bottom="1440" w:left="1418" w:header="720" w:footer="720" w:gutter="567"/>
          <w:pgNumType w:start="1"/>
          <w:cols w:space="708"/>
          <w:bidi/>
          <w:rtlGutter/>
          <w:docGrid w:linePitch="360"/>
        </w:sectPr>
      </w:pPr>
      <w:r w:rsidRPr="00E127A1">
        <w:rPr>
          <w:rFonts w:ascii="Sakkal Majalla" w:eastAsia="Times New Roman" w:hAnsi="Sakkal Majalla" w:cs="Sakkal Majalla"/>
          <w:b/>
          <w:bCs/>
          <w:color w:val="000000" w:themeColor="text1"/>
          <w:kern w:val="0"/>
          <w:sz w:val="40"/>
          <w:szCs w:val="40"/>
          <w:rtl/>
          <w14:ligatures w14:val="none"/>
        </w:rPr>
        <w:br w:type="page"/>
      </w:r>
    </w:p>
    <w:p w14:paraId="5A09F3F8" w14:textId="340E4CFE" w:rsidR="009C6E53" w:rsidRPr="00E127A1" w:rsidRDefault="009C6E53" w:rsidP="009C6E53">
      <w:pPr>
        <w:bidi w:val="0"/>
        <w:spacing w:before="100" w:beforeAutospacing="1" w:after="100" w:afterAutospacing="1" w:line="360" w:lineRule="auto"/>
        <w:rPr>
          <w:rFonts w:ascii="Sakkal Majalla" w:hAnsi="Sakkal Majalla" w:cs="Sakkal Majalla"/>
          <w:b/>
          <w:bCs/>
          <w:color w:val="000000" w:themeColor="text1"/>
          <w:sz w:val="32"/>
          <w:szCs w:val="32"/>
        </w:rPr>
      </w:pPr>
      <w:r w:rsidRPr="00E127A1">
        <w:rPr>
          <w:rFonts w:cs="Sakkal Majalla"/>
          <w:b/>
          <w:bCs/>
          <w:noProof/>
          <w:color w:val="000000" w:themeColor="text1"/>
          <w:szCs w:val="28"/>
        </w:rPr>
        <w:lastRenderedPageBreak/>
        <w:drawing>
          <wp:anchor distT="0" distB="0" distL="114300" distR="114300" simplePos="0" relativeHeight="251668480" behindDoc="0" locked="0" layoutInCell="1" allowOverlap="1" wp14:anchorId="6D6AFEBE" wp14:editId="28F43909">
            <wp:simplePos x="0" y="0"/>
            <wp:positionH relativeFrom="column">
              <wp:posOffset>2606040</wp:posOffset>
            </wp:positionH>
            <wp:positionV relativeFrom="paragraph">
              <wp:posOffset>0</wp:posOffset>
            </wp:positionV>
            <wp:extent cx="2231390" cy="762000"/>
            <wp:effectExtent l="0" t="0" r="0" b="0"/>
            <wp:wrapSquare wrapText="bothSides"/>
            <wp:docPr id="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127A1">
        <w:rPr>
          <w:rFonts w:ascii="Sakkal Majalla" w:hAnsi="Sakkal Majalla" w:cs="Sakkal Majalla"/>
          <w:b/>
          <w:bCs/>
          <w:color w:val="000000" w:themeColor="text1"/>
          <w:sz w:val="32"/>
          <w:szCs w:val="32"/>
        </w:rPr>
        <w:t>MidOcean University</w:t>
      </w:r>
    </w:p>
    <w:p w14:paraId="4AE14D41" w14:textId="52341B76" w:rsidR="009C6E53" w:rsidRPr="00E127A1" w:rsidRDefault="009C6E53" w:rsidP="009C6E53">
      <w:pPr>
        <w:bidi w:val="0"/>
        <w:spacing w:before="100" w:beforeAutospacing="1" w:after="100" w:afterAutospacing="1" w:line="360" w:lineRule="auto"/>
        <w:rPr>
          <w:rFonts w:ascii="Sakkal Majalla" w:hAnsi="Sakkal Majalla" w:cs="Sakkal Majalla"/>
          <w:b/>
          <w:bCs/>
          <w:color w:val="000000" w:themeColor="text1"/>
          <w:sz w:val="32"/>
          <w:szCs w:val="32"/>
        </w:rPr>
      </w:pPr>
      <w:r w:rsidRPr="00E127A1">
        <w:rPr>
          <w:rFonts w:ascii="Sakkal Majalla" w:hAnsi="Sakkal Majalla" w:cs="Sakkal Majalla"/>
          <w:b/>
          <w:bCs/>
          <w:color w:val="000000" w:themeColor="text1"/>
          <w:sz w:val="32"/>
          <w:szCs w:val="32"/>
        </w:rPr>
        <w:t>College of Management</w:t>
      </w:r>
    </w:p>
    <w:p w14:paraId="405DA07D" w14:textId="611B6500" w:rsidR="009C6E53" w:rsidRPr="00E127A1" w:rsidRDefault="009C6E53" w:rsidP="009C6E53">
      <w:pPr>
        <w:bidi w:val="0"/>
        <w:spacing w:before="100" w:beforeAutospacing="1" w:after="100" w:afterAutospacing="1" w:line="360" w:lineRule="auto"/>
        <w:rPr>
          <w:rFonts w:ascii="Sakkal Majalla" w:hAnsi="Sakkal Majalla" w:cs="Sakkal Majalla"/>
          <w:b/>
          <w:bCs/>
          <w:color w:val="000000" w:themeColor="text1"/>
          <w:sz w:val="32"/>
          <w:szCs w:val="32"/>
        </w:rPr>
      </w:pPr>
      <w:r w:rsidRPr="00E127A1">
        <w:rPr>
          <w:rFonts w:ascii="Sakkal Majalla" w:hAnsi="Sakkal Majalla" w:cs="Sakkal Majalla"/>
          <w:b/>
          <w:bCs/>
          <w:color w:val="000000" w:themeColor="text1"/>
          <w:sz w:val="32"/>
          <w:szCs w:val="32"/>
        </w:rPr>
        <w:t>Department / Major: Risk Management</w:t>
      </w:r>
    </w:p>
    <w:p w14:paraId="2BAC101D" w14:textId="77777777" w:rsidR="009C6E53" w:rsidRPr="00E127A1" w:rsidRDefault="009C6E53" w:rsidP="009C6E53">
      <w:pPr>
        <w:bidi w:val="0"/>
        <w:spacing w:before="100" w:beforeAutospacing="1" w:after="100" w:afterAutospacing="1" w:line="360" w:lineRule="auto"/>
        <w:jc w:val="center"/>
        <w:rPr>
          <w:rFonts w:ascii="Sakkal Majalla" w:hAnsi="Sakkal Majalla" w:cs="Sakkal Majalla"/>
          <w:b/>
          <w:bCs/>
          <w:color w:val="000000" w:themeColor="text1"/>
          <w:sz w:val="40"/>
          <w:szCs w:val="40"/>
          <w:rtl/>
        </w:rPr>
      </w:pPr>
      <w:r w:rsidRPr="00E127A1">
        <w:rPr>
          <w:rFonts w:ascii="Sakkal Majalla" w:hAnsi="Sakkal Majalla" w:cs="Sakkal Majalla"/>
          <w:b/>
          <w:bCs/>
          <w:color w:val="000000" w:themeColor="text1"/>
          <w:sz w:val="40"/>
          <w:szCs w:val="40"/>
        </w:rPr>
        <w:t>The Effectiveness of Environmental Crisis Management in Enhancing the Preparedness of Industrial Facilities to Respond to Chemical Leaks in the Eastern Province of the Kingdom of Saudi Arabia</w:t>
      </w:r>
    </w:p>
    <w:p w14:paraId="2C59208E" w14:textId="02F2EEF9" w:rsidR="009C6E53" w:rsidRPr="00E127A1" w:rsidRDefault="009C6E53" w:rsidP="009C6E53">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E127A1">
        <w:rPr>
          <w:rFonts w:ascii="Sakkal Majalla" w:hAnsi="Sakkal Majalla" w:cs="Sakkal Majalla"/>
          <w:b/>
          <w:bCs/>
          <w:color w:val="000000" w:themeColor="text1"/>
          <w:sz w:val="36"/>
          <w:szCs w:val="36"/>
        </w:rPr>
        <w:t>Prepared by</w:t>
      </w:r>
      <w:r w:rsidRPr="00E127A1">
        <w:rPr>
          <w:rFonts w:ascii="Sakkal Majalla" w:hAnsi="Sakkal Majalla" w:cs="Sakkal Majalla"/>
          <w:b/>
          <w:bCs/>
          <w:color w:val="000000" w:themeColor="text1"/>
          <w:sz w:val="36"/>
          <w:szCs w:val="36"/>
          <w:rtl/>
        </w:rPr>
        <w:t>:</w:t>
      </w:r>
    </w:p>
    <w:p w14:paraId="7242B941" w14:textId="77777777" w:rsidR="009C6E53" w:rsidRPr="00E127A1" w:rsidRDefault="009C6E53" w:rsidP="009C6E53">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E127A1">
        <w:rPr>
          <w:rFonts w:ascii="Sakkal Majalla" w:hAnsi="Sakkal Majalla" w:cs="Sakkal Majalla"/>
          <w:color w:val="000000" w:themeColor="text1"/>
          <w:sz w:val="36"/>
          <w:szCs w:val="36"/>
        </w:rPr>
        <w:t>Mohammed Awad Ali Al-Yami</w:t>
      </w:r>
    </w:p>
    <w:p w14:paraId="04C9F25F" w14:textId="77777777" w:rsidR="009C6E53" w:rsidRPr="00E127A1" w:rsidRDefault="009C6E53" w:rsidP="009C6E53">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E127A1">
        <w:rPr>
          <w:rFonts w:ascii="Sakkal Majalla" w:hAnsi="Sakkal Majalla" w:cs="Sakkal Majalla"/>
          <w:color w:val="000000" w:themeColor="text1"/>
          <w:sz w:val="36"/>
          <w:szCs w:val="36"/>
          <w:rtl/>
        </w:rPr>
        <w:t>252000694</w:t>
      </w:r>
    </w:p>
    <w:p w14:paraId="5263CE73" w14:textId="77777777" w:rsidR="009C6E53" w:rsidRPr="00E127A1" w:rsidRDefault="009C6E53" w:rsidP="009C6E53">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E127A1">
        <w:rPr>
          <w:rFonts w:ascii="Sakkal Majalla" w:hAnsi="Sakkal Majalla" w:cs="Sakkal Majalla"/>
          <w:b/>
          <w:bCs/>
          <w:color w:val="000000" w:themeColor="text1"/>
          <w:sz w:val="36"/>
          <w:szCs w:val="36"/>
        </w:rPr>
        <w:t>Supervised by</w:t>
      </w:r>
      <w:r w:rsidRPr="00E127A1">
        <w:rPr>
          <w:rFonts w:ascii="Sakkal Majalla" w:hAnsi="Sakkal Majalla" w:cs="Sakkal Majalla"/>
          <w:b/>
          <w:bCs/>
          <w:color w:val="000000" w:themeColor="text1"/>
          <w:sz w:val="36"/>
          <w:szCs w:val="36"/>
          <w:rtl/>
        </w:rPr>
        <w:t>:</w:t>
      </w:r>
    </w:p>
    <w:p w14:paraId="59F3E47F" w14:textId="77777777" w:rsidR="009C6E53" w:rsidRPr="00E127A1" w:rsidRDefault="009C6E53" w:rsidP="009C6E53">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E127A1">
        <w:rPr>
          <w:rFonts w:ascii="Sakkal Majalla" w:hAnsi="Sakkal Majalla" w:cs="Sakkal Majalla"/>
          <w:color w:val="000000" w:themeColor="text1"/>
          <w:sz w:val="36"/>
          <w:szCs w:val="36"/>
        </w:rPr>
        <w:t>Dr. Al-Faisal Abdulhamid Mohammed</w:t>
      </w:r>
    </w:p>
    <w:p w14:paraId="7C91CA5A" w14:textId="77777777" w:rsidR="009C6E53" w:rsidRPr="00E127A1" w:rsidRDefault="009C6E53" w:rsidP="009C6E53">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E127A1">
        <w:rPr>
          <w:rFonts w:ascii="Sakkal Majalla" w:hAnsi="Sakkal Majalla" w:cs="Sakkal Majalla"/>
          <w:color w:val="000000" w:themeColor="text1"/>
          <w:sz w:val="36"/>
          <w:szCs w:val="36"/>
        </w:rPr>
        <w:t>Dr. Fayez Jarad</w:t>
      </w:r>
    </w:p>
    <w:p w14:paraId="1D861ADE" w14:textId="0A4EF38C" w:rsidR="009C6E53" w:rsidRPr="00E127A1" w:rsidRDefault="009C6E53" w:rsidP="009C6E53">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E127A1">
        <w:rPr>
          <w:rFonts w:ascii="Sakkal Majalla" w:hAnsi="Sakkal Majalla" w:cs="Sakkal Majalla"/>
          <w:b/>
          <w:bCs/>
          <w:color w:val="000000" w:themeColor="text1"/>
          <w:sz w:val="36"/>
          <w:szCs w:val="36"/>
          <w:rtl/>
        </w:rPr>
        <w:t>2025–2026</w:t>
      </w:r>
    </w:p>
    <w:sectPr w:rsidR="009C6E53" w:rsidRPr="00E127A1" w:rsidSect="000011E2">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7C669" w14:textId="77777777" w:rsidR="004A2903" w:rsidRDefault="004A2903" w:rsidP="009125CE">
      <w:pPr>
        <w:spacing w:after="0" w:line="240" w:lineRule="auto"/>
      </w:pPr>
      <w:r>
        <w:separator/>
      </w:r>
    </w:p>
  </w:endnote>
  <w:endnote w:type="continuationSeparator" w:id="0">
    <w:p w14:paraId="29076A4D" w14:textId="77777777" w:rsidR="004A2903" w:rsidRDefault="004A290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894268"/>
      <w:docPartObj>
        <w:docPartGallery w:val="Page Numbers (Bottom of Page)"/>
        <w:docPartUnique/>
      </w:docPartObj>
    </w:sdtPr>
    <w:sdtContent>
      <w:p w14:paraId="53E482B0" w14:textId="77777777" w:rsidR="00472031" w:rsidRDefault="00472031">
        <w:pPr>
          <w:pStyle w:val="a4"/>
        </w:pPr>
        <w:r>
          <w:rPr>
            <w:noProof/>
          </w:rPr>
          <mc:AlternateContent>
            <mc:Choice Requires="wps">
              <w:drawing>
                <wp:anchor distT="0" distB="0" distL="114300" distR="114300" simplePos="0" relativeHeight="251666432" behindDoc="0" locked="0" layoutInCell="1" allowOverlap="1" wp14:anchorId="007678F3" wp14:editId="5C0AC20A">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80A72D7" w14:textId="77777777" w:rsidR="00472031" w:rsidRPr="000011E2" w:rsidRDefault="00472031">
                              <w:pPr>
                                <w:jc w:val="center"/>
                                <w:rPr>
                                  <w:rFonts w:ascii="Sakkal Majalla" w:hAnsi="Sakkal Majalla" w:cs="Sakkal Majalla"/>
                                  <w:b/>
                                  <w:bCs/>
                                  <w:sz w:val="24"/>
                                  <w:szCs w:val="24"/>
                                </w:rPr>
                              </w:pPr>
                              <w:r w:rsidRPr="000011E2">
                                <w:rPr>
                                  <w:rFonts w:ascii="Sakkal Majalla" w:hAnsi="Sakkal Majalla" w:cs="Sakkal Majalla"/>
                                  <w:b/>
                                  <w:bCs/>
                                  <w:sz w:val="24"/>
                                  <w:szCs w:val="24"/>
                                </w:rPr>
                                <w:fldChar w:fldCharType="begin"/>
                              </w:r>
                              <w:r w:rsidRPr="000011E2">
                                <w:rPr>
                                  <w:rFonts w:ascii="Sakkal Majalla" w:hAnsi="Sakkal Majalla" w:cs="Sakkal Majalla"/>
                                  <w:b/>
                                  <w:bCs/>
                                  <w:sz w:val="24"/>
                                  <w:szCs w:val="24"/>
                                </w:rPr>
                                <w:instrText xml:space="preserve"> PAGE    \* MERGEFORMAT </w:instrText>
                              </w:r>
                              <w:r w:rsidRPr="000011E2">
                                <w:rPr>
                                  <w:rFonts w:ascii="Sakkal Majalla" w:hAnsi="Sakkal Majalla" w:cs="Sakkal Majalla"/>
                                  <w:b/>
                                  <w:bCs/>
                                  <w:sz w:val="24"/>
                                  <w:szCs w:val="24"/>
                                </w:rPr>
                                <w:fldChar w:fldCharType="separate"/>
                              </w:r>
                              <w:r w:rsidR="00DA13D4">
                                <w:rPr>
                                  <w:rFonts w:ascii="Sakkal Majalla" w:hAnsi="Sakkal Majalla" w:cs="Sakkal Majalla"/>
                                  <w:b/>
                                  <w:bCs/>
                                  <w:noProof/>
                                  <w:sz w:val="24"/>
                                  <w:szCs w:val="24"/>
                                  <w:rtl/>
                                </w:rPr>
                                <w:t>49</w:t>
                              </w:r>
                              <w:r w:rsidRPr="000011E2">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07678F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80A72D7" w14:textId="77777777" w:rsidR="00472031" w:rsidRPr="000011E2" w:rsidRDefault="00472031">
                        <w:pPr>
                          <w:jc w:val="center"/>
                          <w:rPr>
                            <w:rFonts w:ascii="Sakkal Majalla" w:hAnsi="Sakkal Majalla" w:cs="Sakkal Majalla"/>
                            <w:b/>
                            <w:bCs/>
                            <w:sz w:val="24"/>
                            <w:szCs w:val="24"/>
                          </w:rPr>
                        </w:pPr>
                        <w:r w:rsidRPr="000011E2">
                          <w:rPr>
                            <w:rFonts w:ascii="Sakkal Majalla" w:hAnsi="Sakkal Majalla" w:cs="Sakkal Majalla"/>
                            <w:b/>
                            <w:bCs/>
                            <w:sz w:val="24"/>
                            <w:szCs w:val="24"/>
                          </w:rPr>
                          <w:fldChar w:fldCharType="begin"/>
                        </w:r>
                        <w:r w:rsidRPr="000011E2">
                          <w:rPr>
                            <w:rFonts w:ascii="Sakkal Majalla" w:hAnsi="Sakkal Majalla" w:cs="Sakkal Majalla"/>
                            <w:b/>
                            <w:bCs/>
                            <w:sz w:val="24"/>
                            <w:szCs w:val="24"/>
                          </w:rPr>
                          <w:instrText xml:space="preserve"> PAGE    \* MERGEFORMAT </w:instrText>
                        </w:r>
                        <w:r w:rsidRPr="000011E2">
                          <w:rPr>
                            <w:rFonts w:ascii="Sakkal Majalla" w:hAnsi="Sakkal Majalla" w:cs="Sakkal Majalla"/>
                            <w:b/>
                            <w:bCs/>
                            <w:sz w:val="24"/>
                            <w:szCs w:val="24"/>
                          </w:rPr>
                          <w:fldChar w:fldCharType="separate"/>
                        </w:r>
                        <w:r w:rsidR="00DA13D4">
                          <w:rPr>
                            <w:rFonts w:ascii="Sakkal Majalla" w:hAnsi="Sakkal Majalla" w:cs="Sakkal Majalla"/>
                            <w:b/>
                            <w:bCs/>
                            <w:noProof/>
                            <w:sz w:val="24"/>
                            <w:szCs w:val="24"/>
                            <w:rtl/>
                          </w:rPr>
                          <w:t>49</w:t>
                        </w:r>
                        <w:r w:rsidRPr="000011E2">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3C2E994" wp14:editId="07879FF2">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AB23391"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EDBB2" w14:textId="1279CB9D" w:rsidR="009C6E53" w:rsidRDefault="009C6E5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3F01C" w14:textId="77777777" w:rsidR="004A2903" w:rsidRDefault="004A2903" w:rsidP="009125CE">
      <w:pPr>
        <w:spacing w:after="0" w:line="240" w:lineRule="auto"/>
      </w:pPr>
      <w:r>
        <w:separator/>
      </w:r>
    </w:p>
  </w:footnote>
  <w:footnote w:type="continuationSeparator" w:id="0">
    <w:p w14:paraId="16D45930" w14:textId="77777777" w:rsidR="004A2903" w:rsidRDefault="004A290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84816"/>
    <w:multiLevelType w:val="hybridMultilevel"/>
    <w:tmpl w:val="4D96CE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CC02E2"/>
    <w:multiLevelType w:val="hybridMultilevel"/>
    <w:tmpl w:val="B142D7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D1BF5"/>
    <w:multiLevelType w:val="hybridMultilevel"/>
    <w:tmpl w:val="634836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FD1A29"/>
    <w:multiLevelType w:val="hybridMultilevel"/>
    <w:tmpl w:val="9626A0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386205"/>
    <w:multiLevelType w:val="hybridMultilevel"/>
    <w:tmpl w:val="E5F2370E"/>
    <w:lvl w:ilvl="0" w:tplc="E62CE8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D345E0"/>
    <w:multiLevelType w:val="hybridMultilevel"/>
    <w:tmpl w:val="9190BD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40617F"/>
    <w:multiLevelType w:val="hybridMultilevel"/>
    <w:tmpl w:val="156084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C13BEF"/>
    <w:multiLevelType w:val="hybridMultilevel"/>
    <w:tmpl w:val="F9221C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C10BE6"/>
    <w:multiLevelType w:val="hybridMultilevel"/>
    <w:tmpl w:val="38BE4BB4"/>
    <w:lvl w:ilvl="0" w:tplc="04090011">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58556690">
    <w:abstractNumId w:val="8"/>
  </w:num>
  <w:num w:numId="2" w16cid:durableId="1819954062">
    <w:abstractNumId w:val="4"/>
  </w:num>
  <w:num w:numId="3" w16cid:durableId="1225871005">
    <w:abstractNumId w:val="6"/>
  </w:num>
  <w:num w:numId="4" w16cid:durableId="1767075516">
    <w:abstractNumId w:val="1"/>
  </w:num>
  <w:num w:numId="5" w16cid:durableId="1911887583">
    <w:abstractNumId w:val="2"/>
  </w:num>
  <w:num w:numId="6" w16cid:durableId="1849632774">
    <w:abstractNumId w:val="5"/>
  </w:num>
  <w:num w:numId="7" w16cid:durableId="1097170891">
    <w:abstractNumId w:val="7"/>
  </w:num>
  <w:num w:numId="8" w16cid:durableId="585001319">
    <w:abstractNumId w:val="0"/>
  </w:num>
  <w:num w:numId="9" w16cid:durableId="39354772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1E2"/>
    <w:rsid w:val="00014CDE"/>
    <w:rsid w:val="00034184"/>
    <w:rsid w:val="00062076"/>
    <w:rsid w:val="00086E42"/>
    <w:rsid w:val="00090F21"/>
    <w:rsid w:val="000A03FB"/>
    <w:rsid w:val="000A6789"/>
    <w:rsid w:val="000E0BDD"/>
    <w:rsid w:val="000F44B4"/>
    <w:rsid w:val="00122A37"/>
    <w:rsid w:val="00146CC4"/>
    <w:rsid w:val="001902DB"/>
    <w:rsid w:val="00191F4F"/>
    <w:rsid w:val="001A22DF"/>
    <w:rsid w:val="001A453D"/>
    <w:rsid w:val="001C2162"/>
    <w:rsid w:val="001E58B1"/>
    <w:rsid w:val="0022186E"/>
    <w:rsid w:val="00296B11"/>
    <w:rsid w:val="002B7BDD"/>
    <w:rsid w:val="002F0E27"/>
    <w:rsid w:val="002F53B3"/>
    <w:rsid w:val="00315D65"/>
    <w:rsid w:val="00354810"/>
    <w:rsid w:val="0036163F"/>
    <w:rsid w:val="0037198C"/>
    <w:rsid w:val="003801BC"/>
    <w:rsid w:val="003A6C7B"/>
    <w:rsid w:val="003E6278"/>
    <w:rsid w:val="00404F34"/>
    <w:rsid w:val="004163C7"/>
    <w:rsid w:val="00416D4F"/>
    <w:rsid w:val="00436BE7"/>
    <w:rsid w:val="00453306"/>
    <w:rsid w:val="00465065"/>
    <w:rsid w:val="00471187"/>
    <w:rsid w:val="00472031"/>
    <w:rsid w:val="00493B7A"/>
    <w:rsid w:val="004A2903"/>
    <w:rsid w:val="004E5C4F"/>
    <w:rsid w:val="00540E0E"/>
    <w:rsid w:val="0054227D"/>
    <w:rsid w:val="005424B2"/>
    <w:rsid w:val="00563DF1"/>
    <w:rsid w:val="00566C86"/>
    <w:rsid w:val="00587D69"/>
    <w:rsid w:val="0059447C"/>
    <w:rsid w:val="005A14F0"/>
    <w:rsid w:val="005A2E49"/>
    <w:rsid w:val="005F54B9"/>
    <w:rsid w:val="006103F3"/>
    <w:rsid w:val="006254B4"/>
    <w:rsid w:val="00636A1C"/>
    <w:rsid w:val="00637370"/>
    <w:rsid w:val="00651281"/>
    <w:rsid w:val="006878B6"/>
    <w:rsid w:val="006948DE"/>
    <w:rsid w:val="006B3E72"/>
    <w:rsid w:val="006C2C27"/>
    <w:rsid w:val="006D0D67"/>
    <w:rsid w:val="00707564"/>
    <w:rsid w:val="00721EC7"/>
    <w:rsid w:val="007467C7"/>
    <w:rsid w:val="00787AD5"/>
    <w:rsid w:val="007A089A"/>
    <w:rsid w:val="007B0E54"/>
    <w:rsid w:val="007B71C5"/>
    <w:rsid w:val="007C4492"/>
    <w:rsid w:val="007C665D"/>
    <w:rsid w:val="007D1471"/>
    <w:rsid w:val="007D573D"/>
    <w:rsid w:val="007E3A20"/>
    <w:rsid w:val="007F0A0B"/>
    <w:rsid w:val="00834DF5"/>
    <w:rsid w:val="00837FBE"/>
    <w:rsid w:val="0084047E"/>
    <w:rsid w:val="00843036"/>
    <w:rsid w:val="00846C1E"/>
    <w:rsid w:val="00877AAC"/>
    <w:rsid w:val="00896AF7"/>
    <w:rsid w:val="00896FE4"/>
    <w:rsid w:val="008A4B92"/>
    <w:rsid w:val="008B3FF6"/>
    <w:rsid w:val="008C5187"/>
    <w:rsid w:val="008D4D32"/>
    <w:rsid w:val="008E2AA7"/>
    <w:rsid w:val="008F1EAE"/>
    <w:rsid w:val="008F2BF9"/>
    <w:rsid w:val="008F6546"/>
    <w:rsid w:val="009125CE"/>
    <w:rsid w:val="00946427"/>
    <w:rsid w:val="00946F5F"/>
    <w:rsid w:val="0095553C"/>
    <w:rsid w:val="00986FD4"/>
    <w:rsid w:val="009A47CC"/>
    <w:rsid w:val="009B6888"/>
    <w:rsid w:val="009C0161"/>
    <w:rsid w:val="009C198D"/>
    <w:rsid w:val="009C6E53"/>
    <w:rsid w:val="009D108D"/>
    <w:rsid w:val="009E1436"/>
    <w:rsid w:val="009E5668"/>
    <w:rsid w:val="00A13FFF"/>
    <w:rsid w:val="00A26FB3"/>
    <w:rsid w:val="00A5475D"/>
    <w:rsid w:val="00A6369F"/>
    <w:rsid w:val="00A74BCB"/>
    <w:rsid w:val="00A76BF3"/>
    <w:rsid w:val="00A94DC8"/>
    <w:rsid w:val="00AA06B3"/>
    <w:rsid w:val="00AA79E9"/>
    <w:rsid w:val="00AB0A70"/>
    <w:rsid w:val="00AB747C"/>
    <w:rsid w:val="00AC083B"/>
    <w:rsid w:val="00AD3FD8"/>
    <w:rsid w:val="00B63B0F"/>
    <w:rsid w:val="00B7678A"/>
    <w:rsid w:val="00B77A19"/>
    <w:rsid w:val="00B85931"/>
    <w:rsid w:val="00BC094B"/>
    <w:rsid w:val="00BE181F"/>
    <w:rsid w:val="00C062C5"/>
    <w:rsid w:val="00C154A3"/>
    <w:rsid w:val="00C16B92"/>
    <w:rsid w:val="00C72744"/>
    <w:rsid w:val="00C76EA1"/>
    <w:rsid w:val="00C87EE5"/>
    <w:rsid w:val="00CA4ADB"/>
    <w:rsid w:val="00CA6A40"/>
    <w:rsid w:val="00CB2A44"/>
    <w:rsid w:val="00CC72BE"/>
    <w:rsid w:val="00D016F0"/>
    <w:rsid w:val="00D02AF5"/>
    <w:rsid w:val="00D04F62"/>
    <w:rsid w:val="00D2185D"/>
    <w:rsid w:val="00D22171"/>
    <w:rsid w:val="00D2690B"/>
    <w:rsid w:val="00D35674"/>
    <w:rsid w:val="00D52480"/>
    <w:rsid w:val="00D77EB8"/>
    <w:rsid w:val="00DA13D4"/>
    <w:rsid w:val="00DD25BE"/>
    <w:rsid w:val="00DF047C"/>
    <w:rsid w:val="00DF39AD"/>
    <w:rsid w:val="00DF487A"/>
    <w:rsid w:val="00E127A1"/>
    <w:rsid w:val="00E4111A"/>
    <w:rsid w:val="00E421FF"/>
    <w:rsid w:val="00E77BCF"/>
    <w:rsid w:val="00E80FD9"/>
    <w:rsid w:val="00EA7970"/>
    <w:rsid w:val="00EC31DB"/>
    <w:rsid w:val="00EC3EB3"/>
    <w:rsid w:val="00EE2CE4"/>
    <w:rsid w:val="00EF1988"/>
    <w:rsid w:val="00F0396D"/>
    <w:rsid w:val="00F04FA0"/>
    <w:rsid w:val="00F05538"/>
    <w:rsid w:val="00F27ECE"/>
    <w:rsid w:val="00F3748A"/>
    <w:rsid w:val="00F546CE"/>
    <w:rsid w:val="00F85C64"/>
    <w:rsid w:val="00F925D0"/>
    <w:rsid w:val="00FB55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4227D"/>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54227D"/>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54227D"/>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54227D"/>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5">
    <w:name w:val="heading 5"/>
    <w:basedOn w:val="a"/>
    <w:next w:val="a"/>
    <w:link w:val="5Char"/>
    <w:uiPriority w:val="9"/>
    <w:semiHidden/>
    <w:unhideWhenUsed/>
    <w:qFormat/>
    <w:rsid w:val="0054227D"/>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54227D"/>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54227D"/>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54227D"/>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54227D"/>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54227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54227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54227D"/>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54227D"/>
    <w:rPr>
      <w:rFonts w:eastAsiaTheme="majorEastAsia" w:cstheme="majorBidi"/>
      <w:i/>
      <w:iCs/>
      <w:color w:val="2F5496" w:themeColor="accent1" w:themeShade="BF"/>
      <w:sz w:val="24"/>
      <w:szCs w:val="24"/>
    </w:rPr>
  </w:style>
  <w:style w:type="character" w:customStyle="1" w:styleId="5Char">
    <w:name w:val="عنوان 5 Char"/>
    <w:basedOn w:val="a0"/>
    <w:link w:val="5"/>
    <w:uiPriority w:val="9"/>
    <w:semiHidden/>
    <w:rsid w:val="0054227D"/>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54227D"/>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54227D"/>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54227D"/>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54227D"/>
    <w:rPr>
      <w:rFonts w:eastAsiaTheme="majorEastAsia" w:cstheme="majorBidi"/>
      <w:color w:val="272727" w:themeColor="text1" w:themeTint="D8"/>
      <w:sz w:val="24"/>
      <w:szCs w:val="24"/>
    </w:rPr>
  </w:style>
  <w:style w:type="paragraph" w:styleId="a5">
    <w:name w:val="Title"/>
    <w:basedOn w:val="a"/>
    <w:next w:val="a"/>
    <w:link w:val="Char1"/>
    <w:uiPriority w:val="10"/>
    <w:qFormat/>
    <w:rsid w:val="005422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5"/>
    <w:uiPriority w:val="10"/>
    <w:rsid w:val="0054227D"/>
    <w:rPr>
      <w:rFonts w:asciiTheme="majorHAnsi" w:eastAsiaTheme="majorEastAsia" w:hAnsiTheme="majorHAnsi" w:cstheme="majorBidi"/>
      <w:spacing w:val="-10"/>
      <w:kern w:val="28"/>
      <w:sz w:val="56"/>
      <w:szCs w:val="56"/>
    </w:rPr>
  </w:style>
  <w:style w:type="paragraph" w:styleId="a6">
    <w:name w:val="Subtitle"/>
    <w:basedOn w:val="a"/>
    <w:next w:val="a"/>
    <w:link w:val="Char2"/>
    <w:uiPriority w:val="11"/>
    <w:qFormat/>
    <w:rsid w:val="0054227D"/>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6"/>
    <w:uiPriority w:val="11"/>
    <w:rsid w:val="0054227D"/>
    <w:rPr>
      <w:rFonts w:eastAsiaTheme="majorEastAsia" w:cstheme="majorBidi"/>
      <w:color w:val="595959" w:themeColor="text1" w:themeTint="A6"/>
      <w:spacing w:val="15"/>
      <w:sz w:val="28"/>
      <w:szCs w:val="28"/>
    </w:rPr>
  </w:style>
  <w:style w:type="paragraph" w:styleId="a7">
    <w:name w:val="Quote"/>
    <w:basedOn w:val="a"/>
    <w:next w:val="a"/>
    <w:link w:val="Char3"/>
    <w:uiPriority w:val="29"/>
    <w:qFormat/>
    <w:rsid w:val="0054227D"/>
    <w:pPr>
      <w:spacing w:before="160" w:line="278" w:lineRule="auto"/>
      <w:jc w:val="center"/>
    </w:pPr>
    <w:rPr>
      <w:i/>
      <w:iCs/>
      <w:color w:val="404040" w:themeColor="text1" w:themeTint="BF"/>
      <w:sz w:val="24"/>
      <w:szCs w:val="24"/>
    </w:rPr>
  </w:style>
  <w:style w:type="character" w:customStyle="1" w:styleId="Char3">
    <w:name w:val="اقتباس Char"/>
    <w:basedOn w:val="a0"/>
    <w:link w:val="a7"/>
    <w:uiPriority w:val="29"/>
    <w:rsid w:val="0054227D"/>
    <w:rPr>
      <w:i/>
      <w:iCs/>
      <w:color w:val="404040" w:themeColor="text1" w:themeTint="BF"/>
      <w:sz w:val="24"/>
      <w:szCs w:val="24"/>
    </w:rPr>
  </w:style>
  <w:style w:type="paragraph" w:styleId="a8">
    <w:name w:val="List Paragraph"/>
    <w:aliases w:val="عنوان رئيسي,سرد الفقراتCxSpLast, سرد الفقرات1, سرد الفقرات11,NumberedList,سرد الفقرات1,سرد الفقرات11"/>
    <w:basedOn w:val="a"/>
    <w:link w:val="Char4"/>
    <w:uiPriority w:val="34"/>
    <w:qFormat/>
    <w:rsid w:val="0054227D"/>
    <w:pPr>
      <w:spacing w:line="278" w:lineRule="auto"/>
      <w:ind w:left="720"/>
      <w:contextualSpacing/>
    </w:pPr>
    <w:rPr>
      <w:sz w:val="24"/>
      <w:szCs w:val="24"/>
    </w:rPr>
  </w:style>
  <w:style w:type="character" w:styleId="a9">
    <w:name w:val="Intense Emphasis"/>
    <w:basedOn w:val="a0"/>
    <w:uiPriority w:val="21"/>
    <w:qFormat/>
    <w:rsid w:val="0054227D"/>
    <w:rPr>
      <w:i/>
      <w:iCs/>
      <w:color w:val="2F5496" w:themeColor="accent1" w:themeShade="BF"/>
    </w:rPr>
  </w:style>
  <w:style w:type="paragraph" w:styleId="aa">
    <w:name w:val="Intense Quote"/>
    <w:basedOn w:val="a"/>
    <w:next w:val="a"/>
    <w:link w:val="Char5"/>
    <w:uiPriority w:val="30"/>
    <w:qFormat/>
    <w:rsid w:val="0054227D"/>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har5">
    <w:name w:val="اقتباس مكثف Char"/>
    <w:basedOn w:val="a0"/>
    <w:link w:val="aa"/>
    <w:uiPriority w:val="30"/>
    <w:rsid w:val="0054227D"/>
    <w:rPr>
      <w:i/>
      <w:iCs/>
      <w:color w:val="2F5496" w:themeColor="accent1" w:themeShade="BF"/>
      <w:sz w:val="24"/>
      <w:szCs w:val="24"/>
    </w:rPr>
  </w:style>
  <w:style w:type="character" w:styleId="ab">
    <w:name w:val="Intense Reference"/>
    <w:basedOn w:val="a0"/>
    <w:uiPriority w:val="32"/>
    <w:qFormat/>
    <w:rsid w:val="0054227D"/>
    <w:rPr>
      <w:b/>
      <w:bCs/>
      <w:smallCaps/>
      <w:color w:val="2F5496" w:themeColor="accent1" w:themeShade="BF"/>
      <w:spacing w:val="5"/>
    </w:rPr>
  </w:style>
  <w:style w:type="character" w:styleId="ac">
    <w:name w:val="Strong"/>
    <w:basedOn w:val="a0"/>
    <w:uiPriority w:val="22"/>
    <w:qFormat/>
    <w:rsid w:val="0054227D"/>
    <w:rPr>
      <w:b/>
      <w:bCs/>
    </w:rPr>
  </w:style>
  <w:style w:type="paragraph" w:styleId="ad">
    <w:name w:val="Normal (Web)"/>
    <w:basedOn w:val="a"/>
    <w:uiPriority w:val="99"/>
    <w:semiHidden/>
    <w:unhideWhenUsed/>
    <w:rsid w:val="0054227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a0"/>
    <w:rsid w:val="0054227D"/>
  </w:style>
  <w:style w:type="character" w:styleId="ae">
    <w:name w:val="Emphasis"/>
    <w:basedOn w:val="a0"/>
    <w:uiPriority w:val="20"/>
    <w:qFormat/>
    <w:rsid w:val="0054227D"/>
    <w:rPr>
      <w:i/>
      <w:iCs/>
    </w:rPr>
  </w:style>
  <w:style w:type="table" w:styleId="af">
    <w:name w:val="Table Grid"/>
    <w:basedOn w:val="a1"/>
    <w:uiPriority w:val="39"/>
    <w:rsid w:val="00371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37198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0">
    <w:name w:val="toc 3"/>
    <w:basedOn w:val="a"/>
    <w:next w:val="a"/>
    <w:autoRedefine/>
    <w:uiPriority w:val="39"/>
    <w:unhideWhenUsed/>
    <w:rsid w:val="00651281"/>
    <w:pPr>
      <w:spacing w:after="100"/>
      <w:ind w:left="440"/>
    </w:pPr>
  </w:style>
  <w:style w:type="paragraph" w:styleId="20">
    <w:name w:val="toc 2"/>
    <w:basedOn w:val="a"/>
    <w:next w:val="a"/>
    <w:autoRedefine/>
    <w:uiPriority w:val="39"/>
    <w:unhideWhenUsed/>
    <w:rsid w:val="00651281"/>
    <w:pPr>
      <w:spacing w:after="100"/>
      <w:ind w:left="220"/>
    </w:pPr>
  </w:style>
  <w:style w:type="paragraph" w:styleId="10">
    <w:name w:val="toc 1"/>
    <w:basedOn w:val="a"/>
    <w:next w:val="a"/>
    <w:autoRedefine/>
    <w:uiPriority w:val="39"/>
    <w:unhideWhenUsed/>
    <w:rsid w:val="00651281"/>
    <w:pPr>
      <w:spacing w:after="100"/>
    </w:pPr>
  </w:style>
  <w:style w:type="paragraph" w:styleId="40">
    <w:name w:val="toc 4"/>
    <w:basedOn w:val="a"/>
    <w:next w:val="a"/>
    <w:autoRedefine/>
    <w:uiPriority w:val="39"/>
    <w:unhideWhenUsed/>
    <w:rsid w:val="00651281"/>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651281"/>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651281"/>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651281"/>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651281"/>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651281"/>
    <w:pPr>
      <w:spacing w:after="100" w:line="278" w:lineRule="auto"/>
      <w:ind w:left="1920"/>
    </w:pPr>
    <w:rPr>
      <w:rFonts w:eastAsiaTheme="minorEastAsia"/>
      <w:sz w:val="24"/>
      <w:szCs w:val="24"/>
    </w:rPr>
  </w:style>
  <w:style w:type="character" w:styleId="Hyperlink">
    <w:name w:val="Hyperlink"/>
    <w:basedOn w:val="a0"/>
    <w:uiPriority w:val="99"/>
    <w:unhideWhenUsed/>
    <w:rsid w:val="00651281"/>
    <w:rPr>
      <w:color w:val="0563C1" w:themeColor="hyperlink"/>
      <w:u w:val="single"/>
    </w:rPr>
  </w:style>
  <w:style w:type="character" w:customStyle="1" w:styleId="11">
    <w:name w:val="إشارة لم يتم حلها1"/>
    <w:basedOn w:val="a0"/>
    <w:uiPriority w:val="99"/>
    <w:semiHidden/>
    <w:unhideWhenUsed/>
    <w:rsid w:val="00651281"/>
    <w:rPr>
      <w:color w:val="605E5C"/>
      <w:shd w:val="clear" w:color="auto" w:fill="E1DFDD"/>
    </w:rPr>
  </w:style>
  <w:style w:type="paragraph" w:customStyle="1" w:styleId="msonormal0">
    <w:name w:val="msonormal"/>
    <w:basedOn w:val="a"/>
    <w:rsid w:val="00896AF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1">
    <w:name w:val="Plain Table 5"/>
    <w:basedOn w:val="a1"/>
    <w:uiPriority w:val="45"/>
    <w:rsid w:val="000011E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1">
    <w:name w:val="Grid Table 6 Colorful Accent 1"/>
    <w:basedOn w:val="a1"/>
    <w:uiPriority w:val="51"/>
    <w:rsid w:val="000011E2"/>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Char4">
    <w:name w:val="سرد الفقرات Char"/>
    <w:aliases w:val="عنوان رئيسي Char,سرد الفقراتCxSpLast Char, سرد الفقرات1 Char, سرد الفقرات11 Char,NumberedList Char,سرد الفقرات1 Char,سرد الفقرات11 Char"/>
    <w:link w:val="a8"/>
    <w:uiPriority w:val="34"/>
    <w:rsid w:val="009C6E53"/>
    <w:rPr>
      <w:sz w:val="24"/>
      <w:szCs w:val="24"/>
    </w:rPr>
  </w:style>
  <w:style w:type="table" w:styleId="6-3">
    <w:name w:val="Grid Table 6 Colorful Accent 3"/>
    <w:basedOn w:val="a1"/>
    <w:uiPriority w:val="51"/>
    <w:rsid w:val="009C6E53"/>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0">
    <w:name w:val="TOC Heading"/>
    <w:basedOn w:val="1"/>
    <w:next w:val="a"/>
    <w:uiPriority w:val="39"/>
    <w:unhideWhenUsed/>
    <w:qFormat/>
    <w:rsid w:val="009C6E53"/>
    <w:pPr>
      <w:bidi w:val="0"/>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75132">
      <w:bodyDiv w:val="1"/>
      <w:marLeft w:val="0"/>
      <w:marRight w:val="0"/>
      <w:marTop w:val="0"/>
      <w:marBottom w:val="0"/>
      <w:divBdr>
        <w:top w:val="none" w:sz="0" w:space="0" w:color="auto"/>
        <w:left w:val="none" w:sz="0" w:space="0" w:color="auto"/>
        <w:bottom w:val="none" w:sz="0" w:space="0" w:color="auto"/>
        <w:right w:val="none" w:sz="0" w:space="0" w:color="auto"/>
      </w:divBdr>
      <w:divsChild>
        <w:div w:id="1653484145">
          <w:marLeft w:val="0"/>
          <w:marRight w:val="0"/>
          <w:marTop w:val="0"/>
          <w:marBottom w:val="0"/>
          <w:divBdr>
            <w:top w:val="none" w:sz="0" w:space="0" w:color="auto"/>
            <w:left w:val="none" w:sz="0" w:space="0" w:color="auto"/>
            <w:bottom w:val="none" w:sz="0" w:space="0" w:color="auto"/>
            <w:right w:val="none" w:sz="0" w:space="0" w:color="auto"/>
          </w:divBdr>
        </w:div>
        <w:div w:id="21246468">
          <w:marLeft w:val="0"/>
          <w:marRight w:val="0"/>
          <w:marTop w:val="0"/>
          <w:marBottom w:val="0"/>
          <w:divBdr>
            <w:top w:val="none" w:sz="0" w:space="0" w:color="auto"/>
            <w:left w:val="none" w:sz="0" w:space="0" w:color="auto"/>
            <w:bottom w:val="none" w:sz="0" w:space="0" w:color="auto"/>
            <w:right w:val="none" w:sz="0" w:space="0" w:color="auto"/>
          </w:divBdr>
        </w:div>
        <w:div w:id="1214004589">
          <w:marLeft w:val="0"/>
          <w:marRight w:val="0"/>
          <w:marTop w:val="0"/>
          <w:marBottom w:val="0"/>
          <w:divBdr>
            <w:top w:val="none" w:sz="0" w:space="0" w:color="auto"/>
            <w:left w:val="none" w:sz="0" w:space="0" w:color="auto"/>
            <w:bottom w:val="none" w:sz="0" w:space="0" w:color="auto"/>
            <w:right w:val="none" w:sz="0" w:space="0" w:color="auto"/>
          </w:divBdr>
        </w:div>
        <w:div w:id="1394087780">
          <w:marLeft w:val="0"/>
          <w:marRight w:val="0"/>
          <w:marTop w:val="0"/>
          <w:marBottom w:val="0"/>
          <w:divBdr>
            <w:top w:val="none" w:sz="0" w:space="0" w:color="auto"/>
            <w:left w:val="none" w:sz="0" w:space="0" w:color="auto"/>
            <w:bottom w:val="none" w:sz="0" w:space="0" w:color="auto"/>
            <w:right w:val="none" w:sz="0" w:space="0" w:color="auto"/>
          </w:divBdr>
        </w:div>
        <w:div w:id="1903129166">
          <w:marLeft w:val="0"/>
          <w:marRight w:val="0"/>
          <w:marTop w:val="0"/>
          <w:marBottom w:val="0"/>
          <w:divBdr>
            <w:top w:val="none" w:sz="0" w:space="0" w:color="auto"/>
            <w:left w:val="none" w:sz="0" w:space="0" w:color="auto"/>
            <w:bottom w:val="none" w:sz="0" w:space="0" w:color="auto"/>
            <w:right w:val="none" w:sz="0" w:space="0" w:color="auto"/>
          </w:divBdr>
        </w:div>
        <w:div w:id="1903909487">
          <w:marLeft w:val="0"/>
          <w:marRight w:val="0"/>
          <w:marTop w:val="0"/>
          <w:marBottom w:val="0"/>
          <w:divBdr>
            <w:top w:val="none" w:sz="0" w:space="0" w:color="auto"/>
            <w:left w:val="none" w:sz="0" w:space="0" w:color="auto"/>
            <w:bottom w:val="none" w:sz="0" w:space="0" w:color="auto"/>
            <w:right w:val="none" w:sz="0" w:space="0" w:color="auto"/>
          </w:divBdr>
        </w:div>
        <w:div w:id="971520909">
          <w:marLeft w:val="0"/>
          <w:marRight w:val="0"/>
          <w:marTop w:val="0"/>
          <w:marBottom w:val="0"/>
          <w:divBdr>
            <w:top w:val="none" w:sz="0" w:space="0" w:color="auto"/>
            <w:left w:val="none" w:sz="0" w:space="0" w:color="auto"/>
            <w:bottom w:val="none" w:sz="0" w:space="0" w:color="auto"/>
            <w:right w:val="none" w:sz="0" w:space="0" w:color="auto"/>
          </w:divBdr>
        </w:div>
        <w:div w:id="1507208910">
          <w:marLeft w:val="0"/>
          <w:marRight w:val="0"/>
          <w:marTop w:val="0"/>
          <w:marBottom w:val="0"/>
          <w:divBdr>
            <w:top w:val="none" w:sz="0" w:space="0" w:color="auto"/>
            <w:left w:val="none" w:sz="0" w:space="0" w:color="auto"/>
            <w:bottom w:val="none" w:sz="0" w:space="0" w:color="auto"/>
            <w:right w:val="none" w:sz="0" w:space="0" w:color="auto"/>
          </w:divBdr>
        </w:div>
        <w:div w:id="2100904387">
          <w:marLeft w:val="0"/>
          <w:marRight w:val="0"/>
          <w:marTop w:val="0"/>
          <w:marBottom w:val="0"/>
          <w:divBdr>
            <w:top w:val="none" w:sz="0" w:space="0" w:color="auto"/>
            <w:left w:val="none" w:sz="0" w:space="0" w:color="auto"/>
            <w:bottom w:val="none" w:sz="0" w:space="0" w:color="auto"/>
            <w:right w:val="none" w:sz="0" w:space="0" w:color="auto"/>
          </w:divBdr>
        </w:div>
        <w:div w:id="291063081">
          <w:marLeft w:val="0"/>
          <w:marRight w:val="0"/>
          <w:marTop w:val="0"/>
          <w:marBottom w:val="0"/>
          <w:divBdr>
            <w:top w:val="none" w:sz="0" w:space="0" w:color="auto"/>
            <w:left w:val="none" w:sz="0" w:space="0" w:color="auto"/>
            <w:bottom w:val="none" w:sz="0" w:space="0" w:color="auto"/>
            <w:right w:val="none" w:sz="0" w:space="0" w:color="auto"/>
          </w:divBdr>
        </w:div>
        <w:div w:id="153449345">
          <w:marLeft w:val="0"/>
          <w:marRight w:val="0"/>
          <w:marTop w:val="0"/>
          <w:marBottom w:val="0"/>
          <w:divBdr>
            <w:top w:val="none" w:sz="0" w:space="0" w:color="auto"/>
            <w:left w:val="none" w:sz="0" w:space="0" w:color="auto"/>
            <w:bottom w:val="none" w:sz="0" w:space="0" w:color="auto"/>
            <w:right w:val="none" w:sz="0" w:space="0" w:color="auto"/>
          </w:divBdr>
        </w:div>
        <w:div w:id="337733384">
          <w:marLeft w:val="0"/>
          <w:marRight w:val="0"/>
          <w:marTop w:val="0"/>
          <w:marBottom w:val="0"/>
          <w:divBdr>
            <w:top w:val="none" w:sz="0" w:space="0" w:color="auto"/>
            <w:left w:val="none" w:sz="0" w:space="0" w:color="auto"/>
            <w:bottom w:val="none" w:sz="0" w:space="0" w:color="auto"/>
            <w:right w:val="none" w:sz="0" w:space="0" w:color="auto"/>
          </w:divBdr>
        </w:div>
        <w:div w:id="1242175313">
          <w:marLeft w:val="0"/>
          <w:marRight w:val="0"/>
          <w:marTop w:val="0"/>
          <w:marBottom w:val="0"/>
          <w:divBdr>
            <w:top w:val="none" w:sz="0" w:space="0" w:color="auto"/>
            <w:left w:val="none" w:sz="0" w:space="0" w:color="auto"/>
            <w:bottom w:val="none" w:sz="0" w:space="0" w:color="auto"/>
            <w:right w:val="none" w:sz="0" w:space="0" w:color="auto"/>
          </w:divBdr>
        </w:div>
      </w:divsChild>
    </w:div>
    <w:div w:id="83231988">
      <w:bodyDiv w:val="1"/>
      <w:marLeft w:val="0"/>
      <w:marRight w:val="0"/>
      <w:marTop w:val="0"/>
      <w:marBottom w:val="0"/>
      <w:divBdr>
        <w:top w:val="none" w:sz="0" w:space="0" w:color="auto"/>
        <w:left w:val="none" w:sz="0" w:space="0" w:color="auto"/>
        <w:bottom w:val="none" w:sz="0" w:space="0" w:color="auto"/>
        <w:right w:val="none" w:sz="0" w:space="0" w:color="auto"/>
      </w:divBdr>
    </w:div>
    <w:div w:id="312300790">
      <w:bodyDiv w:val="1"/>
      <w:marLeft w:val="0"/>
      <w:marRight w:val="0"/>
      <w:marTop w:val="0"/>
      <w:marBottom w:val="0"/>
      <w:divBdr>
        <w:top w:val="none" w:sz="0" w:space="0" w:color="auto"/>
        <w:left w:val="none" w:sz="0" w:space="0" w:color="auto"/>
        <w:bottom w:val="none" w:sz="0" w:space="0" w:color="auto"/>
        <w:right w:val="none" w:sz="0" w:space="0" w:color="auto"/>
      </w:divBdr>
    </w:div>
    <w:div w:id="679239219">
      <w:bodyDiv w:val="1"/>
      <w:marLeft w:val="0"/>
      <w:marRight w:val="0"/>
      <w:marTop w:val="0"/>
      <w:marBottom w:val="0"/>
      <w:divBdr>
        <w:top w:val="none" w:sz="0" w:space="0" w:color="auto"/>
        <w:left w:val="none" w:sz="0" w:space="0" w:color="auto"/>
        <w:bottom w:val="none" w:sz="0" w:space="0" w:color="auto"/>
        <w:right w:val="none" w:sz="0" w:space="0" w:color="auto"/>
      </w:divBdr>
    </w:div>
    <w:div w:id="799299343">
      <w:bodyDiv w:val="1"/>
      <w:marLeft w:val="0"/>
      <w:marRight w:val="0"/>
      <w:marTop w:val="0"/>
      <w:marBottom w:val="0"/>
      <w:divBdr>
        <w:top w:val="none" w:sz="0" w:space="0" w:color="auto"/>
        <w:left w:val="none" w:sz="0" w:space="0" w:color="auto"/>
        <w:bottom w:val="none" w:sz="0" w:space="0" w:color="auto"/>
        <w:right w:val="none" w:sz="0" w:space="0" w:color="auto"/>
      </w:divBdr>
    </w:div>
    <w:div w:id="1042827494">
      <w:bodyDiv w:val="1"/>
      <w:marLeft w:val="0"/>
      <w:marRight w:val="0"/>
      <w:marTop w:val="0"/>
      <w:marBottom w:val="0"/>
      <w:divBdr>
        <w:top w:val="none" w:sz="0" w:space="0" w:color="auto"/>
        <w:left w:val="none" w:sz="0" w:space="0" w:color="auto"/>
        <w:bottom w:val="none" w:sz="0" w:space="0" w:color="auto"/>
        <w:right w:val="none" w:sz="0" w:space="0" w:color="auto"/>
      </w:divBdr>
      <w:divsChild>
        <w:div w:id="540167652">
          <w:marLeft w:val="0"/>
          <w:marRight w:val="0"/>
          <w:marTop w:val="0"/>
          <w:marBottom w:val="0"/>
          <w:divBdr>
            <w:top w:val="none" w:sz="0" w:space="0" w:color="auto"/>
            <w:left w:val="none" w:sz="0" w:space="0" w:color="auto"/>
            <w:bottom w:val="none" w:sz="0" w:space="0" w:color="auto"/>
            <w:right w:val="none" w:sz="0" w:space="0" w:color="auto"/>
          </w:divBdr>
          <w:divsChild>
            <w:div w:id="1499732457">
              <w:marLeft w:val="0"/>
              <w:marRight w:val="0"/>
              <w:marTop w:val="0"/>
              <w:marBottom w:val="0"/>
              <w:divBdr>
                <w:top w:val="none" w:sz="0" w:space="0" w:color="auto"/>
                <w:left w:val="none" w:sz="0" w:space="0" w:color="auto"/>
                <w:bottom w:val="none" w:sz="0" w:space="0" w:color="auto"/>
                <w:right w:val="none" w:sz="0" w:space="0" w:color="auto"/>
              </w:divBdr>
              <w:divsChild>
                <w:div w:id="1805586982">
                  <w:marLeft w:val="0"/>
                  <w:marRight w:val="0"/>
                  <w:marTop w:val="0"/>
                  <w:marBottom w:val="0"/>
                  <w:divBdr>
                    <w:top w:val="none" w:sz="0" w:space="0" w:color="auto"/>
                    <w:left w:val="none" w:sz="0" w:space="0" w:color="auto"/>
                    <w:bottom w:val="none" w:sz="0" w:space="0" w:color="auto"/>
                    <w:right w:val="none" w:sz="0" w:space="0" w:color="auto"/>
                  </w:divBdr>
                  <w:divsChild>
                    <w:div w:id="810631932">
                      <w:marLeft w:val="0"/>
                      <w:marRight w:val="0"/>
                      <w:marTop w:val="0"/>
                      <w:marBottom w:val="0"/>
                      <w:divBdr>
                        <w:top w:val="none" w:sz="0" w:space="0" w:color="auto"/>
                        <w:left w:val="none" w:sz="0" w:space="0" w:color="auto"/>
                        <w:bottom w:val="none" w:sz="0" w:space="0" w:color="auto"/>
                        <w:right w:val="none" w:sz="0" w:space="0" w:color="auto"/>
                      </w:divBdr>
                      <w:divsChild>
                        <w:div w:id="1150319733">
                          <w:marLeft w:val="0"/>
                          <w:marRight w:val="0"/>
                          <w:marTop w:val="0"/>
                          <w:marBottom w:val="0"/>
                          <w:divBdr>
                            <w:top w:val="none" w:sz="0" w:space="0" w:color="auto"/>
                            <w:left w:val="none" w:sz="0" w:space="0" w:color="auto"/>
                            <w:bottom w:val="none" w:sz="0" w:space="0" w:color="auto"/>
                            <w:right w:val="none" w:sz="0" w:space="0" w:color="auto"/>
                          </w:divBdr>
                          <w:divsChild>
                            <w:div w:id="252400217">
                              <w:marLeft w:val="0"/>
                              <w:marRight w:val="0"/>
                              <w:marTop w:val="0"/>
                              <w:marBottom w:val="0"/>
                              <w:divBdr>
                                <w:top w:val="none" w:sz="0" w:space="0" w:color="auto"/>
                                <w:left w:val="none" w:sz="0" w:space="0" w:color="auto"/>
                                <w:bottom w:val="none" w:sz="0" w:space="0" w:color="auto"/>
                                <w:right w:val="none" w:sz="0" w:space="0" w:color="auto"/>
                              </w:divBdr>
                              <w:divsChild>
                                <w:div w:id="49587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4942646">
      <w:bodyDiv w:val="1"/>
      <w:marLeft w:val="0"/>
      <w:marRight w:val="0"/>
      <w:marTop w:val="0"/>
      <w:marBottom w:val="0"/>
      <w:divBdr>
        <w:top w:val="none" w:sz="0" w:space="0" w:color="auto"/>
        <w:left w:val="none" w:sz="0" w:space="0" w:color="auto"/>
        <w:bottom w:val="none" w:sz="0" w:space="0" w:color="auto"/>
        <w:right w:val="none" w:sz="0" w:space="0" w:color="auto"/>
      </w:divBdr>
      <w:divsChild>
        <w:div w:id="219168800">
          <w:marLeft w:val="0"/>
          <w:marRight w:val="0"/>
          <w:marTop w:val="0"/>
          <w:marBottom w:val="0"/>
          <w:divBdr>
            <w:top w:val="none" w:sz="0" w:space="0" w:color="auto"/>
            <w:left w:val="none" w:sz="0" w:space="0" w:color="auto"/>
            <w:bottom w:val="none" w:sz="0" w:space="0" w:color="auto"/>
            <w:right w:val="none" w:sz="0" w:space="0" w:color="auto"/>
          </w:divBdr>
          <w:divsChild>
            <w:div w:id="2124878376">
              <w:marLeft w:val="0"/>
              <w:marRight w:val="0"/>
              <w:marTop w:val="0"/>
              <w:marBottom w:val="0"/>
              <w:divBdr>
                <w:top w:val="none" w:sz="0" w:space="0" w:color="auto"/>
                <w:left w:val="none" w:sz="0" w:space="0" w:color="auto"/>
                <w:bottom w:val="none" w:sz="0" w:space="0" w:color="auto"/>
                <w:right w:val="none" w:sz="0" w:space="0" w:color="auto"/>
              </w:divBdr>
              <w:divsChild>
                <w:div w:id="595480064">
                  <w:marLeft w:val="0"/>
                  <w:marRight w:val="0"/>
                  <w:marTop w:val="0"/>
                  <w:marBottom w:val="0"/>
                  <w:divBdr>
                    <w:top w:val="none" w:sz="0" w:space="0" w:color="auto"/>
                    <w:left w:val="none" w:sz="0" w:space="0" w:color="auto"/>
                    <w:bottom w:val="none" w:sz="0" w:space="0" w:color="auto"/>
                    <w:right w:val="none" w:sz="0" w:space="0" w:color="auto"/>
                  </w:divBdr>
                  <w:divsChild>
                    <w:div w:id="1125730917">
                      <w:marLeft w:val="0"/>
                      <w:marRight w:val="0"/>
                      <w:marTop w:val="0"/>
                      <w:marBottom w:val="0"/>
                      <w:divBdr>
                        <w:top w:val="none" w:sz="0" w:space="0" w:color="auto"/>
                        <w:left w:val="none" w:sz="0" w:space="0" w:color="auto"/>
                        <w:bottom w:val="none" w:sz="0" w:space="0" w:color="auto"/>
                        <w:right w:val="none" w:sz="0" w:space="0" w:color="auto"/>
                      </w:divBdr>
                      <w:divsChild>
                        <w:div w:id="1556161880">
                          <w:marLeft w:val="0"/>
                          <w:marRight w:val="0"/>
                          <w:marTop w:val="0"/>
                          <w:marBottom w:val="0"/>
                          <w:divBdr>
                            <w:top w:val="none" w:sz="0" w:space="0" w:color="auto"/>
                            <w:left w:val="none" w:sz="0" w:space="0" w:color="auto"/>
                            <w:bottom w:val="none" w:sz="0" w:space="0" w:color="auto"/>
                            <w:right w:val="none" w:sz="0" w:space="0" w:color="auto"/>
                          </w:divBdr>
                          <w:divsChild>
                            <w:div w:id="1475753553">
                              <w:marLeft w:val="0"/>
                              <w:marRight w:val="0"/>
                              <w:marTop w:val="0"/>
                              <w:marBottom w:val="0"/>
                              <w:divBdr>
                                <w:top w:val="none" w:sz="0" w:space="0" w:color="auto"/>
                                <w:left w:val="none" w:sz="0" w:space="0" w:color="auto"/>
                                <w:bottom w:val="none" w:sz="0" w:space="0" w:color="auto"/>
                                <w:right w:val="none" w:sz="0" w:space="0" w:color="auto"/>
                              </w:divBdr>
                              <w:divsChild>
                                <w:div w:id="140333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561014">
          <w:marLeft w:val="0"/>
          <w:marRight w:val="0"/>
          <w:marTop w:val="0"/>
          <w:marBottom w:val="0"/>
          <w:divBdr>
            <w:top w:val="none" w:sz="0" w:space="0" w:color="auto"/>
            <w:left w:val="none" w:sz="0" w:space="0" w:color="auto"/>
            <w:bottom w:val="none" w:sz="0" w:space="0" w:color="auto"/>
            <w:right w:val="none" w:sz="0" w:space="0" w:color="auto"/>
          </w:divBdr>
          <w:divsChild>
            <w:div w:id="1329598772">
              <w:marLeft w:val="0"/>
              <w:marRight w:val="0"/>
              <w:marTop w:val="0"/>
              <w:marBottom w:val="0"/>
              <w:divBdr>
                <w:top w:val="none" w:sz="0" w:space="0" w:color="auto"/>
                <w:left w:val="none" w:sz="0" w:space="0" w:color="auto"/>
                <w:bottom w:val="none" w:sz="0" w:space="0" w:color="auto"/>
                <w:right w:val="none" w:sz="0" w:space="0" w:color="auto"/>
              </w:divBdr>
              <w:divsChild>
                <w:div w:id="992759545">
                  <w:marLeft w:val="0"/>
                  <w:marRight w:val="0"/>
                  <w:marTop w:val="0"/>
                  <w:marBottom w:val="0"/>
                  <w:divBdr>
                    <w:top w:val="none" w:sz="0" w:space="0" w:color="auto"/>
                    <w:left w:val="none" w:sz="0" w:space="0" w:color="auto"/>
                    <w:bottom w:val="none" w:sz="0" w:space="0" w:color="auto"/>
                    <w:right w:val="none" w:sz="0" w:space="0" w:color="auto"/>
                  </w:divBdr>
                  <w:divsChild>
                    <w:div w:id="309555866">
                      <w:marLeft w:val="0"/>
                      <w:marRight w:val="0"/>
                      <w:marTop w:val="0"/>
                      <w:marBottom w:val="0"/>
                      <w:divBdr>
                        <w:top w:val="none" w:sz="0" w:space="0" w:color="auto"/>
                        <w:left w:val="none" w:sz="0" w:space="0" w:color="auto"/>
                        <w:bottom w:val="none" w:sz="0" w:space="0" w:color="auto"/>
                        <w:right w:val="none" w:sz="0" w:space="0" w:color="auto"/>
                      </w:divBdr>
                      <w:divsChild>
                        <w:div w:id="61290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516077">
          <w:marLeft w:val="0"/>
          <w:marRight w:val="0"/>
          <w:marTop w:val="0"/>
          <w:marBottom w:val="0"/>
          <w:divBdr>
            <w:top w:val="none" w:sz="0" w:space="0" w:color="auto"/>
            <w:left w:val="none" w:sz="0" w:space="0" w:color="auto"/>
            <w:bottom w:val="none" w:sz="0" w:space="0" w:color="auto"/>
            <w:right w:val="none" w:sz="0" w:space="0" w:color="auto"/>
          </w:divBdr>
          <w:divsChild>
            <w:div w:id="1535381843">
              <w:marLeft w:val="0"/>
              <w:marRight w:val="0"/>
              <w:marTop w:val="0"/>
              <w:marBottom w:val="0"/>
              <w:divBdr>
                <w:top w:val="none" w:sz="0" w:space="0" w:color="auto"/>
                <w:left w:val="none" w:sz="0" w:space="0" w:color="auto"/>
                <w:bottom w:val="none" w:sz="0" w:space="0" w:color="auto"/>
                <w:right w:val="none" w:sz="0" w:space="0" w:color="auto"/>
              </w:divBdr>
              <w:divsChild>
                <w:div w:id="852258372">
                  <w:marLeft w:val="0"/>
                  <w:marRight w:val="0"/>
                  <w:marTop w:val="0"/>
                  <w:marBottom w:val="0"/>
                  <w:divBdr>
                    <w:top w:val="none" w:sz="0" w:space="0" w:color="auto"/>
                    <w:left w:val="none" w:sz="0" w:space="0" w:color="auto"/>
                    <w:bottom w:val="none" w:sz="0" w:space="0" w:color="auto"/>
                    <w:right w:val="none" w:sz="0" w:space="0" w:color="auto"/>
                  </w:divBdr>
                  <w:divsChild>
                    <w:div w:id="2120373385">
                      <w:marLeft w:val="0"/>
                      <w:marRight w:val="0"/>
                      <w:marTop w:val="0"/>
                      <w:marBottom w:val="0"/>
                      <w:divBdr>
                        <w:top w:val="none" w:sz="0" w:space="0" w:color="auto"/>
                        <w:left w:val="none" w:sz="0" w:space="0" w:color="auto"/>
                        <w:bottom w:val="none" w:sz="0" w:space="0" w:color="auto"/>
                        <w:right w:val="none" w:sz="0" w:space="0" w:color="auto"/>
                      </w:divBdr>
                      <w:divsChild>
                        <w:div w:id="233197530">
                          <w:marLeft w:val="0"/>
                          <w:marRight w:val="0"/>
                          <w:marTop w:val="0"/>
                          <w:marBottom w:val="0"/>
                          <w:divBdr>
                            <w:top w:val="none" w:sz="0" w:space="0" w:color="auto"/>
                            <w:left w:val="none" w:sz="0" w:space="0" w:color="auto"/>
                            <w:bottom w:val="none" w:sz="0" w:space="0" w:color="auto"/>
                            <w:right w:val="none" w:sz="0" w:space="0" w:color="auto"/>
                          </w:divBdr>
                          <w:divsChild>
                            <w:div w:id="166330618">
                              <w:marLeft w:val="0"/>
                              <w:marRight w:val="0"/>
                              <w:marTop w:val="0"/>
                              <w:marBottom w:val="0"/>
                              <w:divBdr>
                                <w:top w:val="none" w:sz="0" w:space="0" w:color="auto"/>
                                <w:left w:val="none" w:sz="0" w:space="0" w:color="auto"/>
                                <w:bottom w:val="none" w:sz="0" w:space="0" w:color="auto"/>
                                <w:right w:val="none" w:sz="0" w:space="0" w:color="auto"/>
                              </w:divBdr>
                              <w:divsChild>
                                <w:div w:id="202011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8728416">
      <w:bodyDiv w:val="1"/>
      <w:marLeft w:val="0"/>
      <w:marRight w:val="0"/>
      <w:marTop w:val="0"/>
      <w:marBottom w:val="0"/>
      <w:divBdr>
        <w:top w:val="none" w:sz="0" w:space="0" w:color="auto"/>
        <w:left w:val="none" w:sz="0" w:space="0" w:color="auto"/>
        <w:bottom w:val="none" w:sz="0" w:space="0" w:color="auto"/>
        <w:right w:val="none" w:sz="0" w:space="0" w:color="auto"/>
      </w:divBdr>
    </w:div>
    <w:div w:id="1399355324">
      <w:bodyDiv w:val="1"/>
      <w:marLeft w:val="0"/>
      <w:marRight w:val="0"/>
      <w:marTop w:val="0"/>
      <w:marBottom w:val="0"/>
      <w:divBdr>
        <w:top w:val="none" w:sz="0" w:space="0" w:color="auto"/>
        <w:left w:val="none" w:sz="0" w:space="0" w:color="auto"/>
        <w:bottom w:val="none" w:sz="0" w:space="0" w:color="auto"/>
        <w:right w:val="none" w:sz="0" w:space="0" w:color="auto"/>
      </w:divBdr>
    </w:div>
    <w:div w:id="1542085128">
      <w:bodyDiv w:val="1"/>
      <w:marLeft w:val="0"/>
      <w:marRight w:val="0"/>
      <w:marTop w:val="0"/>
      <w:marBottom w:val="0"/>
      <w:divBdr>
        <w:top w:val="none" w:sz="0" w:space="0" w:color="auto"/>
        <w:left w:val="none" w:sz="0" w:space="0" w:color="auto"/>
        <w:bottom w:val="none" w:sz="0" w:space="0" w:color="auto"/>
        <w:right w:val="none" w:sz="0" w:space="0" w:color="auto"/>
      </w:divBdr>
    </w:div>
    <w:div w:id="1785272650">
      <w:bodyDiv w:val="1"/>
      <w:marLeft w:val="0"/>
      <w:marRight w:val="0"/>
      <w:marTop w:val="0"/>
      <w:marBottom w:val="0"/>
      <w:divBdr>
        <w:top w:val="none" w:sz="0" w:space="0" w:color="auto"/>
        <w:left w:val="none" w:sz="0" w:space="0" w:color="auto"/>
        <w:bottom w:val="none" w:sz="0" w:space="0" w:color="auto"/>
        <w:right w:val="none" w:sz="0" w:space="0" w:color="auto"/>
      </w:divBdr>
    </w:div>
    <w:div w:id="1885175157">
      <w:bodyDiv w:val="1"/>
      <w:marLeft w:val="0"/>
      <w:marRight w:val="0"/>
      <w:marTop w:val="0"/>
      <w:marBottom w:val="0"/>
      <w:divBdr>
        <w:top w:val="none" w:sz="0" w:space="0" w:color="auto"/>
        <w:left w:val="none" w:sz="0" w:space="0" w:color="auto"/>
        <w:bottom w:val="none" w:sz="0" w:space="0" w:color="auto"/>
        <w:right w:val="none" w:sz="0" w:space="0" w:color="auto"/>
      </w:divBdr>
      <w:divsChild>
        <w:div w:id="1983727850">
          <w:marLeft w:val="0"/>
          <w:marRight w:val="0"/>
          <w:marTop w:val="0"/>
          <w:marBottom w:val="0"/>
          <w:divBdr>
            <w:top w:val="none" w:sz="0" w:space="0" w:color="auto"/>
            <w:left w:val="none" w:sz="0" w:space="0" w:color="auto"/>
            <w:bottom w:val="none" w:sz="0" w:space="0" w:color="auto"/>
            <w:right w:val="none" w:sz="0" w:space="0" w:color="auto"/>
          </w:divBdr>
        </w:div>
      </w:divsChild>
    </w:div>
    <w:div w:id="1952661837">
      <w:bodyDiv w:val="1"/>
      <w:marLeft w:val="0"/>
      <w:marRight w:val="0"/>
      <w:marTop w:val="0"/>
      <w:marBottom w:val="0"/>
      <w:divBdr>
        <w:top w:val="none" w:sz="0" w:space="0" w:color="auto"/>
        <w:left w:val="none" w:sz="0" w:space="0" w:color="auto"/>
        <w:bottom w:val="none" w:sz="0" w:space="0" w:color="auto"/>
        <w:right w:val="none" w:sz="0" w:space="0" w:color="auto"/>
      </w:divBdr>
    </w:div>
    <w:div w:id="2135099488">
      <w:bodyDiv w:val="1"/>
      <w:marLeft w:val="0"/>
      <w:marRight w:val="0"/>
      <w:marTop w:val="0"/>
      <w:marBottom w:val="0"/>
      <w:divBdr>
        <w:top w:val="none" w:sz="0" w:space="0" w:color="auto"/>
        <w:left w:val="none" w:sz="0" w:space="0" w:color="auto"/>
        <w:bottom w:val="none" w:sz="0" w:space="0" w:color="auto"/>
        <w:right w:val="none" w:sz="0" w:space="0" w:color="auto"/>
      </w:divBdr>
      <w:divsChild>
        <w:div w:id="1112747548">
          <w:marLeft w:val="0"/>
          <w:marRight w:val="0"/>
          <w:marTop w:val="0"/>
          <w:marBottom w:val="0"/>
          <w:divBdr>
            <w:top w:val="none" w:sz="0" w:space="0" w:color="auto"/>
            <w:left w:val="none" w:sz="0" w:space="0" w:color="auto"/>
            <w:bottom w:val="none" w:sz="0" w:space="0" w:color="auto"/>
            <w:right w:val="none" w:sz="0" w:space="0" w:color="auto"/>
          </w:divBdr>
          <w:divsChild>
            <w:div w:id="680008774">
              <w:marLeft w:val="0"/>
              <w:marRight w:val="0"/>
              <w:marTop w:val="0"/>
              <w:marBottom w:val="0"/>
              <w:divBdr>
                <w:top w:val="none" w:sz="0" w:space="0" w:color="auto"/>
                <w:left w:val="none" w:sz="0" w:space="0" w:color="auto"/>
                <w:bottom w:val="none" w:sz="0" w:space="0" w:color="auto"/>
                <w:right w:val="none" w:sz="0" w:space="0" w:color="auto"/>
              </w:divBdr>
              <w:divsChild>
                <w:div w:id="1771003321">
                  <w:marLeft w:val="0"/>
                  <w:marRight w:val="0"/>
                  <w:marTop w:val="0"/>
                  <w:marBottom w:val="0"/>
                  <w:divBdr>
                    <w:top w:val="none" w:sz="0" w:space="0" w:color="auto"/>
                    <w:left w:val="none" w:sz="0" w:space="0" w:color="auto"/>
                    <w:bottom w:val="none" w:sz="0" w:space="0" w:color="auto"/>
                    <w:right w:val="none" w:sz="0" w:space="0" w:color="auto"/>
                  </w:divBdr>
                  <w:divsChild>
                    <w:div w:id="1025835928">
                      <w:marLeft w:val="0"/>
                      <w:marRight w:val="0"/>
                      <w:marTop w:val="0"/>
                      <w:marBottom w:val="0"/>
                      <w:divBdr>
                        <w:top w:val="none" w:sz="0" w:space="0" w:color="auto"/>
                        <w:left w:val="none" w:sz="0" w:space="0" w:color="auto"/>
                        <w:bottom w:val="none" w:sz="0" w:space="0" w:color="auto"/>
                        <w:right w:val="none" w:sz="0" w:space="0" w:color="auto"/>
                      </w:divBdr>
                      <w:divsChild>
                        <w:div w:id="1404136867">
                          <w:marLeft w:val="0"/>
                          <w:marRight w:val="0"/>
                          <w:marTop w:val="0"/>
                          <w:marBottom w:val="0"/>
                          <w:divBdr>
                            <w:top w:val="none" w:sz="0" w:space="0" w:color="auto"/>
                            <w:left w:val="none" w:sz="0" w:space="0" w:color="auto"/>
                            <w:bottom w:val="none" w:sz="0" w:space="0" w:color="auto"/>
                            <w:right w:val="none" w:sz="0" w:space="0" w:color="auto"/>
                          </w:divBdr>
                          <w:divsChild>
                            <w:div w:id="485778955">
                              <w:marLeft w:val="0"/>
                              <w:marRight w:val="0"/>
                              <w:marTop w:val="0"/>
                              <w:marBottom w:val="0"/>
                              <w:divBdr>
                                <w:top w:val="none" w:sz="0" w:space="0" w:color="auto"/>
                                <w:left w:val="none" w:sz="0" w:space="0" w:color="auto"/>
                                <w:bottom w:val="none" w:sz="0" w:space="0" w:color="auto"/>
                                <w:right w:val="none" w:sz="0" w:space="0" w:color="auto"/>
                              </w:divBdr>
                              <w:divsChild>
                                <w:div w:id="966273478">
                                  <w:marLeft w:val="0"/>
                                  <w:marRight w:val="0"/>
                                  <w:marTop w:val="0"/>
                                  <w:marBottom w:val="0"/>
                                  <w:divBdr>
                                    <w:top w:val="none" w:sz="0" w:space="0" w:color="auto"/>
                                    <w:left w:val="none" w:sz="0" w:space="0" w:color="auto"/>
                                    <w:bottom w:val="none" w:sz="0" w:space="0" w:color="auto"/>
                                    <w:right w:val="none" w:sz="0" w:space="0" w:color="auto"/>
                                  </w:divBdr>
                                  <w:divsChild>
                                    <w:div w:id="193006329">
                                      <w:marLeft w:val="0"/>
                                      <w:marRight w:val="0"/>
                                      <w:marTop w:val="0"/>
                                      <w:marBottom w:val="0"/>
                                      <w:divBdr>
                                        <w:top w:val="none" w:sz="0" w:space="0" w:color="auto"/>
                                        <w:left w:val="none" w:sz="0" w:space="0" w:color="auto"/>
                                        <w:bottom w:val="none" w:sz="0" w:space="0" w:color="auto"/>
                                        <w:right w:val="none" w:sz="0" w:space="0" w:color="auto"/>
                                      </w:divBdr>
                                    </w:div>
                                    <w:div w:id="161966915">
                                      <w:marLeft w:val="0"/>
                                      <w:marRight w:val="0"/>
                                      <w:marTop w:val="0"/>
                                      <w:marBottom w:val="0"/>
                                      <w:divBdr>
                                        <w:top w:val="none" w:sz="0" w:space="0" w:color="auto"/>
                                        <w:left w:val="none" w:sz="0" w:space="0" w:color="auto"/>
                                        <w:bottom w:val="none" w:sz="0" w:space="0" w:color="auto"/>
                                        <w:right w:val="none" w:sz="0" w:space="0" w:color="auto"/>
                                      </w:divBdr>
                                    </w:div>
                                    <w:div w:id="308022508">
                                      <w:marLeft w:val="0"/>
                                      <w:marRight w:val="0"/>
                                      <w:marTop w:val="0"/>
                                      <w:marBottom w:val="0"/>
                                      <w:divBdr>
                                        <w:top w:val="none" w:sz="0" w:space="0" w:color="auto"/>
                                        <w:left w:val="none" w:sz="0" w:space="0" w:color="auto"/>
                                        <w:bottom w:val="none" w:sz="0" w:space="0" w:color="auto"/>
                                        <w:right w:val="none" w:sz="0" w:space="0" w:color="auto"/>
                                      </w:divBdr>
                                    </w:div>
                                    <w:div w:id="459152865">
                                      <w:marLeft w:val="0"/>
                                      <w:marRight w:val="0"/>
                                      <w:marTop w:val="0"/>
                                      <w:marBottom w:val="0"/>
                                      <w:divBdr>
                                        <w:top w:val="none" w:sz="0" w:space="0" w:color="auto"/>
                                        <w:left w:val="none" w:sz="0" w:space="0" w:color="auto"/>
                                        <w:bottom w:val="none" w:sz="0" w:space="0" w:color="auto"/>
                                        <w:right w:val="none" w:sz="0" w:space="0" w:color="auto"/>
                                      </w:divBdr>
                                    </w:div>
                                    <w:div w:id="1596160610">
                                      <w:marLeft w:val="0"/>
                                      <w:marRight w:val="0"/>
                                      <w:marTop w:val="0"/>
                                      <w:marBottom w:val="0"/>
                                      <w:divBdr>
                                        <w:top w:val="none" w:sz="0" w:space="0" w:color="auto"/>
                                        <w:left w:val="none" w:sz="0" w:space="0" w:color="auto"/>
                                        <w:bottom w:val="none" w:sz="0" w:space="0" w:color="auto"/>
                                        <w:right w:val="none" w:sz="0" w:space="0" w:color="auto"/>
                                      </w:divBdr>
                                    </w:div>
                                    <w:div w:id="135802416">
                                      <w:marLeft w:val="0"/>
                                      <w:marRight w:val="0"/>
                                      <w:marTop w:val="0"/>
                                      <w:marBottom w:val="0"/>
                                      <w:divBdr>
                                        <w:top w:val="none" w:sz="0" w:space="0" w:color="auto"/>
                                        <w:left w:val="none" w:sz="0" w:space="0" w:color="auto"/>
                                        <w:bottom w:val="none" w:sz="0" w:space="0" w:color="auto"/>
                                        <w:right w:val="none" w:sz="0" w:space="0" w:color="auto"/>
                                      </w:divBdr>
                                    </w:div>
                                    <w:div w:id="877352629">
                                      <w:marLeft w:val="0"/>
                                      <w:marRight w:val="0"/>
                                      <w:marTop w:val="0"/>
                                      <w:marBottom w:val="0"/>
                                      <w:divBdr>
                                        <w:top w:val="none" w:sz="0" w:space="0" w:color="auto"/>
                                        <w:left w:val="none" w:sz="0" w:space="0" w:color="auto"/>
                                        <w:bottom w:val="none" w:sz="0" w:space="0" w:color="auto"/>
                                        <w:right w:val="none" w:sz="0" w:space="0" w:color="auto"/>
                                      </w:divBdr>
                                    </w:div>
                                    <w:div w:id="890579393">
                                      <w:marLeft w:val="0"/>
                                      <w:marRight w:val="0"/>
                                      <w:marTop w:val="0"/>
                                      <w:marBottom w:val="0"/>
                                      <w:divBdr>
                                        <w:top w:val="none" w:sz="0" w:space="0" w:color="auto"/>
                                        <w:left w:val="none" w:sz="0" w:space="0" w:color="auto"/>
                                        <w:bottom w:val="none" w:sz="0" w:space="0" w:color="auto"/>
                                        <w:right w:val="none" w:sz="0" w:space="0" w:color="auto"/>
                                      </w:divBdr>
                                    </w:div>
                                    <w:div w:id="372920671">
                                      <w:marLeft w:val="0"/>
                                      <w:marRight w:val="0"/>
                                      <w:marTop w:val="0"/>
                                      <w:marBottom w:val="0"/>
                                      <w:divBdr>
                                        <w:top w:val="none" w:sz="0" w:space="0" w:color="auto"/>
                                        <w:left w:val="none" w:sz="0" w:space="0" w:color="auto"/>
                                        <w:bottom w:val="none" w:sz="0" w:space="0" w:color="auto"/>
                                        <w:right w:val="none" w:sz="0" w:space="0" w:color="auto"/>
                                      </w:divBdr>
                                    </w:div>
                                    <w:div w:id="1275094422">
                                      <w:marLeft w:val="0"/>
                                      <w:marRight w:val="0"/>
                                      <w:marTop w:val="0"/>
                                      <w:marBottom w:val="0"/>
                                      <w:divBdr>
                                        <w:top w:val="none" w:sz="0" w:space="0" w:color="auto"/>
                                        <w:left w:val="none" w:sz="0" w:space="0" w:color="auto"/>
                                        <w:bottom w:val="none" w:sz="0" w:space="0" w:color="auto"/>
                                        <w:right w:val="none" w:sz="0" w:space="0" w:color="auto"/>
                                      </w:divBdr>
                                    </w:div>
                                    <w:div w:id="87433177">
                                      <w:marLeft w:val="0"/>
                                      <w:marRight w:val="0"/>
                                      <w:marTop w:val="0"/>
                                      <w:marBottom w:val="0"/>
                                      <w:divBdr>
                                        <w:top w:val="none" w:sz="0" w:space="0" w:color="auto"/>
                                        <w:left w:val="none" w:sz="0" w:space="0" w:color="auto"/>
                                        <w:bottom w:val="none" w:sz="0" w:space="0" w:color="auto"/>
                                        <w:right w:val="none" w:sz="0" w:space="0" w:color="auto"/>
                                      </w:divBdr>
                                    </w:div>
                                    <w:div w:id="1277981458">
                                      <w:marLeft w:val="0"/>
                                      <w:marRight w:val="0"/>
                                      <w:marTop w:val="0"/>
                                      <w:marBottom w:val="0"/>
                                      <w:divBdr>
                                        <w:top w:val="none" w:sz="0" w:space="0" w:color="auto"/>
                                        <w:left w:val="none" w:sz="0" w:space="0" w:color="auto"/>
                                        <w:bottom w:val="none" w:sz="0" w:space="0" w:color="auto"/>
                                        <w:right w:val="none" w:sz="0" w:space="0" w:color="auto"/>
                                      </w:divBdr>
                                    </w:div>
                                    <w:div w:id="331564756">
                                      <w:marLeft w:val="0"/>
                                      <w:marRight w:val="0"/>
                                      <w:marTop w:val="0"/>
                                      <w:marBottom w:val="0"/>
                                      <w:divBdr>
                                        <w:top w:val="none" w:sz="0" w:space="0" w:color="auto"/>
                                        <w:left w:val="none" w:sz="0" w:space="0" w:color="auto"/>
                                        <w:bottom w:val="none" w:sz="0" w:space="0" w:color="auto"/>
                                        <w:right w:val="none" w:sz="0" w:space="0" w:color="auto"/>
                                      </w:divBdr>
                                    </w:div>
                                    <w:div w:id="1979874784">
                                      <w:marLeft w:val="0"/>
                                      <w:marRight w:val="0"/>
                                      <w:marTop w:val="0"/>
                                      <w:marBottom w:val="0"/>
                                      <w:divBdr>
                                        <w:top w:val="none" w:sz="0" w:space="0" w:color="auto"/>
                                        <w:left w:val="none" w:sz="0" w:space="0" w:color="auto"/>
                                        <w:bottom w:val="none" w:sz="0" w:space="0" w:color="auto"/>
                                        <w:right w:val="none" w:sz="0" w:space="0" w:color="auto"/>
                                      </w:divBdr>
                                    </w:div>
                                    <w:div w:id="932012700">
                                      <w:marLeft w:val="0"/>
                                      <w:marRight w:val="0"/>
                                      <w:marTop w:val="0"/>
                                      <w:marBottom w:val="0"/>
                                      <w:divBdr>
                                        <w:top w:val="none" w:sz="0" w:space="0" w:color="auto"/>
                                        <w:left w:val="none" w:sz="0" w:space="0" w:color="auto"/>
                                        <w:bottom w:val="none" w:sz="0" w:space="0" w:color="auto"/>
                                        <w:right w:val="none" w:sz="0" w:space="0" w:color="auto"/>
                                      </w:divBdr>
                                    </w:div>
                                    <w:div w:id="42102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1EE91-D552-4C82-9020-47CCEAAD8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12789</Words>
  <Characters>72901</Characters>
  <Application>Microsoft Office Word</Application>
  <DocSecurity>0</DocSecurity>
  <Lines>607</Lines>
  <Paragraphs>171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Alyami</cp:lastModifiedBy>
  <cp:revision>2</cp:revision>
  <cp:lastPrinted>2026-04-26T15:52:00Z</cp:lastPrinted>
  <dcterms:created xsi:type="dcterms:W3CDTF">2026-04-26T17:30:00Z</dcterms:created>
  <dcterms:modified xsi:type="dcterms:W3CDTF">2026-04-26T17:30:00Z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