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0765E" w14:textId="77777777" w:rsidR="0046245D" w:rsidRPr="00600E38" w:rsidRDefault="0046245D" w:rsidP="005B051A">
      <w:pPr>
        <w:spacing w:line="360" w:lineRule="auto"/>
        <w:rPr>
          <w:rFonts w:asciiTheme="majorBidi" w:hAnsiTheme="majorBidi" w:cstheme="majorBidi"/>
          <w:b/>
          <w:bCs/>
          <w:sz w:val="28"/>
          <w:szCs w:val="28"/>
        </w:rPr>
      </w:pPr>
    </w:p>
    <w:p w14:paraId="4F57DF92" w14:textId="0384D0F7" w:rsidR="00F90BAF" w:rsidRPr="00600E38" w:rsidRDefault="0058529B" w:rsidP="005B051A">
      <w:pPr>
        <w:spacing w:line="360" w:lineRule="auto"/>
        <w:rPr>
          <w:rFonts w:asciiTheme="majorBidi" w:hAnsiTheme="majorBidi" w:cstheme="majorBidi"/>
          <w:b/>
          <w:bCs/>
          <w:sz w:val="28"/>
          <w:szCs w:val="28"/>
        </w:rPr>
      </w:pPr>
      <w:r w:rsidRPr="00600E38">
        <w:rPr>
          <w:rFonts w:asciiTheme="majorBidi" w:hAnsiTheme="majorBidi" w:cstheme="majorBidi"/>
          <w:b/>
          <w:bCs/>
          <w:noProof/>
          <w:sz w:val="28"/>
          <w:szCs w:val="28"/>
        </w:rPr>
        <w:drawing>
          <wp:anchor distT="0" distB="0" distL="114300" distR="114300" simplePos="0" relativeHeight="251659264" behindDoc="0" locked="0" layoutInCell="1" allowOverlap="1" wp14:anchorId="6AECE50D" wp14:editId="5C615CF2">
            <wp:simplePos x="0" y="0"/>
            <wp:positionH relativeFrom="margin">
              <wp:posOffset>4020617</wp:posOffset>
            </wp:positionH>
            <wp:positionV relativeFrom="margin">
              <wp:posOffset>-558698</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Pr="00600E38">
        <w:rPr>
          <w:rFonts w:asciiTheme="majorBidi" w:hAnsiTheme="majorBidi" w:cstheme="majorBidi"/>
          <w:b/>
          <w:bCs/>
          <w:sz w:val="28"/>
          <w:szCs w:val="28"/>
        </w:rPr>
        <w:t>MidOcean</w:t>
      </w:r>
      <w:proofErr w:type="spellEnd"/>
      <w:r w:rsidRPr="00600E38">
        <w:rPr>
          <w:rFonts w:asciiTheme="majorBidi" w:hAnsiTheme="majorBidi" w:cstheme="majorBidi"/>
          <w:b/>
          <w:bCs/>
          <w:sz w:val="28"/>
          <w:szCs w:val="28"/>
        </w:rPr>
        <w:t xml:space="preserve"> University</w:t>
      </w:r>
      <w:r w:rsidRPr="00600E38">
        <w:rPr>
          <w:rFonts w:asciiTheme="majorBidi" w:hAnsiTheme="majorBidi" w:cstheme="majorBidi"/>
          <w:sz w:val="28"/>
          <w:szCs w:val="28"/>
        </w:rPr>
        <w:br/>
      </w:r>
      <w:r w:rsidRPr="00600E38">
        <w:rPr>
          <w:rFonts w:asciiTheme="majorBidi" w:hAnsiTheme="majorBidi" w:cstheme="majorBidi"/>
          <w:b/>
          <w:bCs/>
          <w:sz w:val="28"/>
          <w:szCs w:val="28"/>
        </w:rPr>
        <w:t>College of Management</w:t>
      </w:r>
      <w:r w:rsidRPr="00600E38">
        <w:rPr>
          <w:rFonts w:asciiTheme="majorBidi" w:hAnsiTheme="majorBidi" w:cstheme="majorBidi"/>
          <w:sz w:val="28"/>
          <w:szCs w:val="28"/>
        </w:rPr>
        <w:br/>
      </w:r>
      <w:r w:rsidRPr="00600E38">
        <w:rPr>
          <w:rFonts w:asciiTheme="majorBidi" w:hAnsiTheme="majorBidi" w:cstheme="majorBidi"/>
          <w:b/>
          <w:bCs/>
          <w:sz w:val="28"/>
          <w:szCs w:val="28"/>
        </w:rPr>
        <w:t xml:space="preserve">Department/Specialization: </w:t>
      </w:r>
      <w:r w:rsidRPr="00600E38">
        <w:rPr>
          <w:rFonts w:asciiTheme="majorBidi" w:hAnsiTheme="majorBidi" w:cstheme="majorBidi"/>
          <w:b/>
          <w:bCs/>
          <w:sz w:val="28"/>
          <w:szCs w:val="28"/>
        </w:rPr>
        <w:br/>
        <w:t>Master of Business Administration</w:t>
      </w:r>
    </w:p>
    <w:p w14:paraId="0A1AFDC3" w14:textId="77777777" w:rsidR="0058529B" w:rsidRPr="00600E38" w:rsidRDefault="0058529B" w:rsidP="005B051A">
      <w:pPr>
        <w:spacing w:line="360" w:lineRule="auto"/>
        <w:jc w:val="center"/>
        <w:rPr>
          <w:rFonts w:asciiTheme="majorBidi" w:hAnsiTheme="majorBidi" w:cstheme="majorBidi"/>
          <w:b/>
          <w:bCs/>
          <w:sz w:val="28"/>
          <w:szCs w:val="28"/>
        </w:rPr>
      </w:pPr>
    </w:p>
    <w:p w14:paraId="0B2B5845" w14:textId="56976C1A" w:rsidR="0058529B" w:rsidRPr="00600E38" w:rsidRDefault="0058529B" w:rsidP="005B051A">
      <w:pPr>
        <w:spacing w:line="360" w:lineRule="auto"/>
        <w:jc w:val="center"/>
        <w:rPr>
          <w:rFonts w:asciiTheme="majorBidi" w:hAnsiTheme="majorBidi" w:cstheme="majorBidi"/>
          <w:b/>
          <w:bCs/>
          <w:sz w:val="28"/>
          <w:szCs w:val="28"/>
        </w:rPr>
      </w:pPr>
      <w:r w:rsidRPr="00600E38">
        <w:rPr>
          <w:rFonts w:asciiTheme="majorBidi" w:hAnsiTheme="majorBidi" w:cstheme="majorBidi"/>
          <w:b/>
          <w:bCs/>
          <w:sz w:val="28"/>
          <w:szCs w:val="28"/>
        </w:rPr>
        <w:t>Research Title</w:t>
      </w:r>
    </w:p>
    <w:p w14:paraId="038A948A" w14:textId="39880E76" w:rsidR="0058529B" w:rsidRDefault="00F11AF8" w:rsidP="00A963FD">
      <w:pPr>
        <w:spacing w:line="360" w:lineRule="auto"/>
        <w:jc w:val="center"/>
        <w:rPr>
          <w:rFonts w:asciiTheme="majorBidi" w:hAnsiTheme="majorBidi" w:cstheme="majorBidi"/>
          <w:b/>
          <w:bCs/>
          <w:sz w:val="28"/>
          <w:szCs w:val="28"/>
        </w:rPr>
      </w:pPr>
      <w:r w:rsidRPr="00600E38">
        <w:rPr>
          <w:rFonts w:asciiTheme="majorBidi" w:hAnsiTheme="majorBidi" w:cstheme="majorBidi"/>
          <w:b/>
          <w:bCs/>
          <w:sz w:val="28"/>
          <w:szCs w:val="28"/>
        </w:rPr>
        <w:t>Business Development &amp; Growth Strategies in the Saudi Energy Sector: An Applied Study on Market Entry, Strategic Partnerships, and Innovation</w:t>
      </w:r>
      <w:r w:rsidRPr="00600E38">
        <w:rPr>
          <w:rFonts w:asciiTheme="majorBidi" w:hAnsiTheme="majorBidi" w:cstheme="majorBidi"/>
          <w:b/>
          <w:bCs/>
          <w:sz w:val="28"/>
          <w:szCs w:val="28"/>
        </w:rPr>
        <w:br/>
      </w:r>
      <w:r w:rsidRPr="00600E38">
        <w:rPr>
          <w:rFonts w:asciiTheme="majorBidi" w:hAnsiTheme="majorBidi" w:cstheme="majorBidi"/>
          <w:b/>
          <w:bCs/>
          <w:sz w:val="28"/>
          <w:szCs w:val="28"/>
        </w:rPr>
        <w:br/>
      </w:r>
    </w:p>
    <w:p w14:paraId="0C5F0587" w14:textId="77777777" w:rsidR="00A963FD" w:rsidRPr="00600E38" w:rsidRDefault="00A963FD" w:rsidP="00A963FD">
      <w:pPr>
        <w:spacing w:line="360" w:lineRule="auto"/>
        <w:jc w:val="center"/>
        <w:rPr>
          <w:rFonts w:asciiTheme="majorBidi" w:hAnsiTheme="majorBidi" w:cstheme="majorBidi"/>
          <w:b/>
          <w:bCs/>
          <w:sz w:val="28"/>
          <w:szCs w:val="28"/>
        </w:rPr>
      </w:pPr>
    </w:p>
    <w:p w14:paraId="4E0D1CDD" w14:textId="60634EE4" w:rsidR="0058529B" w:rsidRPr="00600E38" w:rsidRDefault="0058529B" w:rsidP="005B051A">
      <w:pPr>
        <w:spacing w:line="360" w:lineRule="auto"/>
        <w:jc w:val="center"/>
        <w:rPr>
          <w:rFonts w:asciiTheme="majorBidi" w:hAnsiTheme="majorBidi" w:cstheme="majorBidi"/>
          <w:b/>
          <w:bCs/>
          <w:sz w:val="28"/>
          <w:szCs w:val="28"/>
        </w:rPr>
      </w:pPr>
      <w:r w:rsidRPr="00600E38">
        <w:rPr>
          <w:rFonts w:asciiTheme="majorBidi" w:hAnsiTheme="majorBidi" w:cstheme="majorBidi"/>
          <w:b/>
          <w:bCs/>
          <w:sz w:val="28"/>
          <w:szCs w:val="28"/>
        </w:rPr>
        <w:t>Prepared by:</w:t>
      </w:r>
      <w:r w:rsidRPr="00600E38">
        <w:rPr>
          <w:rFonts w:asciiTheme="majorBidi" w:hAnsiTheme="majorBidi" w:cstheme="majorBidi"/>
          <w:b/>
          <w:bCs/>
          <w:sz w:val="28"/>
          <w:szCs w:val="28"/>
        </w:rPr>
        <w:br/>
      </w:r>
      <w:r w:rsidRPr="00600E38">
        <w:rPr>
          <w:rFonts w:asciiTheme="majorBidi" w:hAnsiTheme="majorBidi" w:cstheme="majorBidi"/>
          <w:i/>
          <w:iCs/>
          <w:sz w:val="28"/>
          <w:szCs w:val="28"/>
        </w:rPr>
        <w:t>Ali Ahmed Alsulaiman</w:t>
      </w:r>
    </w:p>
    <w:p w14:paraId="01A89B62" w14:textId="77777777" w:rsidR="00D357F0" w:rsidRPr="00B72404" w:rsidRDefault="00D357F0" w:rsidP="00D357F0">
      <w:pPr>
        <w:spacing w:line="360" w:lineRule="auto"/>
        <w:jc w:val="center"/>
        <w:rPr>
          <w:rFonts w:asciiTheme="majorBidi" w:hAnsiTheme="majorBidi" w:cstheme="majorBidi"/>
          <w:i/>
          <w:iCs/>
          <w:sz w:val="28"/>
          <w:szCs w:val="28"/>
        </w:rPr>
      </w:pPr>
      <w:r>
        <w:rPr>
          <w:rFonts w:asciiTheme="majorBidi" w:hAnsiTheme="majorBidi" w:cstheme="majorBidi"/>
          <w:b/>
          <w:bCs/>
          <w:sz w:val="28"/>
          <w:szCs w:val="28"/>
        </w:rPr>
        <w:t xml:space="preserve">ID# </w:t>
      </w:r>
      <w:r w:rsidRPr="00564DFB">
        <w:rPr>
          <w:rFonts w:asciiTheme="majorBidi" w:hAnsiTheme="majorBidi" w:cs="Times New Roman"/>
          <w:i/>
          <w:iCs/>
          <w:sz w:val="28"/>
          <w:szCs w:val="28"/>
          <w:rtl/>
        </w:rPr>
        <w:t>243001532</w:t>
      </w:r>
    </w:p>
    <w:p w14:paraId="6CBFAEB9" w14:textId="3C5D9D79" w:rsidR="0058529B" w:rsidRPr="00600E38" w:rsidRDefault="0058529B" w:rsidP="005B051A">
      <w:pPr>
        <w:spacing w:line="360" w:lineRule="auto"/>
        <w:jc w:val="center"/>
        <w:rPr>
          <w:rFonts w:asciiTheme="majorBidi" w:hAnsiTheme="majorBidi" w:cstheme="majorBidi"/>
          <w:b/>
          <w:bCs/>
          <w:sz w:val="28"/>
          <w:szCs w:val="28"/>
        </w:rPr>
      </w:pPr>
    </w:p>
    <w:p w14:paraId="597A60F4" w14:textId="4EB49CA3" w:rsidR="0058529B" w:rsidRPr="00600E38" w:rsidRDefault="0058529B" w:rsidP="00014827">
      <w:pPr>
        <w:spacing w:line="360" w:lineRule="auto"/>
        <w:jc w:val="center"/>
        <w:rPr>
          <w:rFonts w:asciiTheme="majorBidi" w:hAnsiTheme="majorBidi" w:cstheme="majorBidi"/>
          <w:b/>
          <w:bCs/>
          <w:sz w:val="28"/>
          <w:szCs w:val="28"/>
        </w:rPr>
      </w:pPr>
      <w:r w:rsidRPr="00600E38">
        <w:rPr>
          <w:rFonts w:asciiTheme="majorBidi" w:hAnsiTheme="majorBidi" w:cstheme="majorBidi"/>
          <w:b/>
          <w:bCs/>
          <w:sz w:val="28"/>
          <w:szCs w:val="28"/>
        </w:rPr>
        <w:t>Supervised by:</w:t>
      </w:r>
      <w:r w:rsidRPr="00600E38">
        <w:rPr>
          <w:rFonts w:asciiTheme="majorBidi" w:hAnsiTheme="majorBidi" w:cstheme="majorBidi"/>
          <w:b/>
          <w:bCs/>
          <w:sz w:val="28"/>
          <w:szCs w:val="28"/>
        </w:rPr>
        <w:br/>
      </w:r>
      <w:r w:rsidRPr="00600E38">
        <w:rPr>
          <w:rFonts w:asciiTheme="majorBidi" w:hAnsiTheme="majorBidi" w:cstheme="majorBidi"/>
          <w:i/>
          <w:iCs/>
          <w:sz w:val="28"/>
          <w:szCs w:val="28"/>
        </w:rPr>
        <w:t>Dr. Al-Faisal Abdulhamid</w:t>
      </w:r>
      <w:r w:rsidRPr="00600E38">
        <w:rPr>
          <w:rFonts w:asciiTheme="majorBidi" w:hAnsiTheme="majorBidi" w:cstheme="majorBidi"/>
          <w:i/>
          <w:iCs/>
          <w:sz w:val="28"/>
          <w:szCs w:val="28"/>
        </w:rPr>
        <w:br/>
        <w:t>Dr. Fayez Jerad</w:t>
      </w:r>
    </w:p>
    <w:p w14:paraId="299A7F4B" w14:textId="77777777" w:rsidR="00396A08" w:rsidRDefault="00396A08" w:rsidP="005B051A">
      <w:pPr>
        <w:spacing w:line="360" w:lineRule="auto"/>
        <w:jc w:val="center"/>
        <w:rPr>
          <w:rFonts w:asciiTheme="majorBidi" w:hAnsiTheme="majorBidi" w:cstheme="majorBidi"/>
          <w:b/>
          <w:bCs/>
          <w:sz w:val="28"/>
          <w:szCs w:val="28"/>
        </w:rPr>
      </w:pPr>
    </w:p>
    <w:p w14:paraId="14B6B1E6" w14:textId="32ACC8A7" w:rsidR="00600E38" w:rsidRDefault="0058529B" w:rsidP="005B051A">
      <w:pPr>
        <w:spacing w:line="360" w:lineRule="auto"/>
        <w:jc w:val="center"/>
        <w:rPr>
          <w:rFonts w:asciiTheme="majorBidi" w:hAnsiTheme="majorBidi" w:cstheme="majorBidi"/>
          <w:i/>
          <w:iCs/>
          <w:sz w:val="28"/>
          <w:szCs w:val="28"/>
        </w:rPr>
      </w:pPr>
      <w:r w:rsidRPr="00600E38">
        <w:rPr>
          <w:rFonts w:asciiTheme="majorBidi" w:hAnsiTheme="majorBidi" w:cstheme="majorBidi"/>
          <w:b/>
          <w:bCs/>
          <w:sz w:val="28"/>
          <w:szCs w:val="28"/>
        </w:rPr>
        <w:t>Academic Year:</w:t>
      </w:r>
      <w:r w:rsidRPr="00600E38">
        <w:rPr>
          <w:rFonts w:asciiTheme="majorBidi" w:hAnsiTheme="majorBidi" w:cstheme="majorBidi"/>
          <w:b/>
          <w:bCs/>
          <w:sz w:val="28"/>
          <w:szCs w:val="28"/>
        </w:rPr>
        <w:br/>
      </w:r>
      <w:r w:rsidRPr="00600E38">
        <w:rPr>
          <w:rFonts w:asciiTheme="majorBidi" w:hAnsiTheme="majorBidi" w:cstheme="majorBidi"/>
          <w:i/>
          <w:iCs/>
          <w:sz w:val="28"/>
          <w:szCs w:val="28"/>
        </w:rPr>
        <w:t>2025</w:t>
      </w:r>
    </w:p>
    <w:p w14:paraId="00A91F06" w14:textId="2E8A8FAD"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Copyright Notice</w:t>
      </w:r>
    </w:p>
    <w:p w14:paraId="7317E2DF"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 Ali Ahmed Alsulaiman, hereby declare that the copyright of this research project is owned by </w:t>
      </w:r>
      <w:proofErr w:type="spellStart"/>
      <w:r w:rsidRPr="00A70905">
        <w:rPr>
          <w:rFonts w:asciiTheme="majorBidi" w:hAnsiTheme="majorBidi" w:cstheme="majorBidi"/>
          <w:sz w:val="24"/>
          <w:szCs w:val="24"/>
        </w:rPr>
        <w:t>MidOcean</w:t>
      </w:r>
      <w:proofErr w:type="spellEnd"/>
      <w:r w:rsidRPr="00A70905">
        <w:rPr>
          <w:rFonts w:asciiTheme="majorBidi" w:hAnsiTheme="majorBidi" w:cstheme="majorBidi"/>
          <w:sz w:val="24"/>
          <w:szCs w:val="24"/>
        </w:rPr>
        <w:t xml:space="preserve"> University. All rights are reserved by the university, and no part of this thesis may be reproduced or utilized in any form without the university’s prior written permission.</w:t>
      </w:r>
    </w:p>
    <w:p w14:paraId="76677FF8" w14:textId="4A400392" w:rsidR="00A70905" w:rsidRPr="00600E38" w:rsidRDefault="00A70905" w:rsidP="005B051A">
      <w:pPr>
        <w:spacing w:line="360" w:lineRule="auto"/>
        <w:rPr>
          <w:rFonts w:asciiTheme="majorBidi" w:hAnsiTheme="majorBidi" w:cstheme="majorBidi"/>
          <w:sz w:val="24"/>
          <w:szCs w:val="24"/>
        </w:rPr>
      </w:pPr>
    </w:p>
    <w:p w14:paraId="04D36653" w14:textId="77777777" w:rsidR="00A70905" w:rsidRPr="00600E38" w:rsidRDefault="00A70905" w:rsidP="005B051A">
      <w:pPr>
        <w:spacing w:line="360" w:lineRule="auto"/>
        <w:rPr>
          <w:rFonts w:asciiTheme="majorBidi" w:hAnsiTheme="majorBidi" w:cstheme="majorBidi"/>
          <w:sz w:val="24"/>
          <w:szCs w:val="24"/>
        </w:rPr>
      </w:pPr>
    </w:p>
    <w:p w14:paraId="24770286" w14:textId="77777777" w:rsidR="00A70905" w:rsidRPr="00600E38" w:rsidRDefault="00A70905" w:rsidP="005B051A">
      <w:pPr>
        <w:spacing w:line="360" w:lineRule="auto"/>
        <w:rPr>
          <w:rFonts w:asciiTheme="majorBidi" w:hAnsiTheme="majorBidi" w:cstheme="majorBidi"/>
          <w:sz w:val="24"/>
          <w:szCs w:val="24"/>
        </w:rPr>
      </w:pPr>
    </w:p>
    <w:p w14:paraId="5413D679" w14:textId="77777777" w:rsidR="00A70905" w:rsidRPr="00600E38" w:rsidRDefault="00A70905" w:rsidP="005B051A">
      <w:pPr>
        <w:spacing w:line="360" w:lineRule="auto"/>
        <w:rPr>
          <w:rFonts w:asciiTheme="majorBidi" w:hAnsiTheme="majorBidi" w:cstheme="majorBidi"/>
          <w:sz w:val="24"/>
          <w:szCs w:val="24"/>
        </w:rPr>
      </w:pPr>
    </w:p>
    <w:p w14:paraId="615C577C" w14:textId="77777777" w:rsidR="00A70905" w:rsidRPr="00600E38" w:rsidRDefault="00A70905" w:rsidP="005B051A">
      <w:pPr>
        <w:spacing w:line="360" w:lineRule="auto"/>
        <w:rPr>
          <w:rFonts w:asciiTheme="majorBidi" w:hAnsiTheme="majorBidi" w:cstheme="majorBidi"/>
          <w:sz w:val="24"/>
          <w:szCs w:val="24"/>
        </w:rPr>
      </w:pPr>
    </w:p>
    <w:p w14:paraId="2BEA5E9D" w14:textId="77777777" w:rsidR="00A70905" w:rsidRPr="00600E38" w:rsidRDefault="00A70905" w:rsidP="005B051A">
      <w:pPr>
        <w:spacing w:line="360" w:lineRule="auto"/>
        <w:rPr>
          <w:rFonts w:asciiTheme="majorBidi" w:hAnsiTheme="majorBidi" w:cstheme="majorBidi"/>
          <w:sz w:val="24"/>
          <w:szCs w:val="24"/>
        </w:rPr>
      </w:pPr>
    </w:p>
    <w:p w14:paraId="006B63EF" w14:textId="77777777" w:rsidR="00A70905" w:rsidRPr="00600E38" w:rsidRDefault="00A70905" w:rsidP="005B051A">
      <w:pPr>
        <w:spacing w:line="360" w:lineRule="auto"/>
        <w:rPr>
          <w:rFonts w:asciiTheme="majorBidi" w:hAnsiTheme="majorBidi" w:cstheme="majorBidi"/>
          <w:sz w:val="24"/>
          <w:szCs w:val="24"/>
        </w:rPr>
      </w:pPr>
    </w:p>
    <w:p w14:paraId="26D52060" w14:textId="77777777" w:rsidR="00A70905" w:rsidRPr="00600E38" w:rsidRDefault="00A70905" w:rsidP="005B051A">
      <w:pPr>
        <w:spacing w:line="360" w:lineRule="auto"/>
        <w:rPr>
          <w:rFonts w:asciiTheme="majorBidi" w:hAnsiTheme="majorBidi" w:cstheme="majorBidi"/>
          <w:sz w:val="24"/>
          <w:szCs w:val="24"/>
        </w:rPr>
      </w:pPr>
    </w:p>
    <w:p w14:paraId="31186630" w14:textId="77777777" w:rsidR="00A70905" w:rsidRPr="00600E38" w:rsidRDefault="00A70905" w:rsidP="005B051A">
      <w:pPr>
        <w:spacing w:line="360" w:lineRule="auto"/>
        <w:rPr>
          <w:rFonts w:asciiTheme="majorBidi" w:hAnsiTheme="majorBidi" w:cstheme="majorBidi"/>
          <w:sz w:val="24"/>
          <w:szCs w:val="24"/>
        </w:rPr>
      </w:pPr>
    </w:p>
    <w:p w14:paraId="14D66633" w14:textId="77777777" w:rsidR="00A70905" w:rsidRPr="00600E38" w:rsidRDefault="00A70905" w:rsidP="005B051A">
      <w:pPr>
        <w:spacing w:line="360" w:lineRule="auto"/>
        <w:rPr>
          <w:rFonts w:asciiTheme="majorBidi" w:hAnsiTheme="majorBidi" w:cstheme="majorBidi"/>
          <w:sz w:val="24"/>
          <w:szCs w:val="24"/>
        </w:rPr>
      </w:pPr>
    </w:p>
    <w:p w14:paraId="38B188AE" w14:textId="77777777" w:rsidR="00A70905" w:rsidRPr="00600E38" w:rsidRDefault="00A70905" w:rsidP="005B051A">
      <w:pPr>
        <w:spacing w:line="360" w:lineRule="auto"/>
        <w:rPr>
          <w:rFonts w:asciiTheme="majorBidi" w:hAnsiTheme="majorBidi" w:cstheme="majorBidi"/>
          <w:sz w:val="24"/>
          <w:szCs w:val="24"/>
        </w:rPr>
      </w:pPr>
    </w:p>
    <w:p w14:paraId="49E52E09" w14:textId="77777777" w:rsidR="00A70905" w:rsidRPr="00600E38" w:rsidRDefault="00A70905" w:rsidP="005B051A">
      <w:pPr>
        <w:spacing w:line="360" w:lineRule="auto"/>
        <w:rPr>
          <w:rFonts w:asciiTheme="majorBidi" w:hAnsiTheme="majorBidi" w:cstheme="majorBidi"/>
          <w:sz w:val="24"/>
          <w:szCs w:val="24"/>
        </w:rPr>
      </w:pPr>
    </w:p>
    <w:p w14:paraId="12CCDEB4" w14:textId="77777777" w:rsidR="00A70905" w:rsidRPr="00600E38" w:rsidRDefault="00A70905" w:rsidP="005B051A">
      <w:pPr>
        <w:spacing w:line="360" w:lineRule="auto"/>
        <w:rPr>
          <w:rFonts w:asciiTheme="majorBidi" w:hAnsiTheme="majorBidi" w:cstheme="majorBidi"/>
          <w:sz w:val="24"/>
          <w:szCs w:val="24"/>
        </w:rPr>
      </w:pPr>
    </w:p>
    <w:p w14:paraId="01B496C1" w14:textId="77777777" w:rsidR="00A70905" w:rsidRPr="00600E38" w:rsidRDefault="00A70905" w:rsidP="005B051A">
      <w:pPr>
        <w:spacing w:line="360" w:lineRule="auto"/>
        <w:rPr>
          <w:rFonts w:asciiTheme="majorBidi" w:hAnsiTheme="majorBidi" w:cstheme="majorBidi"/>
          <w:sz w:val="24"/>
          <w:szCs w:val="24"/>
        </w:rPr>
      </w:pPr>
    </w:p>
    <w:p w14:paraId="3A9D78F2" w14:textId="77777777" w:rsidR="00A70905" w:rsidRPr="00600E38" w:rsidRDefault="00A70905" w:rsidP="005B051A">
      <w:pPr>
        <w:spacing w:line="360" w:lineRule="auto"/>
        <w:rPr>
          <w:rFonts w:asciiTheme="majorBidi" w:hAnsiTheme="majorBidi" w:cstheme="majorBidi"/>
          <w:sz w:val="24"/>
          <w:szCs w:val="24"/>
        </w:rPr>
      </w:pPr>
    </w:p>
    <w:p w14:paraId="125127E5" w14:textId="77777777" w:rsidR="00A70905" w:rsidRPr="00600E38" w:rsidRDefault="00A70905" w:rsidP="005B051A">
      <w:pPr>
        <w:spacing w:line="360" w:lineRule="auto"/>
        <w:rPr>
          <w:rFonts w:asciiTheme="majorBidi" w:hAnsiTheme="majorBidi" w:cstheme="majorBidi"/>
          <w:sz w:val="24"/>
          <w:szCs w:val="24"/>
        </w:rPr>
      </w:pPr>
    </w:p>
    <w:p w14:paraId="58F9B471" w14:textId="77777777" w:rsidR="00A70905" w:rsidRPr="00600E38" w:rsidRDefault="00A70905" w:rsidP="005B051A">
      <w:pPr>
        <w:spacing w:line="360" w:lineRule="auto"/>
        <w:rPr>
          <w:rFonts w:asciiTheme="majorBidi" w:hAnsiTheme="majorBidi" w:cstheme="majorBidi"/>
          <w:sz w:val="24"/>
          <w:szCs w:val="24"/>
        </w:rPr>
      </w:pPr>
    </w:p>
    <w:p w14:paraId="11AD8FB7" w14:textId="77777777" w:rsidR="00A70905" w:rsidRPr="00A70905" w:rsidRDefault="00A70905" w:rsidP="005B051A">
      <w:pPr>
        <w:spacing w:line="360" w:lineRule="auto"/>
        <w:rPr>
          <w:rFonts w:asciiTheme="majorBidi" w:hAnsiTheme="majorBidi" w:cstheme="majorBidi"/>
          <w:sz w:val="24"/>
          <w:szCs w:val="24"/>
        </w:rPr>
      </w:pPr>
    </w:p>
    <w:p w14:paraId="7BA53551"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Abstract (English)</w:t>
      </w:r>
    </w:p>
    <w:p w14:paraId="0BFB57BE" w14:textId="3CE1F629"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This applied research examines how electrical and electronics companies can successfully develop and grow their businesses in Saudi Arabia’s energy sector, with an emphasis on market entry strategies, strategic partnerships, and innovation initiatives. The Saudi energy sector is undergoing transformative changes under </w:t>
      </w:r>
      <w:r w:rsidRPr="00A70905">
        <w:rPr>
          <w:rFonts w:asciiTheme="majorBidi" w:hAnsiTheme="majorBidi" w:cstheme="majorBidi"/>
          <w:i/>
          <w:iCs/>
          <w:sz w:val="24"/>
          <w:szCs w:val="24"/>
        </w:rPr>
        <w:t>Vision 2030</w:t>
      </w:r>
      <w:r w:rsidRPr="00A70905">
        <w:rPr>
          <w:rFonts w:asciiTheme="majorBidi" w:hAnsiTheme="majorBidi" w:cstheme="majorBidi"/>
          <w:sz w:val="24"/>
          <w:szCs w:val="24"/>
        </w:rPr>
        <w:t xml:space="preserve">, creating new opportunities and challenges for firms. The study investigates key factors influencing market entry such as regulatory conditions, localization requirements, and competition and how forming strategic partnerships and fostering innovation can help companies overcome barriers. An applied, multi-method approach was used, combining case studies of four recent company ventures and partnerships in the sector with qualitative insights from industry experts. Analytical frameworks including SWOT, PESTLE, Porter’s Five Forces, and open innovation models were applied to evaluate both the external environment and internal strategic capabilities. The findings highlight that joint ventures and alliances with local partners are often crucial for navigating regulations and achieving localization goals (aligning with programs like the In-Kingdom Total Value Add </w:t>
      </w:r>
      <w:r w:rsidRPr="00A70905">
        <w:rPr>
          <w:rFonts w:asciiTheme="majorBidi" w:hAnsiTheme="majorBidi" w:cstheme="majorBidi"/>
          <w:i/>
          <w:iCs/>
          <w:sz w:val="24"/>
          <w:szCs w:val="24"/>
        </w:rPr>
        <w:t>“IKTVA”</w:t>
      </w:r>
      <w:r w:rsidRPr="00A70905">
        <w:rPr>
          <w:rFonts w:asciiTheme="majorBidi" w:hAnsiTheme="majorBidi" w:cstheme="majorBidi"/>
          <w:sz w:val="24"/>
          <w:szCs w:val="24"/>
        </w:rPr>
        <w:t xml:space="preserve"> initiative). Innovation, especially through collaboration with research institutions and embracing open innovation practices, emerged as a key driver of competitive advantage and long-term growth for companies. The study provides practical recommendations for companies aiming to enter or expand in the Saudi energy market emphasizing gradual localization, proactive partnership-building, and continuous innovation as well as policy recommendations to support a thriving, innovative energy ecosystem. Ultimately, this research contributes to a deeper understanding of effective business development strategies in the context of Saudi Arabia’s evolving energy landscape, supporting the country’s strategic objectives for economic diversification and sustainable growth.</w:t>
      </w:r>
    </w:p>
    <w:p w14:paraId="795426F5" w14:textId="4A6F252A" w:rsidR="00A70905" w:rsidRPr="00600E38" w:rsidRDefault="00A70905" w:rsidP="005B051A">
      <w:pPr>
        <w:spacing w:line="360" w:lineRule="auto"/>
        <w:rPr>
          <w:rFonts w:asciiTheme="majorBidi" w:hAnsiTheme="majorBidi" w:cstheme="majorBidi"/>
          <w:sz w:val="24"/>
          <w:szCs w:val="24"/>
        </w:rPr>
      </w:pPr>
    </w:p>
    <w:p w14:paraId="62AAD3AB" w14:textId="77777777" w:rsidR="00A70905" w:rsidRPr="00600E38" w:rsidRDefault="00A70905" w:rsidP="005B051A">
      <w:pPr>
        <w:spacing w:line="360" w:lineRule="auto"/>
        <w:rPr>
          <w:rFonts w:asciiTheme="majorBidi" w:hAnsiTheme="majorBidi" w:cstheme="majorBidi"/>
          <w:sz w:val="24"/>
          <w:szCs w:val="24"/>
        </w:rPr>
      </w:pPr>
    </w:p>
    <w:p w14:paraId="316FCA62" w14:textId="77777777" w:rsidR="00A70905" w:rsidRPr="00600E38" w:rsidRDefault="00A70905" w:rsidP="005B051A">
      <w:pPr>
        <w:spacing w:line="360" w:lineRule="auto"/>
        <w:rPr>
          <w:rFonts w:asciiTheme="majorBidi" w:hAnsiTheme="majorBidi" w:cstheme="majorBidi"/>
          <w:sz w:val="24"/>
          <w:szCs w:val="24"/>
        </w:rPr>
      </w:pPr>
    </w:p>
    <w:p w14:paraId="1A0E57B5" w14:textId="77777777" w:rsidR="00A70905" w:rsidRPr="00600E38" w:rsidRDefault="00A70905" w:rsidP="005B051A">
      <w:pPr>
        <w:spacing w:line="360" w:lineRule="auto"/>
        <w:rPr>
          <w:rFonts w:asciiTheme="majorBidi" w:hAnsiTheme="majorBidi" w:cstheme="majorBidi"/>
          <w:sz w:val="24"/>
          <w:szCs w:val="24"/>
        </w:rPr>
      </w:pPr>
    </w:p>
    <w:p w14:paraId="19E9D9F4" w14:textId="6D020782" w:rsidR="00A70905" w:rsidRPr="00A70905" w:rsidRDefault="00DE63C3" w:rsidP="005B051A">
      <w:pPr>
        <w:bidi/>
        <w:spacing w:line="360" w:lineRule="auto"/>
        <w:rPr>
          <w:rFonts w:asciiTheme="majorBidi" w:hAnsiTheme="majorBidi" w:cstheme="majorBidi"/>
          <w:sz w:val="24"/>
          <w:szCs w:val="24"/>
        </w:rPr>
      </w:pPr>
      <w:r w:rsidRPr="00DE63C3">
        <w:rPr>
          <w:rFonts w:asciiTheme="majorBidi" w:hAnsiTheme="majorBidi" w:cstheme="majorBidi"/>
          <w:b/>
          <w:bCs/>
          <w:sz w:val="28"/>
          <w:szCs w:val="28"/>
          <w:rtl/>
          <w:lang w:bidi="ar-SY"/>
        </w:rPr>
        <w:lastRenderedPageBreak/>
        <w:t>الملخص</w:t>
      </w:r>
      <w:r w:rsidR="00600E38">
        <w:rPr>
          <w:rFonts w:asciiTheme="majorBidi" w:hAnsiTheme="majorBidi" w:cstheme="majorBidi"/>
          <w:b/>
          <w:bCs/>
          <w:sz w:val="24"/>
          <w:szCs w:val="24"/>
        </w:rPr>
        <w:br/>
      </w:r>
      <w:r w:rsidR="00600E38" w:rsidRPr="00760D3A">
        <w:rPr>
          <w:rFonts w:asciiTheme="majorBidi" w:hAnsiTheme="majorBidi" w:cstheme="majorBidi"/>
          <w:sz w:val="24"/>
          <w:szCs w:val="24"/>
        </w:rPr>
        <w:br/>
      </w:r>
      <w:r w:rsidR="00A70905" w:rsidRPr="00A70905">
        <w:rPr>
          <w:rFonts w:asciiTheme="majorBidi" w:hAnsiTheme="majorBidi" w:cstheme="majorBidi"/>
          <w:sz w:val="24"/>
          <w:szCs w:val="24"/>
          <w:rtl/>
        </w:rPr>
        <w:t>تبحث هذه الدراسة التطبيقية كيفية تمكن شركات الإلكترونيات والكهرباء من تطوير وتنمية أعمالها في قطاع الطاقة السعودي، مع التركيز على استراتيجيات دخول السوق والشراكات الاستراتيجية ومبادرات الابتكار</w:t>
      </w:r>
      <w:r w:rsidR="00A70905" w:rsidRPr="00A70905">
        <w:rPr>
          <w:rFonts w:asciiTheme="majorBidi" w:hAnsiTheme="majorBidi" w:cstheme="majorBidi"/>
          <w:sz w:val="24"/>
          <w:szCs w:val="24"/>
        </w:rPr>
        <w:t xml:space="preserve">. </w:t>
      </w:r>
      <w:r w:rsidR="00A70905" w:rsidRPr="00A70905">
        <w:rPr>
          <w:rFonts w:asciiTheme="majorBidi" w:hAnsiTheme="majorBidi" w:cstheme="majorBidi"/>
          <w:sz w:val="24"/>
          <w:szCs w:val="24"/>
          <w:rtl/>
        </w:rPr>
        <w:t xml:space="preserve">يشهد قطاع الطاقة السعودي تحولات جذرية في ظل رؤية 2030، مما يخلق فرصًا وتحديات جديدة للشركات. وتستكشف الدراسة العوامل الرئيسية المؤثرة في دخول السوق </w:t>
      </w:r>
      <w:r w:rsidR="00E87076">
        <w:rPr>
          <w:rFonts w:asciiTheme="majorBidi" w:hAnsiTheme="majorBidi" w:cstheme="majorBidi" w:hint="cs"/>
          <w:sz w:val="24"/>
          <w:szCs w:val="24"/>
          <w:rtl/>
        </w:rPr>
        <w:t xml:space="preserve">: </w:t>
      </w:r>
      <w:r w:rsidR="00A70905" w:rsidRPr="00A70905">
        <w:rPr>
          <w:rFonts w:asciiTheme="majorBidi" w:hAnsiTheme="majorBidi" w:cstheme="majorBidi"/>
          <w:sz w:val="24"/>
          <w:szCs w:val="24"/>
          <w:rtl/>
        </w:rPr>
        <w:t>مثل البيئة التنظيمية ومتطلبات التوطين والمنافسة وكيف يمكن لتكوين الشراكات الاستراتيجية وتعزيز الابتكار مساعدة الشركات على تجاوز حواجز الدخول. استخدمت الدراسة منهجية تطبيقية متنوعة، جمعت بين دراسات حالة لأربع شركات ومشاريع حديثة في القطاع، بالإضافة إلى رؤى نوعية من خبراء في الصناعة. وتم تطبيق أطر تحليلية تشمل تحليل</w:t>
      </w:r>
      <w:r w:rsidR="00A70905" w:rsidRPr="00A70905">
        <w:rPr>
          <w:rFonts w:asciiTheme="majorBidi" w:hAnsiTheme="majorBidi" w:cstheme="majorBidi"/>
          <w:sz w:val="24"/>
          <w:szCs w:val="24"/>
        </w:rPr>
        <w:t xml:space="preserve"> SWOT </w:t>
      </w:r>
      <w:r w:rsidR="00A70905" w:rsidRPr="00A70905">
        <w:rPr>
          <w:rFonts w:asciiTheme="majorBidi" w:hAnsiTheme="majorBidi" w:cstheme="majorBidi"/>
          <w:sz w:val="24"/>
          <w:szCs w:val="24"/>
          <w:rtl/>
        </w:rPr>
        <w:t>وتحليل</w:t>
      </w:r>
      <w:r w:rsidR="00A70905" w:rsidRPr="00A70905">
        <w:rPr>
          <w:rFonts w:asciiTheme="majorBidi" w:hAnsiTheme="majorBidi" w:cstheme="majorBidi"/>
          <w:sz w:val="24"/>
          <w:szCs w:val="24"/>
        </w:rPr>
        <w:t xml:space="preserve"> PESTLE </w:t>
      </w:r>
      <w:r w:rsidR="00A70905" w:rsidRPr="00A70905">
        <w:rPr>
          <w:rFonts w:asciiTheme="majorBidi" w:hAnsiTheme="majorBidi" w:cstheme="majorBidi"/>
          <w:sz w:val="24"/>
          <w:szCs w:val="24"/>
          <w:rtl/>
        </w:rPr>
        <w:t>ونموذج القوى الخمس ل</w:t>
      </w:r>
      <w:r w:rsidR="005B051A">
        <w:rPr>
          <w:rFonts w:asciiTheme="majorBidi" w:hAnsiTheme="majorBidi" w:cstheme="majorBidi"/>
          <w:sz w:val="24"/>
          <w:szCs w:val="24"/>
        </w:rPr>
        <w:t xml:space="preserve"> </w:t>
      </w:r>
      <w:r w:rsidR="005B051A" w:rsidRPr="00A70905">
        <w:rPr>
          <w:rFonts w:asciiTheme="majorBidi" w:hAnsiTheme="majorBidi" w:cstheme="majorBidi"/>
          <w:sz w:val="24"/>
          <w:szCs w:val="24"/>
        </w:rPr>
        <w:t xml:space="preserve">Porter </w:t>
      </w:r>
      <w:r w:rsidR="00A70905" w:rsidRPr="00A70905">
        <w:rPr>
          <w:rFonts w:asciiTheme="majorBidi" w:hAnsiTheme="majorBidi" w:cstheme="majorBidi"/>
          <w:sz w:val="24"/>
          <w:szCs w:val="24"/>
          <w:rtl/>
        </w:rPr>
        <w:t xml:space="preserve">ونماذج الابتكار المفتوح لتقييم البيئة الخارجية وقدرات الشركات الداخلية. أبرزت النتائج أن تأسيس مشاريع مشتركة وتحالفات مع شركاء محليين يعد عنصرًا حاسمًا في تسهيل دخول السوق والامتثال لمتطلبات التوطين </w:t>
      </w:r>
      <w:r w:rsidR="005B051A">
        <w:rPr>
          <w:rFonts w:asciiTheme="majorBidi" w:hAnsiTheme="majorBidi" w:cstheme="majorBidi"/>
          <w:sz w:val="24"/>
          <w:szCs w:val="24"/>
        </w:rPr>
        <w:t xml:space="preserve"> </w:t>
      </w:r>
      <w:r w:rsidR="00A70905" w:rsidRPr="00A70905">
        <w:rPr>
          <w:rFonts w:asciiTheme="majorBidi" w:hAnsiTheme="majorBidi" w:cstheme="majorBidi"/>
          <w:sz w:val="24"/>
          <w:szCs w:val="24"/>
        </w:rPr>
        <w:t>(</w:t>
      </w:r>
      <w:r w:rsidR="00A70905" w:rsidRPr="00A70905">
        <w:rPr>
          <w:rFonts w:asciiTheme="majorBidi" w:hAnsiTheme="majorBidi" w:cstheme="majorBidi"/>
          <w:sz w:val="24"/>
          <w:szCs w:val="24"/>
          <w:rtl/>
        </w:rPr>
        <w:t xml:space="preserve">تماشيًا مع برامج مثل مبادرة </w:t>
      </w:r>
      <w:r w:rsidR="00A70905" w:rsidRPr="00A70905">
        <w:rPr>
          <w:rFonts w:asciiTheme="majorBidi" w:hAnsiTheme="majorBidi" w:cstheme="majorBidi"/>
          <w:i/>
          <w:iCs/>
          <w:sz w:val="24"/>
          <w:szCs w:val="24"/>
          <w:rtl/>
        </w:rPr>
        <w:t>اكتفاء</w:t>
      </w:r>
      <w:r w:rsidR="00A70905" w:rsidRPr="00A70905">
        <w:rPr>
          <w:rFonts w:asciiTheme="majorBidi" w:hAnsiTheme="majorBidi" w:cstheme="majorBidi"/>
          <w:sz w:val="24"/>
          <w:szCs w:val="24"/>
          <w:rtl/>
        </w:rPr>
        <w:t xml:space="preserve"> لتعزيز القيمة المضافة المحلية). كما تبين أن الابتكار لا سيما عبر التعاون مع المؤسسات البحثية وتبني ممارسات الابتكار المفتوح يمثل عاملًا جوهريًا لتحقيق ميزة تنافسية ودفع النمو على المدى البعيد. تقدم الدراسة توصيات عملية للشركات التي تسعى لدخول أو توسيع نشاطها في سوق الطاقة السعودي، حيث تؤكد على التوطين التدريجي للأعمال، وبناء الشراكات الفعّالة، والالتزام بالابتكار المستمر</w:t>
      </w:r>
      <w:r w:rsidR="00A70905" w:rsidRPr="00A70905">
        <w:rPr>
          <w:rFonts w:asciiTheme="majorBidi" w:hAnsiTheme="majorBidi" w:cstheme="majorBidi"/>
          <w:sz w:val="24"/>
          <w:szCs w:val="24"/>
        </w:rPr>
        <w:t xml:space="preserve">. </w:t>
      </w:r>
      <w:r w:rsidR="00A70905" w:rsidRPr="00A70905">
        <w:rPr>
          <w:rFonts w:asciiTheme="majorBidi" w:hAnsiTheme="majorBidi" w:cstheme="majorBidi"/>
          <w:sz w:val="24"/>
          <w:szCs w:val="24"/>
          <w:rtl/>
        </w:rPr>
        <w:t>كذلك تقدم الدراسة توصيات على مستوى السياسات لدعم بناء منظومة طاقة مبتكرة ومزدهرة. وفي المحصلة، تساهم هذه الدراسة في إثراء الفهم العلمي لاستراتيجيات تطوير الأعمال في سياق المشهد المتطور لقطاع الطاقة السعودي، بما يدعم الأهداف الاستراتيجية للمملكة في تنويع الاقتصاد والنمو المستدام</w:t>
      </w:r>
      <w:r w:rsidR="00A70905" w:rsidRPr="00A70905">
        <w:rPr>
          <w:rFonts w:asciiTheme="majorBidi" w:hAnsiTheme="majorBidi" w:cstheme="majorBidi"/>
          <w:sz w:val="24"/>
          <w:szCs w:val="24"/>
        </w:rPr>
        <w:t>.</w:t>
      </w:r>
    </w:p>
    <w:p w14:paraId="31833E33" w14:textId="35865963" w:rsidR="00A70905" w:rsidRDefault="00A70905" w:rsidP="005B051A">
      <w:pPr>
        <w:spacing w:line="360" w:lineRule="auto"/>
        <w:rPr>
          <w:rFonts w:asciiTheme="majorBidi" w:hAnsiTheme="majorBidi" w:cstheme="majorBidi"/>
          <w:sz w:val="24"/>
          <w:szCs w:val="24"/>
        </w:rPr>
      </w:pPr>
    </w:p>
    <w:p w14:paraId="29A50FB4" w14:textId="77777777" w:rsidR="00760D3A" w:rsidRDefault="00760D3A" w:rsidP="005B051A">
      <w:pPr>
        <w:spacing w:line="360" w:lineRule="auto"/>
        <w:rPr>
          <w:rFonts w:asciiTheme="majorBidi" w:hAnsiTheme="majorBidi" w:cstheme="majorBidi"/>
          <w:sz w:val="24"/>
          <w:szCs w:val="24"/>
        </w:rPr>
      </w:pPr>
    </w:p>
    <w:p w14:paraId="20C79FE7" w14:textId="77777777" w:rsidR="00760D3A" w:rsidRPr="00600E38" w:rsidRDefault="00760D3A" w:rsidP="005B051A">
      <w:pPr>
        <w:spacing w:line="360" w:lineRule="auto"/>
        <w:rPr>
          <w:rFonts w:asciiTheme="majorBidi" w:hAnsiTheme="majorBidi" w:cstheme="majorBidi"/>
          <w:sz w:val="24"/>
          <w:szCs w:val="24"/>
        </w:rPr>
      </w:pPr>
    </w:p>
    <w:p w14:paraId="4D4E1CFF" w14:textId="77777777" w:rsidR="00A70905" w:rsidRPr="00600E38" w:rsidRDefault="00A70905" w:rsidP="005B051A">
      <w:pPr>
        <w:spacing w:line="360" w:lineRule="auto"/>
        <w:rPr>
          <w:rFonts w:asciiTheme="majorBidi" w:hAnsiTheme="majorBidi" w:cstheme="majorBidi"/>
          <w:sz w:val="24"/>
          <w:szCs w:val="24"/>
        </w:rPr>
      </w:pPr>
    </w:p>
    <w:p w14:paraId="53BDF277" w14:textId="77777777" w:rsidR="00A70905" w:rsidRPr="00600E38" w:rsidRDefault="00A70905" w:rsidP="005B051A">
      <w:pPr>
        <w:spacing w:line="360" w:lineRule="auto"/>
        <w:rPr>
          <w:rFonts w:asciiTheme="majorBidi" w:hAnsiTheme="majorBidi" w:cstheme="majorBidi"/>
          <w:sz w:val="24"/>
          <w:szCs w:val="24"/>
        </w:rPr>
      </w:pPr>
    </w:p>
    <w:p w14:paraId="0BA6089B" w14:textId="77777777" w:rsidR="00A70905" w:rsidRPr="00600E38" w:rsidRDefault="00A70905" w:rsidP="005B051A">
      <w:pPr>
        <w:spacing w:line="360" w:lineRule="auto"/>
        <w:rPr>
          <w:rFonts w:asciiTheme="majorBidi" w:hAnsiTheme="majorBidi" w:cstheme="majorBidi"/>
          <w:sz w:val="24"/>
          <w:szCs w:val="24"/>
        </w:rPr>
      </w:pPr>
    </w:p>
    <w:p w14:paraId="7C5A00D2" w14:textId="77777777" w:rsidR="00A70905" w:rsidRPr="00600E38" w:rsidRDefault="00A70905" w:rsidP="005B051A">
      <w:pPr>
        <w:spacing w:line="360" w:lineRule="auto"/>
        <w:rPr>
          <w:rFonts w:asciiTheme="majorBidi" w:hAnsiTheme="majorBidi" w:cstheme="majorBidi"/>
          <w:sz w:val="24"/>
          <w:szCs w:val="24"/>
        </w:rPr>
      </w:pPr>
    </w:p>
    <w:p w14:paraId="2637A8C0" w14:textId="77777777" w:rsidR="00A70905" w:rsidRPr="00600E38" w:rsidRDefault="00A70905" w:rsidP="005B051A">
      <w:pPr>
        <w:spacing w:line="360" w:lineRule="auto"/>
        <w:rPr>
          <w:rFonts w:asciiTheme="majorBidi" w:hAnsiTheme="majorBidi" w:cstheme="majorBidi"/>
          <w:sz w:val="24"/>
          <w:szCs w:val="24"/>
        </w:rPr>
      </w:pPr>
    </w:p>
    <w:p w14:paraId="3CFB1A84" w14:textId="77777777" w:rsidR="00C30E01" w:rsidRDefault="00C30E01" w:rsidP="005B051A">
      <w:pPr>
        <w:spacing w:line="360" w:lineRule="auto"/>
        <w:rPr>
          <w:rFonts w:asciiTheme="majorBidi" w:hAnsiTheme="majorBidi" w:cstheme="majorBidi"/>
          <w:sz w:val="24"/>
          <w:szCs w:val="24"/>
        </w:rPr>
      </w:pPr>
    </w:p>
    <w:p w14:paraId="132DC951" w14:textId="77777777" w:rsidR="00065BEF" w:rsidRPr="00065BEF" w:rsidRDefault="00065BEF" w:rsidP="003460E6">
      <w:pPr>
        <w:spacing w:line="360" w:lineRule="auto"/>
        <w:jc w:val="center"/>
        <w:rPr>
          <w:rFonts w:asciiTheme="majorBidi" w:hAnsiTheme="majorBidi" w:cstheme="majorBidi"/>
          <w:b/>
          <w:bCs/>
          <w:sz w:val="24"/>
          <w:szCs w:val="24"/>
        </w:rPr>
      </w:pPr>
      <w:r w:rsidRPr="00065BEF">
        <w:rPr>
          <w:rFonts w:asciiTheme="majorBidi" w:hAnsiTheme="majorBidi" w:cstheme="majorBidi"/>
          <w:b/>
          <w:bCs/>
          <w:sz w:val="24"/>
          <w:szCs w:val="24"/>
        </w:rPr>
        <w:lastRenderedPageBreak/>
        <w:t>Acknowledgements</w:t>
      </w:r>
    </w:p>
    <w:p w14:paraId="5E90EEB5"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First and foremost, I thank Allah Almighty for granting me the strength, patience, and guidance to complete this journey.</w:t>
      </w:r>
    </w:p>
    <w:p w14:paraId="79227E20"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I extend my deepest gratitude to my father and mother, whose prayers, support, and values have been the foundation of all my achievements.</w:t>
      </w:r>
      <w:r w:rsidRPr="00065BEF">
        <w:rPr>
          <w:rFonts w:asciiTheme="majorBidi" w:hAnsiTheme="majorBidi" w:cstheme="majorBidi"/>
          <w:sz w:val="24"/>
          <w:szCs w:val="24"/>
        </w:rPr>
        <w:br/>
        <w:t>To my beloved wife, thank you for your unwavering patience, sacrifices, and encouragement throughout every stage of this academic endeavor.</w:t>
      </w:r>
      <w:r w:rsidRPr="00065BEF">
        <w:rPr>
          <w:rFonts w:asciiTheme="majorBidi" w:hAnsiTheme="majorBidi" w:cstheme="majorBidi"/>
          <w:sz w:val="24"/>
          <w:szCs w:val="24"/>
        </w:rPr>
        <w:br/>
        <w:t>To my son Muhannad and my two daughters, your love has been a constant source of inspiration and motivation.</w:t>
      </w:r>
      <w:r w:rsidRPr="00065BEF">
        <w:rPr>
          <w:rFonts w:asciiTheme="majorBidi" w:hAnsiTheme="majorBidi" w:cstheme="majorBidi"/>
          <w:sz w:val="24"/>
          <w:szCs w:val="24"/>
        </w:rPr>
        <w:br/>
        <w:t>To my brothers and sister, I am truly grateful for your continued support and belief in me.</w:t>
      </w:r>
    </w:p>
    <w:p w14:paraId="3B4D92CD"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I would also like to sincerely thank my dear friend Ammar Al-Khalifah for his encouragement and constant moral support.</w:t>
      </w:r>
    </w:p>
    <w:p w14:paraId="2A05A202"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 xml:space="preserve">My heartfelt appreciation goes to </w:t>
      </w:r>
      <w:proofErr w:type="spellStart"/>
      <w:r w:rsidRPr="00065BEF">
        <w:rPr>
          <w:rFonts w:asciiTheme="majorBidi" w:hAnsiTheme="majorBidi" w:cstheme="majorBidi"/>
          <w:sz w:val="24"/>
          <w:szCs w:val="24"/>
        </w:rPr>
        <w:t>MidOcean</w:t>
      </w:r>
      <w:proofErr w:type="spellEnd"/>
      <w:r w:rsidRPr="00065BEF">
        <w:rPr>
          <w:rFonts w:asciiTheme="majorBidi" w:hAnsiTheme="majorBidi" w:cstheme="majorBidi"/>
          <w:sz w:val="24"/>
          <w:szCs w:val="24"/>
        </w:rPr>
        <w:t xml:space="preserve"> University, particularly the College of Management, for providing a supportive academic environment and the essential resources that enriched my MBA experience.</w:t>
      </w:r>
    </w:p>
    <w:p w14:paraId="3524F0E8"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I am especially grateful to Dr. Al-Faisal Abdulhamid, my primary supervisor, for his exceptional guidance, mentorship, and insight throughout this research.</w:t>
      </w:r>
      <w:r w:rsidRPr="00065BEF">
        <w:rPr>
          <w:rFonts w:asciiTheme="majorBidi" w:hAnsiTheme="majorBidi" w:cstheme="majorBidi"/>
          <w:sz w:val="24"/>
          <w:szCs w:val="24"/>
        </w:rPr>
        <w:br/>
        <w:t>I also thank Dr. Fayez Jerad, my co-supervisor, for his valuable feedback and support which greatly enhanced the quality of this work.</w:t>
      </w:r>
    </w:p>
    <w:p w14:paraId="653AC760" w14:textId="77777777"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Additional thanks go to the faculty and staff of the College of Management for their meaningful contributions to this academic journey.</w:t>
      </w:r>
    </w:p>
    <w:p w14:paraId="1397A377" w14:textId="3B66C46D" w:rsid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Finally, to everyone who has supported, helped, or inspired me along the way—thank you. This achievement would not have been possible without you.</w:t>
      </w:r>
    </w:p>
    <w:p w14:paraId="0968C21A" w14:textId="77777777" w:rsidR="00065BEF" w:rsidRDefault="00065BEF" w:rsidP="00065BEF">
      <w:pPr>
        <w:spacing w:line="360" w:lineRule="auto"/>
        <w:rPr>
          <w:rFonts w:asciiTheme="majorBidi" w:hAnsiTheme="majorBidi" w:cstheme="majorBidi"/>
          <w:sz w:val="24"/>
          <w:szCs w:val="24"/>
        </w:rPr>
      </w:pPr>
    </w:p>
    <w:p w14:paraId="5A8D0C0D" w14:textId="0ECE18BC" w:rsidR="00065BEF" w:rsidRPr="00065BEF" w:rsidRDefault="00065BEF" w:rsidP="00065BEF">
      <w:pPr>
        <w:spacing w:line="360" w:lineRule="auto"/>
        <w:rPr>
          <w:rFonts w:asciiTheme="majorBidi" w:hAnsiTheme="majorBidi" w:cstheme="majorBidi"/>
          <w:sz w:val="24"/>
          <w:szCs w:val="24"/>
        </w:rPr>
      </w:pPr>
      <w:r w:rsidRPr="00065BEF">
        <w:rPr>
          <w:rFonts w:asciiTheme="majorBidi" w:hAnsiTheme="majorBidi" w:cstheme="majorBidi"/>
          <w:sz w:val="24"/>
          <w:szCs w:val="24"/>
        </w:rPr>
        <w:t>Ali Alsulaiman</w:t>
      </w:r>
    </w:p>
    <w:p w14:paraId="28150734" w14:textId="18D1C06C" w:rsidR="00A70905" w:rsidRPr="00600E38" w:rsidRDefault="00A70905" w:rsidP="005B051A">
      <w:pPr>
        <w:spacing w:line="360" w:lineRule="auto"/>
        <w:rPr>
          <w:rFonts w:asciiTheme="majorBidi" w:hAnsiTheme="majorBidi" w:cstheme="majorBidi"/>
          <w:sz w:val="24"/>
          <w:szCs w:val="24"/>
        </w:rPr>
      </w:pPr>
    </w:p>
    <w:p w14:paraId="786A5739" w14:textId="77777777" w:rsidR="00C30E01" w:rsidRDefault="00C30E01" w:rsidP="005B051A">
      <w:pPr>
        <w:spacing w:line="360" w:lineRule="auto"/>
        <w:rPr>
          <w:rFonts w:asciiTheme="majorBidi" w:hAnsiTheme="majorBidi" w:cstheme="majorBidi"/>
          <w:sz w:val="24"/>
          <w:szCs w:val="24"/>
        </w:rPr>
      </w:pPr>
    </w:p>
    <w:p w14:paraId="5F285821" w14:textId="77777777" w:rsidR="009703FD" w:rsidRPr="00A70905" w:rsidRDefault="009703FD" w:rsidP="009703FD">
      <w:pPr>
        <w:spacing w:line="360" w:lineRule="auto"/>
        <w:rPr>
          <w:rFonts w:asciiTheme="majorBidi" w:hAnsiTheme="majorBidi" w:cstheme="majorBidi"/>
          <w:b/>
          <w:bCs/>
          <w:sz w:val="24"/>
          <w:szCs w:val="24"/>
        </w:rPr>
      </w:pPr>
      <w:bookmarkStart w:id="0" w:name="_Hlk203479817"/>
      <w:r w:rsidRPr="00A70905">
        <w:rPr>
          <w:rFonts w:asciiTheme="majorBidi" w:hAnsiTheme="majorBidi" w:cstheme="majorBidi"/>
          <w:b/>
          <w:bCs/>
          <w:sz w:val="24"/>
          <w:szCs w:val="24"/>
        </w:rPr>
        <w:lastRenderedPageBreak/>
        <w:t>Table of Contents</w:t>
      </w:r>
    </w:p>
    <w:p w14:paraId="29C9D2F7" w14:textId="77777777" w:rsidR="009703FD" w:rsidRPr="00A70905" w:rsidRDefault="009703FD" w:rsidP="009703FD">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Title Page</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i</w:t>
      </w:r>
    </w:p>
    <w:p w14:paraId="3EAF1390" w14:textId="6253B173" w:rsidR="009703FD" w:rsidRPr="00D860AF" w:rsidRDefault="009703FD" w:rsidP="009703FD">
      <w:pPr>
        <w:pStyle w:val="ListParagraph"/>
        <w:numPr>
          <w:ilvl w:val="0"/>
          <w:numId w:val="1"/>
        </w:numPr>
        <w:spacing w:line="360" w:lineRule="auto"/>
        <w:rPr>
          <w:rFonts w:asciiTheme="majorBidi" w:hAnsiTheme="majorBidi" w:cstheme="majorBidi"/>
          <w:b/>
          <w:bCs/>
          <w:sz w:val="24"/>
          <w:szCs w:val="24"/>
        </w:rPr>
      </w:pPr>
      <w:r w:rsidRPr="00D860AF">
        <w:rPr>
          <w:rFonts w:asciiTheme="majorBidi" w:hAnsiTheme="majorBidi" w:cstheme="majorBidi"/>
          <w:b/>
          <w:bCs/>
          <w:sz w:val="24"/>
          <w:szCs w:val="24"/>
        </w:rPr>
        <w:t>Copyright Notice</w:t>
      </w:r>
      <w:r>
        <w:rPr>
          <w:rFonts w:asciiTheme="majorBidi" w:hAnsiTheme="majorBidi" w:cstheme="majorBidi"/>
          <w:b/>
          <w:bCs/>
          <w:sz w:val="24"/>
          <w:szCs w:val="24"/>
        </w:rPr>
        <w:t xml:space="preserve"> </w:t>
      </w:r>
      <w:r w:rsidRPr="009703FD">
        <w:rPr>
          <w:rFonts w:asciiTheme="majorBidi" w:hAnsiTheme="majorBidi" w:cstheme="majorBidi"/>
          <w:sz w:val="24"/>
          <w:szCs w:val="24"/>
        </w:rPr>
        <w:t>………………………………………</w:t>
      </w:r>
      <w:r>
        <w:rPr>
          <w:rFonts w:asciiTheme="majorBidi" w:hAnsiTheme="majorBidi" w:cstheme="majorBidi"/>
          <w:sz w:val="24"/>
          <w:szCs w:val="24"/>
        </w:rPr>
        <w:t>…………...</w:t>
      </w:r>
      <w:r w:rsidRPr="009703FD">
        <w:rPr>
          <w:rFonts w:asciiTheme="majorBidi" w:hAnsiTheme="majorBidi" w:cstheme="majorBidi"/>
          <w:sz w:val="24"/>
          <w:szCs w:val="24"/>
        </w:rPr>
        <w:t xml:space="preserve">. </w:t>
      </w:r>
      <w:r w:rsidRPr="00A70905">
        <w:rPr>
          <w:rFonts w:asciiTheme="majorBidi" w:hAnsiTheme="majorBidi" w:cstheme="majorBidi"/>
          <w:i/>
          <w:iCs/>
          <w:sz w:val="24"/>
          <w:szCs w:val="24"/>
        </w:rPr>
        <w:t>ii</w:t>
      </w:r>
    </w:p>
    <w:p w14:paraId="5D8E603D" w14:textId="77777777" w:rsidR="009703FD" w:rsidRPr="00A70905" w:rsidRDefault="009703FD" w:rsidP="009703FD">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Abstract (English &amp; Arabic)</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i</w:t>
      </w:r>
      <w:r>
        <w:rPr>
          <w:rFonts w:asciiTheme="majorBidi" w:hAnsiTheme="majorBidi" w:cstheme="majorBidi"/>
          <w:i/>
          <w:iCs/>
          <w:sz w:val="24"/>
          <w:szCs w:val="24"/>
        </w:rPr>
        <w:t>ii</w:t>
      </w:r>
    </w:p>
    <w:p w14:paraId="3A0EF7B3" w14:textId="5A4256D9" w:rsidR="009703FD" w:rsidRPr="00A70905" w:rsidRDefault="009703FD" w:rsidP="009703FD">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Acknowledgements</w:t>
      </w:r>
      <w:r w:rsidRPr="00A70905">
        <w:rPr>
          <w:rFonts w:asciiTheme="majorBidi" w:hAnsiTheme="majorBidi" w:cstheme="majorBidi"/>
          <w:sz w:val="24"/>
          <w:szCs w:val="24"/>
        </w:rPr>
        <w:t xml:space="preserve"> ……………………………………………… </w:t>
      </w:r>
      <w:r>
        <w:rPr>
          <w:rFonts w:asciiTheme="majorBidi" w:hAnsiTheme="majorBidi" w:cstheme="majorBidi"/>
          <w:sz w:val="24"/>
          <w:szCs w:val="24"/>
        </w:rPr>
        <w:t>.</w:t>
      </w:r>
      <w:r w:rsidRPr="00A70905">
        <w:rPr>
          <w:rFonts w:asciiTheme="majorBidi" w:hAnsiTheme="majorBidi" w:cstheme="majorBidi"/>
          <w:i/>
          <w:iCs/>
          <w:sz w:val="24"/>
          <w:szCs w:val="24"/>
        </w:rPr>
        <w:t>v</w:t>
      </w:r>
    </w:p>
    <w:p w14:paraId="6B416B50" w14:textId="34AD2D6A" w:rsidR="009703FD" w:rsidRPr="00D860AF" w:rsidRDefault="009703FD" w:rsidP="009703FD">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Table of Contents</w:t>
      </w:r>
      <w:r w:rsidRPr="00A70905">
        <w:rPr>
          <w:rFonts w:asciiTheme="majorBidi" w:hAnsiTheme="majorBidi" w:cstheme="majorBidi"/>
          <w:sz w:val="24"/>
          <w:szCs w:val="24"/>
        </w:rPr>
        <w:t xml:space="preserve"> ……………………………………………</w:t>
      </w:r>
      <w:r>
        <w:rPr>
          <w:rFonts w:asciiTheme="majorBidi" w:hAnsiTheme="majorBidi" w:cstheme="majorBidi"/>
          <w:sz w:val="24"/>
          <w:szCs w:val="24"/>
        </w:rPr>
        <w:t>….</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v</w:t>
      </w:r>
      <w:r w:rsidRPr="00D860AF">
        <w:rPr>
          <w:rFonts w:asciiTheme="majorBidi" w:hAnsiTheme="majorBidi" w:cstheme="majorBidi"/>
          <w:i/>
          <w:iCs/>
          <w:sz w:val="24"/>
          <w:szCs w:val="24"/>
        </w:rPr>
        <w:t>i</w:t>
      </w:r>
    </w:p>
    <w:p w14:paraId="47BEBB5F" w14:textId="155504B8" w:rsidR="009703FD" w:rsidRPr="00D860AF" w:rsidRDefault="009703FD" w:rsidP="009703FD">
      <w:pPr>
        <w:pStyle w:val="ListParagraph"/>
        <w:numPr>
          <w:ilvl w:val="0"/>
          <w:numId w:val="1"/>
        </w:numPr>
        <w:spacing w:line="360" w:lineRule="auto"/>
        <w:rPr>
          <w:rFonts w:asciiTheme="majorBidi" w:hAnsiTheme="majorBidi" w:cstheme="majorBidi"/>
          <w:b/>
          <w:bCs/>
          <w:sz w:val="24"/>
          <w:szCs w:val="24"/>
        </w:rPr>
      </w:pPr>
      <w:r w:rsidRPr="00D860AF">
        <w:rPr>
          <w:rFonts w:asciiTheme="majorBidi" w:hAnsiTheme="majorBidi" w:cstheme="majorBidi"/>
          <w:b/>
          <w:bCs/>
          <w:sz w:val="24"/>
          <w:szCs w:val="24"/>
        </w:rPr>
        <w:t>List of Tables ……………………………………</w:t>
      </w:r>
      <w:r>
        <w:rPr>
          <w:rFonts w:asciiTheme="majorBidi" w:hAnsiTheme="majorBidi" w:cstheme="majorBidi"/>
          <w:b/>
          <w:bCs/>
          <w:sz w:val="24"/>
          <w:szCs w:val="24"/>
        </w:rPr>
        <w:t>……………..</w:t>
      </w:r>
      <w:r w:rsidRPr="00D860AF">
        <w:rPr>
          <w:rFonts w:asciiTheme="majorBidi" w:hAnsiTheme="majorBidi" w:cstheme="majorBidi"/>
          <w:b/>
          <w:bCs/>
          <w:sz w:val="24"/>
          <w:szCs w:val="24"/>
        </w:rPr>
        <w:t xml:space="preserve"> </w:t>
      </w:r>
      <w:r w:rsidR="00A311E6" w:rsidRPr="00A70905">
        <w:rPr>
          <w:rFonts w:asciiTheme="majorBidi" w:hAnsiTheme="majorBidi" w:cstheme="majorBidi"/>
          <w:i/>
          <w:iCs/>
          <w:sz w:val="24"/>
          <w:szCs w:val="24"/>
        </w:rPr>
        <w:t>i</w:t>
      </w:r>
      <w:r w:rsidR="00A311E6" w:rsidRPr="00D860AF">
        <w:rPr>
          <w:rFonts w:asciiTheme="majorBidi" w:hAnsiTheme="majorBidi" w:cstheme="majorBidi"/>
          <w:i/>
          <w:iCs/>
          <w:sz w:val="24"/>
          <w:szCs w:val="24"/>
        </w:rPr>
        <w:t>x</w:t>
      </w:r>
    </w:p>
    <w:p w14:paraId="7B270725" w14:textId="1ABB9ED4" w:rsidR="009703FD" w:rsidRPr="00D860AF" w:rsidRDefault="009703FD" w:rsidP="009703FD">
      <w:pPr>
        <w:pStyle w:val="ListParagraph"/>
        <w:numPr>
          <w:ilvl w:val="0"/>
          <w:numId w:val="1"/>
        </w:numPr>
        <w:spacing w:line="360" w:lineRule="auto"/>
        <w:rPr>
          <w:rFonts w:asciiTheme="majorBidi" w:hAnsiTheme="majorBidi" w:cstheme="majorBidi"/>
          <w:b/>
          <w:bCs/>
          <w:sz w:val="24"/>
          <w:szCs w:val="24"/>
        </w:rPr>
      </w:pPr>
      <w:r w:rsidRPr="00D860AF">
        <w:rPr>
          <w:rFonts w:asciiTheme="majorBidi" w:hAnsiTheme="majorBidi" w:cstheme="majorBidi"/>
          <w:b/>
          <w:bCs/>
          <w:sz w:val="24"/>
          <w:szCs w:val="24"/>
        </w:rPr>
        <w:t>List of Figures ………………………………………</w:t>
      </w:r>
      <w:r>
        <w:rPr>
          <w:rFonts w:asciiTheme="majorBidi" w:hAnsiTheme="majorBidi" w:cstheme="majorBidi"/>
          <w:b/>
          <w:bCs/>
          <w:sz w:val="24"/>
          <w:szCs w:val="24"/>
        </w:rPr>
        <w:t>…………</w:t>
      </w:r>
      <w:r w:rsidRPr="00D860AF">
        <w:rPr>
          <w:rFonts w:asciiTheme="majorBidi" w:hAnsiTheme="majorBidi" w:cstheme="majorBidi"/>
          <w:b/>
          <w:bCs/>
          <w:sz w:val="24"/>
          <w:szCs w:val="24"/>
        </w:rPr>
        <w:t xml:space="preserve"> </w:t>
      </w:r>
      <w:r w:rsidRPr="00A70905">
        <w:rPr>
          <w:rFonts w:asciiTheme="majorBidi" w:hAnsiTheme="majorBidi" w:cstheme="majorBidi"/>
          <w:i/>
          <w:iCs/>
          <w:sz w:val="24"/>
          <w:szCs w:val="24"/>
        </w:rPr>
        <w:t>i</w:t>
      </w:r>
      <w:r w:rsidRPr="00D860AF">
        <w:rPr>
          <w:rFonts w:asciiTheme="majorBidi" w:hAnsiTheme="majorBidi" w:cstheme="majorBidi"/>
          <w:i/>
          <w:iCs/>
          <w:sz w:val="24"/>
          <w:szCs w:val="24"/>
        </w:rPr>
        <w:t>x</w:t>
      </w:r>
    </w:p>
    <w:p w14:paraId="234A1C44" w14:textId="00E0DDAB" w:rsidR="009703FD" w:rsidRPr="00D860AF" w:rsidRDefault="009703FD" w:rsidP="009703FD">
      <w:pPr>
        <w:pStyle w:val="ListParagraph"/>
        <w:numPr>
          <w:ilvl w:val="0"/>
          <w:numId w:val="1"/>
        </w:numPr>
        <w:spacing w:line="360" w:lineRule="auto"/>
        <w:rPr>
          <w:rFonts w:asciiTheme="majorBidi" w:hAnsiTheme="majorBidi" w:cstheme="majorBidi"/>
          <w:b/>
          <w:bCs/>
          <w:sz w:val="24"/>
          <w:szCs w:val="24"/>
        </w:rPr>
      </w:pPr>
      <w:r w:rsidRPr="00D860AF">
        <w:rPr>
          <w:rFonts w:asciiTheme="majorBidi" w:hAnsiTheme="majorBidi" w:cstheme="majorBidi"/>
          <w:b/>
          <w:bCs/>
          <w:sz w:val="24"/>
          <w:szCs w:val="24"/>
        </w:rPr>
        <w:t>List of Terminology ………………………………</w:t>
      </w:r>
      <w:r>
        <w:rPr>
          <w:rFonts w:asciiTheme="majorBidi" w:hAnsiTheme="majorBidi" w:cstheme="majorBidi"/>
          <w:b/>
          <w:bCs/>
          <w:sz w:val="24"/>
          <w:szCs w:val="24"/>
        </w:rPr>
        <w:t xml:space="preserve">…………… </w:t>
      </w:r>
      <w:r w:rsidRPr="00D860AF">
        <w:rPr>
          <w:rFonts w:asciiTheme="majorBidi" w:hAnsiTheme="majorBidi" w:cstheme="majorBidi"/>
          <w:i/>
          <w:iCs/>
          <w:sz w:val="24"/>
          <w:szCs w:val="24"/>
        </w:rPr>
        <w:t>x</w:t>
      </w:r>
    </w:p>
    <w:p w14:paraId="6D2B2010" w14:textId="77777777" w:rsidR="009703FD" w:rsidRPr="00A70905" w:rsidRDefault="009703FD" w:rsidP="009703FD">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List of Abbreviations</w:t>
      </w:r>
      <w:r w:rsidRPr="00A70905">
        <w:rPr>
          <w:rFonts w:asciiTheme="majorBidi" w:hAnsiTheme="majorBidi" w:cstheme="majorBidi"/>
          <w:sz w:val="24"/>
          <w:szCs w:val="24"/>
        </w:rPr>
        <w:t xml:space="preserve"> ………………………………………. </w:t>
      </w:r>
      <w:r w:rsidRPr="00D860AF">
        <w:rPr>
          <w:rFonts w:asciiTheme="majorBidi" w:hAnsiTheme="majorBidi" w:cstheme="majorBidi"/>
          <w:i/>
          <w:iCs/>
          <w:sz w:val="24"/>
          <w:szCs w:val="24"/>
        </w:rPr>
        <w:t>xiv</w:t>
      </w:r>
    </w:p>
    <w:p w14:paraId="6608C965"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1: Introduction</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1</w:t>
      </w:r>
    </w:p>
    <w:p w14:paraId="7A230ABE"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1.1 Background and Context ……………………….. </w:t>
      </w:r>
      <w:r>
        <w:rPr>
          <w:rFonts w:asciiTheme="majorBidi" w:hAnsiTheme="majorBidi" w:cstheme="majorBidi"/>
          <w:i/>
          <w:iCs/>
          <w:sz w:val="24"/>
          <w:szCs w:val="24"/>
        </w:rPr>
        <w:t>4</w:t>
      </w:r>
    </w:p>
    <w:p w14:paraId="2D60202C"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1.2 Problem Statement ……………………………….. </w:t>
      </w:r>
      <w:r>
        <w:rPr>
          <w:rFonts w:asciiTheme="majorBidi" w:hAnsiTheme="majorBidi" w:cstheme="majorBidi"/>
          <w:i/>
          <w:iCs/>
          <w:sz w:val="24"/>
          <w:szCs w:val="24"/>
        </w:rPr>
        <w:t>6</w:t>
      </w:r>
    </w:p>
    <w:p w14:paraId="5BBF0948"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1.3 Importance of the Study …………………………….. </w:t>
      </w:r>
      <w:r>
        <w:rPr>
          <w:rFonts w:asciiTheme="majorBidi" w:hAnsiTheme="majorBidi" w:cstheme="majorBidi"/>
          <w:i/>
          <w:iCs/>
          <w:sz w:val="24"/>
          <w:szCs w:val="24"/>
        </w:rPr>
        <w:t>9</w:t>
      </w:r>
    </w:p>
    <w:p w14:paraId="4AD3EC11"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1.4 Research Objectives …………………………….. </w:t>
      </w:r>
      <w:r>
        <w:rPr>
          <w:rFonts w:asciiTheme="majorBidi" w:hAnsiTheme="majorBidi" w:cstheme="majorBidi"/>
          <w:i/>
          <w:iCs/>
          <w:sz w:val="24"/>
          <w:szCs w:val="24"/>
        </w:rPr>
        <w:t>12</w:t>
      </w:r>
    </w:p>
    <w:p w14:paraId="3F142B02"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1.5 Research Questions …………………………….. </w:t>
      </w:r>
      <w:r>
        <w:rPr>
          <w:rFonts w:asciiTheme="majorBidi" w:hAnsiTheme="majorBidi" w:cstheme="majorBidi"/>
          <w:i/>
          <w:iCs/>
          <w:sz w:val="24"/>
          <w:szCs w:val="24"/>
        </w:rPr>
        <w:t>15</w:t>
      </w:r>
    </w:p>
    <w:p w14:paraId="03C2B59C"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2: Literature Review</w:t>
      </w:r>
      <w:r w:rsidRPr="00A70905">
        <w:rPr>
          <w:rFonts w:asciiTheme="majorBidi" w:hAnsiTheme="majorBidi" w:cstheme="majorBidi"/>
          <w:sz w:val="24"/>
          <w:szCs w:val="24"/>
        </w:rPr>
        <w:t xml:space="preserve"> ………………………………… </w:t>
      </w:r>
      <w:r>
        <w:rPr>
          <w:rFonts w:asciiTheme="majorBidi" w:hAnsiTheme="majorBidi" w:cstheme="majorBidi"/>
          <w:i/>
          <w:iCs/>
          <w:sz w:val="24"/>
          <w:szCs w:val="24"/>
        </w:rPr>
        <w:t>19</w:t>
      </w:r>
    </w:p>
    <w:p w14:paraId="5FBDD8E4"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2.1 Business Development and Market Expansion Strategies ……… </w:t>
      </w:r>
      <w:r>
        <w:rPr>
          <w:rFonts w:asciiTheme="majorBidi" w:hAnsiTheme="majorBidi" w:cstheme="majorBidi"/>
          <w:i/>
          <w:iCs/>
          <w:sz w:val="24"/>
          <w:szCs w:val="24"/>
        </w:rPr>
        <w:t>21</w:t>
      </w:r>
    </w:p>
    <w:p w14:paraId="11369E03"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2.2 Saudi Energy Market Trends and Regulatory Landscape ……… </w:t>
      </w:r>
      <w:r>
        <w:rPr>
          <w:rFonts w:asciiTheme="majorBidi" w:hAnsiTheme="majorBidi" w:cstheme="majorBidi"/>
          <w:i/>
          <w:iCs/>
          <w:sz w:val="24"/>
          <w:szCs w:val="24"/>
        </w:rPr>
        <w:t>24</w:t>
      </w:r>
    </w:p>
    <w:p w14:paraId="7758A43D"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2.3 Role of the Public Investment Fund (PIF) in Sector Growth … </w:t>
      </w:r>
      <w:r w:rsidRPr="00A70905">
        <w:rPr>
          <w:rFonts w:asciiTheme="majorBidi" w:hAnsiTheme="majorBidi" w:cstheme="majorBidi"/>
          <w:i/>
          <w:iCs/>
          <w:sz w:val="24"/>
          <w:szCs w:val="24"/>
        </w:rPr>
        <w:t>2</w:t>
      </w:r>
      <w:r>
        <w:rPr>
          <w:rFonts w:asciiTheme="majorBidi" w:hAnsiTheme="majorBidi" w:cstheme="majorBidi"/>
          <w:i/>
          <w:iCs/>
          <w:sz w:val="24"/>
          <w:szCs w:val="24"/>
        </w:rPr>
        <w:t>6</w:t>
      </w:r>
    </w:p>
    <w:p w14:paraId="1EA1BF7C"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2.4 Case Studies of Successful Market Entry (Overview) ………… </w:t>
      </w:r>
      <w:r w:rsidRPr="00A70905">
        <w:rPr>
          <w:rFonts w:asciiTheme="majorBidi" w:hAnsiTheme="majorBidi" w:cstheme="majorBidi"/>
          <w:i/>
          <w:iCs/>
          <w:sz w:val="24"/>
          <w:szCs w:val="24"/>
        </w:rPr>
        <w:t>2</w:t>
      </w:r>
      <w:r>
        <w:rPr>
          <w:rFonts w:asciiTheme="majorBidi" w:hAnsiTheme="majorBidi" w:cstheme="majorBidi"/>
          <w:i/>
          <w:iCs/>
          <w:sz w:val="24"/>
          <w:szCs w:val="24"/>
        </w:rPr>
        <w:t>9</w:t>
      </w:r>
    </w:p>
    <w:p w14:paraId="3E3BAD52"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2.5 Strategic Partnerships and Business Scaling …………………… </w:t>
      </w:r>
      <w:r>
        <w:rPr>
          <w:rFonts w:asciiTheme="majorBidi" w:hAnsiTheme="majorBidi" w:cstheme="majorBidi"/>
          <w:i/>
          <w:iCs/>
          <w:sz w:val="24"/>
          <w:szCs w:val="24"/>
        </w:rPr>
        <w:t>33</w:t>
      </w:r>
    </w:p>
    <w:p w14:paraId="12750240"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2.6 Innovation and Open Innovation in the Energy Sector ……… </w:t>
      </w:r>
      <w:r w:rsidRPr="00A70905">
        <w:rPr>
          <w:rFonts w:asciiTheme="majorBidi" w:hAnsiTheme="majorBidi" w:cstheme="majorBidi"/>
          <w:i/>
          <w:iCs/>
          <w:sz w:val="24"/>
          <w:szCs w:val="24"/>
        </w:rPr>
        <w:t>3</w:t>
      </w:r>
      <w:r>
        <w:rPr>
          <w:rFonts w:asciiTheme="majorBidi" w:hAnsiTheme="majorBidi" w:cstheme="majorBidi"/>
          <w:i/>
          <w:iCs/>
          <w:sz w:val="24"/>
          <w:szCs w:val="24"/>
        </w:rPr>
        <w:t>5</w:t>
      </w:r>
    </w:p>
    <w:p w14:paraId="2DE41476"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lastRenderedPageBreak/>
        <w:t xml:space="preserve">2.7 Analytical Frameworks (SWOT, PESTLE, Five Forces) …… </w:t>
      </w:r>
      <w:r w:rsidRPr="00A70905">
        <w:rPr>
          <w:rFonts w:asciiTheme="majorBidi" w:hAnsiTheme="majorBidi" w:cstheme="majorBidi"/>
          <w:i/>
          <w:iCs/>
          <w:sz w:val="24"/>
          <w:szCs w:val="24"/>
        </w:rPr>
        <w:t>3</w:t>
      </w:r>
      <w:r>
        <w:rPr>
          <w:rFonts w:asciiTheme="majorBidi" w:hAnsiTheme="majorBidi" w:cstheme="majorBidi"/>
          <w:i/>
          <w:iCs/>
          <w:sz w:val="24"/>
          <w:szCs w:val="24"/>
        </w:rPr>
        <w:t>8</w:t>
      </w:r>
    </w:p>
    <w:p w14:paraId="21F1CA16"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2.8 Review of Previous Studies and Research Gap …………….. </w:t>
      </w:r>
      <w:r>
        <w:rPr>
          <w:rFonts w:asciiTheme="majorBidi" w:hAnsiTheme="majorBidi" w:cstheme="majorBidi"/>
          <w:i/>
          <w:iCs/>
          <w:sz w:val="24"/>
          <w:szCs w:val="24"/>
        </w:rPr>
        <w:t>41</w:t>
      </w:r>
    </w:p>
    <w:p w14:paraId="53E271F4"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3: Theoretical Framework</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4</w:t>
      </w:r>
      <w:r>
        <w:rPr>
          <w:rFonts w:asciiTheme="majorBidi" w:hAnsiTheme="majorBidi" w:cstheme="majorBidi"/>
          <w:i/>
          <w:iCs/>
          <w:sz w:val="24"/>
          <w:szCs w:val="24"/>
        </w:rPr>
        <w:t>6</w:t>
      </w:r>
    </w:p>
    <w:p w14:paraId="313A6DD1"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4: Research Methodology</w:t>
      </w:r>
      <w:r w:rsidRPr="00A70905">
        <w:rPr>
          <w:rFonts w:asciiTheme="majorBidi" w:hAnsiTheme="majorBidi" w:cstheme="majorBidi"/>
          <w:sz w:val="24"/>
          <w:szCs w:val="24"/>
        </w:rPr>
        <w:t xml:space="preserve"> ………………………… </w:t>
      </w:r>
      <w:r>
        <w:rPr>
          <w:rFonts w:asciiTheme="majorBidi" w:hAnsiTheme="majorBidi" w:cstheme="majorBidi"/>
          <w:i/>
          <w:iCs/>
          <w:sz w:val="24"/>
          <w:szCs w:val="24"/>
        </w:rPr>
        <w:t>50</w:t>
      </w:r>
    </w:p>
    <w:p w14:paraId="2993AC0A"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4.1 Research Design and Approach …………………….. </w:t>
      </w:r>
      <w:r>
        <w:rPr>
          <w:rFonts w:asciiTheme="majorBidi" w:hAnsiTheme="majorBidi" w:cstheme="majorBidi"/>
          <w:i/>
          <w:iCs/>
          <w:sz w:val="24"/>
          <w:szCs w:val="24"/>
        </w:rPr>
        <w:t>51</w:t>
      </w:r>
    </w:p>
    <w:p w14:paraId="213BCF8E"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4.2 Population and Sample of the Study ………………………. </w:t>
      </w:r>
      <w:r w:rsidRPr="00A70905">
        <w:rPr>
          <w:rFonts w:asciiTheme="majorBidi" w:hAnsiTheme="majorBidi" w:cstheme="majorBidi"/>
          <w:i/>
          <w:iCs/>
          <w:sz w:val="24"/>
          <w:szCs w:val="24"/>
        </w:rPr>
        <w:t>5</w:t>
      </w:r>
      <w:r>
        <w:rPr>
          <w:rFonts w:asciiTheme="majorBidi" w:hAnsiTheme="majorBidi" w:cstheme="majorBidi"/>
          <w:i/>
          <w:iCs/>
          <w:sz w:val="24"/>
          <w:szCs w:val="24"/>
        </w:rPr>
        <w:t>2</w:t>
      </w:r>
    </w:p>
    <w:p w14:paraId="0E963ED9"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4.3 Data Collection Methods ……………………………… </w:t>
      </w:r>
      <w:r>
        <w:rPr>
          <w:rFonts w:asciiTheme="majorBidi" w:hAnsiTheme="majorBidi" w:cstheme="majorBidi"/>
          <w:i/>
          <w:iCs/>
          <w:sz w:val="24"/>
          <w:szCs w:val="24"/>
        </w:rPr>
        <w:t>55</w:t>
      </w:r>
    </w:p>
    <w:p w14:paraId="34F5D084"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4.4 Data Analysis Procedures …………………………… </w:t>
      </w:r>
      <w:r>
        <w:rPr>
          <w:rFonts w:asciiTheme="majorBidi" w:hAnsiTheme="majorBidi" w:cstheme="majorBidi"/>
          <w:i/>
          <w:iCs/>
          <w:sz w:val="24"/>
          <w:szCs w:val="24"/>
        </w:rPr>
        <w:t>55</w:t>
      </w:r>
    </w:p>
    <w:p w14:paraId="554D2EF2"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4.5 Scope and Delimitations …………………………….. </w:t>
      </w:r>
      <w:r>
        <w:rPr>
          <w:rFonts w:asciiTheme="majorBidi" w:hAnsiTheme="majorBidi" w:cstheme="majorBidi"/>
          <w:i/>
          <w:iCs/>
          <w:sz w:val="24"/>
          <w:szCs w:val="24"/>
        </w:rPr>
        <w:t>59</w:t>
      </w:r>
    </w:p>
    <w:p w14:paraId="0D0ECF56"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4.6 Data Analysis Tools and Software ………………… </w:t>
      </w:r>
      <w:r>
        <w:rPr>
          <w:rFonts w:asciiTheme="majorBidi" w:hAnsiTheme="majorBidi" w:cstheme="majorBidi"/>
          <w:i/>
          <w:iCs/>
          <w:sz w:val="24"/>
          <w:szCs w:val="24"/>
        </w:rPr>
        <w:t>61</w:t>
      </w:r>
    </w:p>
    <w:p w14:paraId="0C34CC6B"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4.7 Reliability and Validity …………………… </w:t>
      </w:r>
      <w:r w:rsidRPr="00A70905">
        <w:rPr>
          <w:rFonts w:asciiTheme="majorBidi" w:hAnsiTheme="majorBidi" w:cstheme="majorBidi"/>
          <w:i/>
          <w:iCs/>
          <w:sz w:val="24"/>
          <w:szCs w:val="24"/>
        </w:rPr>
        <w:t>6</w:t>
      </w:r>
      <w:r>
        <w:rPr>
          <w:rFonts w:asciiTheme="majorBidi" w:hAnsiTheme="majorBidi" w:cstheme="majorBidi"/>
          <w:i/>
          <w:iCs/>
          <w:sz w:val="24"/>
          <w:szCs w:val="24"/>
        </w:rPr>
        <w:t>1</w:t>
      </w:r>
    </w:p>
    <w:p w14:paraId="7E62AA67"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5: Results and Analysis</w:t>
      </w:r>
      <w:r w:rsidRPr="00A70905">
        <w:rPr>
          <w:rFonts w:asciiTheme="majorBidi" w:hAnsiTheme="majorBidi" w:cstheme="majorBidi"/>
          <w:sz w:val="24"/>
          <w:szCs w:val="24"/>
        </w:rPr>
        <w:t xml:space="preserve"> …………………… </w:t>
      </w:r>
      <w:r>
        <w:rPr>
          <w:rFonts w:asciiTheme="majorBidi" w:hAnsiTheme="majorBidi" w:cstheme="majorBidi"/>
          <w:i/>
          <w:iCs/>
          <w:sz w:val="24"/>
          <w:szCs w:val="24"/>
        </w:rPr>
        <w:t>64</w:t>
      </w:r>
    </w:p>
    <w:p w14:paraId="2A30337F"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5.1 Market Entry Strategies in Saudi Arabia ……………. </w:t>
      </w:r>
      <w:r>
        <w:rPr>
          <w:rFonts w:asciiTheme="majorBidi" w:hAnsiTheme="majorBidi" w:cstheme="majorBidi"/>
          <w:i/>
          <w:iCs/>
          <w:sz w:val="24"/>
          <w:szCs w:val="24"/>
        </w:rPr>
        <w:t>64</w:t>
      </w:r>
    </w:p>
    <w:p w14:paraId="16344F34"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5.2 Strategic Partnerships: Mechanisms and Impact …… </w:t>
      </w:r>
      <w:r>
        <w:rPr>
          <w:rFonts w:asciiTheme="majorBidi" w:hAnsiTheme="majorBidi" w:cstheme="majorBidi"/>
          <w:i/>
          <w:iCs/>
          <w:sz w:val="24"/>
          <w:szCs w:val="24"/>
        </w:rPr>
        <w:t>69</w:t>
      </w:r>
    </w:p>
    <w:p w14:paraId="6FCF3CFA"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5.3 Innovation and Open Innovation Practices ………… </w:t>
      </w:r>
      <w:r>
        <w:rPr>
          <w:rFonts w:asciiTheme="majorBidi" w:hAnsiTheme="majorBidi" w:cstheme="majorBidi"/>
          <w:i/>
          <w:iCs/>
          <w:sz w:val="24"/>
          <w:szCs w:val="24"/>
        </w:rPr>
        <w:t>75</w:t>
      </w:r>
    </w:p>
    <w:p w14:paraId="7C6340C5"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5.4 SWOT Analysis of Sector Entry and Growth ……. </w:t>
      </w:r>
      <w:r>
        <w:rPr>
          <w:rFonts w:asciiTheme="majorBidi" w:hAnsiTheme="majorBidi" w:cstheme="majorBidi"/>
          <w:i/>
          <w:iCs/>
          <w:sz w:val="24"/>
          <w:szCs w:val="24"/>
        </w:rPr>
        <w:t>80</w:t>
      </w:r>
    </w:p>
    <w:p w14:paraId="06B8D2CF"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5.5 PESTLE Analysis of the Macro Environment …………….. </w:t>
      </w:r>
      <w:r>
        <w:rPr>
          <w:rFonts w:asciiTheme="majorBidi" w:hAnsiTheme="majorBidi" w:cstheme="majorBidi"/>
          <w:i/>
          <w:iCs/>
          <w:sz w:val="24"/>
          <w:szCs w:val="24"/>
        </w:rPr>
        <w:t>88</w:t>
      </w:r>
    </w:p>
    <w:p w14:paraId="7B7C11CF" w14:textId="77777777"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5.6 Porter’s Five Forces Industry Analysis …………………… </w:t>
      </w:r>
      <w:r w:rsidRPr="00A70905">
        <w:rPr>
          <w:rFonts w:asciiTheme="majorBidi" w:hAnsiTheme="majorBidi" w:cstheme="majorBidi"/>
          <w:i/>
          <w:iCs/>
          <w:sz w:val="24"/>
          <w:szCs w:val="24"/>
        </w:rPr>
        <w:t>94</w:t>
      </w:r>
    </w:p>
    <w:p w14:paraId="61C41E65"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6: Conclusions</w:t>
      </w:r>
      <w:r w:rsidRPr="00A70905">
        <w:rPr>
          <w:rFonts w:asciiTheme="majorBidi" w:hAnsiTheme="majorBidi" w:cstheme="majorBidi"/>
          <w:sz w:val="24"/>
          <w:szCs w:val="24"/>
        </w:rPr>
        <w:t xml:space="preserve"> ………………………………………………… </w:t>
      </w:r>
      <w:r>
        <w:rPr>
          <w:rFonts w:asciiTheme="majorBidi" w:hAnsiTheme="majorBidi" w:cstheme="majorBidi"/>
          <w:i/>
          <w:iCs/>
          <w:sz w:val="24"/>
          <w:szCs w:val="24"/>
        </w:rPr>
        <w:t>102</w:t>
      </w:r>
    </w:p>
    <w:p w14:paraId="3BCEED9F"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Chapter 7: Recommendations</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10</w:t>
      </w:r>
      <w:r>
        <w:rPr>
          <w:rFonts w:asciiTheme="majorBidi" w:hAnsiTheme="majorBidi" w:cstheme="majorBidi"/>
          <w:i/>
          <w:iCs/>
          <w:sz w:val="24"/>
          <w:szCs w:val="24"/>
        </w:rPr>
        <w:t>5</w:t>
      </w:r>
    </w:p>
    <w:p w14:paraId="0C7EB9F1" w14:textId="77777777" w:rsidR="00987636" w:rsidRPr="005C2B91"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References (English and Arabic)</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1</w:t>
      </w:r>
      <w:r>
        <w:rPr>
          <w:rFonts w:asciiTheme="majorBidi" w:hAnsiTheme="majorBidi" w:cstheme="majorBidi"/>
          <w:i/>
          <w:iCs/>
          <w:sz w:val="24"/>
          <w:szCs w:val="24"/>
        </w:rPr>
        <w:t>08</w:t>
      </w:r>
    </w:p>
    <w:p w14:paraId="1A66CF53" w14:textId="77777777" w:rsidR="005C2B91" w:rsidRDefault="005C2B91" w:rsidP="005C2B91">
      <w:pPr>
        <w:spacing w:line="360" w:lineRule="auto"/>
        <w:rPr>
          <w:rFonts w:asciiTheme="majorBidi" w:hAnsiTheme="majorBidi" w:cstheme="majorBidi"/>
          <w:sz w:val="24"/>
          <w:szCs w:val="24"/>
        </w:rPr>
      </w:pPr>
    </w:p>
    <w:p w14:paraId="441D8C77" w14:textId="77777777" w:rsidR="005C2B91" w:rsidRPr="00A70905" w:rsidRDefault="005C2B91" w:rsidP="005C2B91">
      <w:pPr>
        <w:spacing w:line="360" w:lineRule="auto"/>
        <w:rPr>
          <w:rFonts w:asciiTheme="majorBidi" w:hAnsiTheme="majorBidi" w:cstheme="majorBidi"/>
          <w:sz w:val="24"/>
          <w:szCs w:val="24"/>
        </w:rPr>
      </w:pPr>
    </w:p>
    <w:p w14:paraId="74B00978" w14:textId="77777777" w:rsidR="00987636" w:rsidRPr="00A70905" w:rsidRDefault="00987636" w:rsidP="00EB2BA1">
      <w:pPr>
        <w:numPr>
          <w:ilvl w:val="0"/>
          <w:numId w:val="1"/>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Appendices</w:t>
      </w:r>
      <w:r w:rsidRPr="00A70905">
        <w:rPr>
          <w:rFonts w:asciiTheme="majorBidi" w:hAnsiTheme="majorBidi" w:cstheme="majorBidi"/>
          <w:sz w:val="24"/>
          <w:szCs w:val="24"/>
        </w:rPr>
        <w:t xml:space="preserve"> …………………………………………………… </w:t>
      </w:r>
      <w:r w:rsidRPr="00A70905">
        <w:rPr>
          <w:rFonts w:asciiTheme="majorBidi" w:hAnsiTheme="majorBidi" w:cstheme="majorBidi"/>
          <w:i/>
          <w:iCs/>
          <w:sz w:val="24"/>
          <w:szCs w:val="24"/>
        </w:rPr>
        <w:t>11</w:t>
      </w:r>
      <w:r>
        <w:rPr>
          <w:rFonts w:asciiTheme="majorBidi" w:hAnsiTheme="majorBidi" w:cstheme="majorBidi"/>
          <w:i/>
          <w:iCs/>
          <w:sz w:val="24"/>
          <w:szCs w:val="24"/>
        </w:rPr>
        <w:t>3</w:t>
      </w:r>
    </w:p>
    <w:p w14:paraId="5B5C7A57" w14:textId="28852568"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Appendix </w:t>
      </w:r>
      <w:r w:rsidR="00F6575A">
        <w:rPr>
          <w:rFonts w:asciiTheme="majorBidi" w:hAnsiTheme="majorBidi" w:cstheme="majorBidi"/>
          <w:sz w:val="24"/>
          <w:szCs w:val="24"/>
        </w:rPr>
        <w:t>A</w:t>
      </w:r>
      <w:r w:rsidRPr="00A70905">
        <w:rPr>
          <w:rFonts w:asciiTheme="majorBidi" w:hAnsiTheme="majorBidi" w:cstheme="majorBidi"/>
          <w:sz w:val="24"/>
          <w:szCs w:val="24"/>
        </w:rPr>
        <w:t xml:space="preserve">: Summary of Case Study Companies ………………… </w:t>
      </w:r>
      <w:r w:rsidRPr="00A70905">
        <w:rPr>
          <w:rFonts w:asciiTheme="majorBidi" w:hAnsiTheme="majorBidi" w:cstheme="majorBidi"/>
          <w:i/>
          <w:iCs/>
          <w:sz w:val="24"/>
          <w:szCs w:val="24"/>
        </w:rPr>
        <w:t>1</w:t>
      </w:r>
      <w:r>
        <w:rPr>
          <w:rFonts w:asciiTheme="majorBidi" w:hAnsiTheme="majorBidi" w:cstheme="majorBidi"/>
          <w:i/>
          <w:iCs/>
          <w:sz w:val="24"/>
          <w:szCs w:val="24"/>
        </w:rPr>
        <w:t>1</w:t>
      </w:r>
      <w:r w:rsidR="00F6575A">
        <w:rPr>
          <w:rFonts w:asciiTheme="majorBidi" w:hAnsiTheme="majorBidi" w:cstheme="majorBidi"/>
          <w:i/>
          <w:iCs/>
          <w:sz w:val="24"/>
          <w:szCs w:val="24"/>
        </w:rPr>
        <w:t>3</w:t>
      </w:r>
    </w:p>
    <w:p w14:paraId="05CE3B11" w14:textId="5F9E012E" w:rsidR="00987636" w:rsidRPr="00A70905" w:rsidRDefault="00987636" w:rsidP="00EB2BA1">
      <w:pPr>
        <w:numPr>
          <w:ilvl w:val="1"/>
          <w:numId w:val="1"/>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Appendix C: SWOT Matrix for Saudi Energy Sector …………….. </w:t>
      </w:r>
      <w:r w:rsidRPr="00A70905">
        <w:rPr>
          <w:rFonts w:asciiTheme="majorBidi" w:hAnsiTheme="majorBidi" w:cstheme="majorBidi"/>
          <w:i/>
          <w:iCs/>
          <w:sz w:val="24"/>
          <w:szCs w:val="24"/>
        </w:rPr>
        <w:t>1</w:t>
      </w:r>
      <w:r>
        <w:rPr>
          <w:rFonts w:asciiTheme="majorBidi" w:hAnsiTheme="majorBidi" w:cstheme="majorBidi"/>
          <w:i/>
          <w:iCs/>
          <w:sz w:val="24"/>
          <w:szCs w:val="24"/>
        </w:rPr>
        <w:t>1</w:t>
      </w:r>
      <w:r w:rsidR="00F6575A">
        <w:rPr>
          <w:rFonts w:asciiTheme="majorBidi" w:hAnsiTheme="majorBidi" w:cstheme="majorBidi"/>
          <w:i/>
          <w:iCs/>
          <w:sz w:val="24"/>
          <w:szCs w:val="24"/>
        </w:rPr>
        <w:t>5</w:t>
      </w:r>
    </w:p>
    <w:p w14:paraId="53BCBE63" w14:textId="77777777" w:rsidR="00987636" w:rsidRDefault="00987636" w:rsidP="00987636">
      <w:pPr>
        <w:spacing w:line="360" w:lineRule="auto"/>
        <w:rPr>
          <w:rFonts w:asciiTheme="majorBidi" w:hAnsiTheme="majorBidi" w:cstheme="majorBidi"/>
          <w:sz w:val="24"/>
          <w:szCs w:val="24"/>
        </w:rPr>
      </w:pPr>
    </w:p>
    <w:p w14:paraId="3423F0CB" w14:textId="77777777" w:rsidR="00A351B9" w:rsidRDefault="00A351B9" w:rsidP="00987636">
      <w:pPr>
        <w:spacing w:line="360" w:lineRule="auto"/>
        <w:rPr>
          <w:rFonts w:asciiTheme="majorBidi" w:hAnsiTheme="majorBidi" w:cstheme="majorBidi"/>
          <w:sz w:val="24"/>
          <w:szCs w:val="24"/>
        </w:rPr>
      </w:pPr>
    </w:p>
    <w:p w14:paraId="4769AFF4" w14:textId="77777777" w:rsidR="009703FD" w:rsidRDefault="009703FD" w:rsidP="00987636">
      <w:pPr>
        <w:spacing w:line="360" w:lineRule="auto"/>
        <w:rPr>
          <w:rFonts w:asciiTheme="majorBidi" w:hAnsiTheme="majorBidi" w:cstheme="majorBidi"/>
          <w:sz w:val="24"/>
          <w:szCs w:val="24"/>
        </w:rPr>
      </w:pPr>
    </w:p>
    <w:p w14:paraId="7B412640" w14:textId="77777777" w:rsidR="009703FD" w:rsidRDefault="009703FD" w:rsidP="00987636">
      <w:pPr>
        <w:spacing w:line="360" w:lineRule="auto"/>
        <w:rPr>
          <w:rFonts w:asciiTheme="majorBidi" w:hAnsiTheme="majorBidi" w:cstheme="majorBidi"/>
          <w:sz w:val="24"/>
          <w:szCs w:val="24"/>
        </w:rPr>
      </w:pPr>
    </w:p>
    <w:p w14:paraId="028DCBF3" w14:textId="77777777" w:rsidR="009703FD" w:rsidRDefault="009703FD" w:rsidP="00987636">
      <w:pPr>
        <w:spacing w:line="360" w:lineRule="auto"/>
        <w:rPr>
          <w:rFonts w:asciiTheme="majorBidi" w:hAnsiTheme="majorBidi" w:cstheme="majorBidi"/>
          <w:sz w:val="24"/>
          <w:szCs w:val="24"/>
        </w:rPr>
      </w:pPr>
    </w:p>
    <w:p w14:paraId="6946A385" w14:textId="77777777" w:rsidR="009703FD" w:rsidRDefault="009703FD" w:rsidP="00987636">
      <w:pPr>
        <w:spacing w:line="360" w:lineRule="auto"/>
        <w:rPr>
          <w:rFonts w:asciiTheme="majorBidi" w:hAnsiTheme="majorBidi" w:cstheme="majorBidi"/>
          <w:sz w:val="24"/>
          <w:szCs w:val="24"/>
        </w:rPr>
      </w:pPr>
    </w:p>
    <w:p w14:paraId="45047351" w14:textId="77777777" w:rsidR="009703FD" w:rsidRDefault="009703FD" w:rsidP="00987636">
      <w:pPr>
        <w:spacing w:line="360" w:lineRule="auto"/>
        <w:rPr>
          <w:rFonts w:asciiTheme="majorBidi" w:hAnsiTheme="majorBidi" w:cstheme="majorBidi"/>
          <w:sz w:val="24"/>
          <w:szCs w:val="24"/>
        </w:rPr>
      </w:pPr>
    </w:p>
    <w:p w14:paraId="6EAB3B8C" w14:textId="77777777" w:rsidR="009703FD" w:rsidRDefault="009703FD" w:rsidP="00987636">
      <w:pPr>
        <w:spacing w:line="360" w:lineRule="auto"/>
        <w:rPr>
          <w:rFonts w:asciiTheme="majorBidi" w:hAnsiTheme="majorBidi" w:cstheme="majorBidi"/>
          <w:sz w:val="24"/>
          <w:szCs w:val="24"/>
        </w:rPr>
      </w:pPr>
    </w:p>
    <w:p w14:paraId="518DA8E4" w14:textId="77777777" w:rsidR="009703FD" w:rsidRDefault="009703FD" w:rsidP="00987636">
      <w:pPr>
        <w:spacing w:line="360" w:lineRule="auto"/>
        <w:rPr>
          <w:rFonts w:asciiTheme="majorBidi" w:hAnsiTheme="majorBidi" w:cstheme="majorBidi"/>
          <w:sz w:val="24"/>
          <w:szCs w:val="24"/>
        </w:rPr>
      </w:pPr>
    </w:p>
    <w:p w14:paraId="6DDF8D97" w14:textId="77777777" w:rsidR="009703FD" w:rsidRDefault="009703FD" w:rsidP="00987636">
      <w:pPr>
        <w:spacing w:line="360" w:lineRule="auto"/>
        <w:rPr>
          <w:rFonts w:asciiTheme="majorBidi" w:hAnsiTheme="majorBidi" w:cstheme="majorBidi"/>
          <w:sz w:val="24"/>
          <w:szCs w:val="24"/>
        </w:rPr>
      </w:pPr>
    </w:p>
    <w:p w14:paraId="3F271594" w14:textId="77777777" w:rsidR="009703FD" w:rsidRDefault="009703FD" w:rsidP="00987636">
      <w:pPr>
        <w:spacing w:line="360" w:lineRule="auto"/>
        <w:rPr>
          <w:rFonts w:asciiTheme="majorBidi" w:hAnsiTheme="majorBidi" w:cstheme="majorBidi"/>
          <w:sz w:val="24"/>
          <w:szCs w:val="24"/>
        </w:rPr>
      </w:pPr>
    </w:p>
    <w:p w14:paraId="45E42ACC" w14:textId="77777777" w:rsidR="009703FD" w:rsidRDefault="009703FD" w:rsidP="00987636">
      <w:pPr>
        <w:spacing w:line="360" w:lineRule="auto"/>
        <w:rPr>
          <w:rFonts w:asciiTheme="majorBidi" w:hAnsiTheme="majorBidi" w:cstheme="majorBidi"/>
          <w:sz w:val="24"/>
          <w:szCs w:val="24"/>
        </w:rPr>
      </w:pPr>
    </w:p>
    <w:p w14:paraId="1713DD07" w14:textId="77777777" w:rsidR="009703FD" w:rsidRDefault="009703FD" w:rsidP="00987636">
      <w:pPr>
        <w:spacing w:line="360" w:lineRule="auto"/>
        <w:rPr>
          <w:rFonts w:asciiTheme="majorBidi" w:hAnsiTheme="majorBidi" w:cstheme="majorBidi"/>
          <w:sz w:val="24"/>
          <w:szCs w:val="24"/>
        </w:rPr>
      </w:pPr>
    </w:p>
    <w:p w14:paraId="25F76EDC" w14:textId="77777777" w:rsidR="009703FD" w:rsidRDefault="009703FD" w:rsidP="00987636">
      <w:pPr>
        <w:spacing w:line="360" w:lineRule="auto"/>
        <w:rPr>
          <w:rFonts w:asciiTheme="majorBidi" w:hAnsiTheme="majorBidi" w:cstheme="majorBidi"/>
          <w:sz w:val="24"/>
          <w:szCs w:val="24"/>
        </w:rPr>
      </w:pPr>
    </w:p>
    <w:p w14:paraId="5350AC88" w14:textId="77777777" w:rsidR="009703FD" w:rsidRDefault="009703FD" w:rsidP="00987636">
      <w:pPr>
        <w:spacing w:line="360" w:lineRule="auto"/>
        <w:rPr>
          <w:rFonts w:asciiTheme="majorBidi" w:hAnsiTheme="majorBidi" w:cstheme="majorBidi"/>
          <w:sz w:val="24"/>
          <w:szCs w:val="24"/>
        </w:rPr>
      </w:pPr>
    </w:p>
    <w:p w14:paraId="32DEB651" w14:textId="77777777" w:rsidR="009703FD" w:rsidRDefault="009703FD" w:rsidP="00987636">
      <w:pPr>
        <w:spacing w:line="360" w:lineRule="auto"/>
        <w:rPr>
          <w:rFonts w:asciiTheme="majorBidi" w:hAnsiTheme="majorBidi" w:cstheme="majorBidi"/>
          <w:sz w:val="24"/>
          <w:szCs w:val="24"/>
        </w:rPr>
      </w:pPr>
    </w:p>
    <w:p w14:paraId="4FCB932F" w14:textId="77777777" w:rsidR="009703FD" w:rsidRDefault="009703FD" w:rsidP="00987636">
      <w:pPr>
        <w:spacing w:line="360" w:lineRule="auto"/>
        <w:rPr>
          <w:rFonts w:asciiTheme="majorBidi" w:hAnsiTheme="majorBidi" w:cstheme="majorBidi"/>
          <w:sz w:val="24"/>
          <w:szCs w:val="24"/>
        </w:rPr>
      </w:pPr>
    </w:p>
    <w:p w14:paraId="07738118" w14:textId="77777777" w:rsidR="009703FD" w:rsidRDefault="009703FD" w:rsidP="00987636">
      <w:pPr>
        <w:spacing w:line="360" w:lineRule="auto"/>
        <w:rPr>
          <w:rFonts w:asciiTheme="majorBidi" w:hAnsiTheme="majorBidi" w:cstheme="majorBidi"/>
          <w:sz w:val="24"/>
          <w:szCs w:val="24"/>
        </w:rPr>
      </w:pPr>
    </w:p>
    <w:p w14:paraId="39BC7A45" w14:textId="77777777" w:rsidR="009703FD" w:rsidRDefault="009703FD" w:rsidP="00987636">
      <w:pPr>
        <w:spacing w:line="360" w:lineRule="auto"/>
        <w:rPr>
          <w:rFonts w:asciiTheme="majorBidi" w:hAnsiTheme="majorBidi" w:cstheme="majorBidi"/>
          <w:sz w:val="24"/>
          <w:szCs w:val="24"/>
        </w:rPr>
      </w:pPr>
    </w:p>
    <w:p w14:paraId="16B3D63A" w14:textId="77777777" w:rsidR="009703FD" w:rsidRDefault="009703FD" w:rsidP="00987636">
      <w:pPr>
        <w:spacing w:line="360" w:lineRule="auto"/>
        <w:rPr>
          <w:rFonts w:asciiTheme="majorBidi" w:hAnsiTheme="majorBidi" w:cstheme="majorBidi"/>
          <w:sz w:val="24"/>
          <w:szCs w:val="24"/>
        </w:rPr>
      </w:pPr>
    </w:p>
    <w:p w14:paraId="0AE0B32F" w14:textId="77777777" w:rsidR="00987636" w:rsidRPr="00045659" w:rsidRDefault="00987636" w:rsidP="00987636">
      <w:pPr>
        <w:spacing w:line="360" w:lineRule="auto"/>
        <w:rPr>
          <w:rFonts w:asciiTheme="majorBidi" w:hAnsiTheme="majorBidi" w:cstheme="majorBidi"/>
          <w:b/>
          <w:bCs/>
          <w:sz w:val="24"/>
          <w:szCs w:val="24"/>
        </w:rPr>
      </w:pPr>
      <w:r w:rsidRPr="00045659">
        <w:rPr>
          <w:rFonts w:asciiTheme="majorBidi" w:hAnsiTheme="majorBidi" w:cstheme="majorBidi"/>
          <w:b/>
          <w:bCs/>
          <w:sz w:val="24"/>
          <w:szCs w:val="24"/>
        </w:rPr>
        <w:lastRenderedPageBreak/>
        <w:t>List of Tables</w:t>
      </w:r>
    </w:p>
    <w:p w14:paraId="6946D608" w14:textId="77777777" w:rsidR="00987636" w:rsidRDefault="00987636" w:rsidP="00EB2BA1">
      <w:pPr>
        <w:numPr>
          <w:ilvl w:val="0"/>
          <w:numId w:val="41"/>
        </w:numPr>
        <w:spacing w:line="360" w:lineRule="auto"/>
        <w:rPr>
          <w:rFonts w:asciiTheme="majorBidi" w:hAnsiTheme="majorBidi" w:cstheme="majorBidi"/>
          <w:sz w:val="24"/>
          <w:szCs w:val="24"/>
        </w:rPr>
      </w:pPr>
      <w:r w:rsidRPr="00045659">
        <w:rPr>
          <w:rFonts w:asciiTheme="majorBidi" w:hAnsiTheme="majorBidi" w:cstheme="majorBidi"/>
          <w:b/>
          <w:bCs/>
          <w:sz w:val="24"/>
          <w:szCs w:val="24"/>
        </w:rPr>
        <w:t>Table 1</w:t>
      </w:r>
      <w:r>
        <w:rPr>
          <w:rFonts w:asciiTheme="majorBidi" w:hAnsiTheme="majorBidi" w:cstheme="majorBidi"/>
          <w:b/>
          <w:bCs/>
          <w:sz w:val="24"/>
          <w:szCs w:val="24"/>
        </w:rPr>
        <w:t>.1</w:t>
      </w:r>
      <w:r w:rsidRPr="00045659">
        <w:rPr>
          <w:rFonts w:asciiTheme="majorBidi" w:hAnsiTheme="majorBidi" w:cstheme="majorBidi"/>
          <w:b/>
          <w:bCs/>
          <w:sz w:val="24"/>
          <w:szCs w:val="24"/>
        </w:rPr>
        <w:t>:</w:t>
      </w:r>
      <w:r w:rsidRPr="00045659">
        <w:rPr>
          <w:rFonts w:asciiTheme="majorBidi" w:hAnsiTheme="majorBidi" w:cstheme="majorBidi"/>
          <w:sz w:val="24"/>
          <w:szCs w:val="24"/>
        </w:rPr>
        <w:t xml:space="preserve"> Key Indicators of the Saudi Energy Sector (production, consumption, and capacity statistics)</w:t>
      </w:r>
      <w:r>
        <w:rPr>
          <w:rFonts w:asciiTheme="majorBidi" w:hAnsiTheme="majorBidi" w:cstheme="majorBidi"/>
          <w:sz w:val="24"/>
          <w:szCs w:val="24"/>
        </w:rPr>
        <w:t xml:space="preserve">……………………………………………. 3 </w:t>
      </w:r>
    </w:p>
    <w:p w14:paraId="5D8DE771" w14:textId="739058A0" w:rsidR="00987636" w:rsidRPr="00045659" w:rsidRDefault="00987636" w:rsidP="00EB2BA1">
      <w:pPr>
        <w:numPr>
          <w:ilvl w:val="0"/>
          <w:numId w:val="41"/>
        </w:numPr>
        <w:spacing w:line="360" w:lineRule="auto"/>
        <w:rPr>
          <w:rFonts w:asciiTheme="majorBidi" w:hAnsiTheme="majorBidi" w:cstheme="majorBidi"/>
          <w:sz w:val="24"/>
          <w:szCs w:val="24"/>
        </w:rPr>
      </w:pPr>
      <w:r w:rsidRPr="00045659">
        <w:rPr>
          <w:rFonts w:asciiTheme="majorBidi" w:hAnsiTheme="majorBidi" w:cstheme="majorBidi"/>
          <w:b/>
          <w:bCs/>
          <w:sz w:val="24"/>
          <w:szCs w:val="24"/>
        </w:rPr>
        <w:t>Table </w:t>
      </w:r>
      <w:r>
        <w:rPr>
          <w:rFonts w:asciiTheme="majorBidi" w:hAnsiTheme="majorBidi" w:cstheme="majorBidi"/>
          <w:b/>
          <w:bCs/>
          <w:sz w:val="24"/>
          <w:szCs w:val="24"/>
        </w:rPr>
        <w:t>5.1</w:t>
      </w:r>
      <w:r w:rsidRPr="00045659">
        <w:rPr>
          <w:rFonts w:asciiTheme="majorBidi" w:hAnsiTheme="majorBidi" w:cstheme="majorBidi"/>
          <w:b/>
          <w:bCs/>
          <w:sz w:val="24"/>
          <w:szCs w:val="24"/>
        </w:rPr>
        <w:t>.1:</w:t>
      </w:r>
      <w:r w:rsidRPr="00045659">
        <w:rPr>
          <w:rFonts w:asciiTheme="majorBidi" w:hAnsiTheme="majorBidi" w:cstheme="majorBidi"/>
          <w:sz w:val="24"/>
          <w:szCs w:val="24"/>
        </w:rPr>
        <w:t xml:space="preserve"> Modes of Market Entry for Foreign Energy Firms in Saudi Arabia (comparative overview of entry strategies)</w:t>
      </w:r>
      <w:r w:rsidR="009703FD">
        <w:rPr>
          <w:rFonts w:asciiTheme="majorBidi" w:hAnsiTheme="majorBidi" w:cstheme="majorBidi"/>
          <w:sz w:val="24"/>
          <w:szCs w:val="24"/>
        </w:rPr>
        <w:t>………………………</w:t>
      </w:r>
      <w:r>
        <w:rPr>
          <w:rFonts w:asciiTheme="majorBidi" w:hAnsiTheme="majorBidi" w:cstheme="majorBidi"/>
          <w:sz w:val="24"/>
          <w:szCs w:val="24"/>
        </w:rPr>
        <w:t xml:space="preserve"> 68</w:t>
      </w:r>
    </w:p>
    <w:p w14:paraId="27F4C187" w14:textId="55071278" w:rsidR="00987636" w:rsidRPr="00045659" w:rsidRDefault="00987636" w:rsidP="00EB2BA1">
      <w:pPr>
        <w:numPr>
          <w:ilvl w:val="0"/>
          <w:numId w:val="41"/>
        </w:numPr>
        <w:spacing w:line="360" w:lineRule="auto"/>
        <w:rPr>
          <w:rFonts w:asciiTheme="majorBidi" w:hAnsiTheme="majorBidi" w:cstheme="majorBidi"/>
          <w:sz w:val="24"/>
          <w:szCs w:val="24"/>
        </w:rPr>
      </w:pPr>
      <w:r w:rsidRPr="00B34BBC">
        <w:rPr>
          <w:rFonts w:asciiTheme="majorBidi" w:hAnsiTheme="majorBidi" w:cstheme="majorBidi"/>
          <w:b/>
          <w:bCs/>
          <w:sz w:val="24"/>
          <w:szCs w:val="24"/>
        </w:rPr>
        <w:t>Table 5.2.1</w:t>
      </w:r>
      <w:r>
        <w:rPr>
          <w:rFonts w:asciiTheme="majorBidi" w:hAnsiTheme="majorBidi" w:cstheme="majorBidi"/>
          <w:sz w:val="24"/>
          <w:szCs w:val="24"/>
        </w:rPr>
        <w:t xml:space="preserve">: </w:t>
      </w:r>
      <w:r w:rsidRPr="00045659">
        <w:rPr>
          <w:rFonts w:asciiTheme="majorBidi" w:hAnsiTheme="majorBidi" w:cstheme="majorBidi"/>
          <w:sz w:val="24"/>
          <w:szCs w:val="24"/>
        </w:rPr>
        <w:t>Prominent Joint Ventures in Saudi Arabia’s Energy Industry (major partnerships, stakeholders, and objectives)</w:t>
      </w:r>
      <w:r w:rsidR="009703FD">
        <w:rPr>
          <w:rFonts w:asciiTheme="majorBidi" w:hAnsiTheme="majorBidi" w:cstheme="majorBidi"/>
          <w:sz w:val="24"/>
          <w:szCs w:val="24"/>
        </w:rPr>
        <w:t>…………………………</w:t>
      </w:r>
      <w:r>
        <w:rPr>
          <w:rFonts w:asciiTheme="majorBidi" w:hAnsiTheme="majorBidi" w:cstheme="majorBidi"/>
          <w:sz w:val="24"/>
          <w:szCs w:val="24"/>
        </w:rPr>
        <w:t xml:space="preserve"> 73</w:t>
      </w:r>
    </w:p>
    <w:p w14:paraId="73B12BF6" w14:textId="725E5024" w:rsidR="00987636" w:rsidRPr="00772619" w:rsidRDefault="00987636" w:rsidP="00EB2BA1">
      <w:pPr>
        <w:pStyle w:val="ListParagraph"/>
        <w:numPr>
          <w:ilvl w:val="0"/>
          <w:numId w:val="41"/>
        </w:numPr>
        <w:spacing w:line="360" w:lineRule="auto"/>
        <w:rPr>
          <w:rFonts w:asciiTheme="majorBidi" w:hAnsiTheme="majorBidi" w:cstheme="majorBidi"/>
          <w:b/>
          <w:bCs/>
          <w:sz w:val="24"/>
          <w:szCs w:val="24"/>
        </w:rPr>
      </w:pPr>
      <w:r>
        <w:rPr>
          <w:rFonts w:asciiTheme="majorBidi" w:hAnsiTheme="majorBidi" w:cstheme="majorBidi"/>
          <w:b/>
          <w:bCs/>
          <w:sz w:val="24"/>
          <w:szCs w:val="24"/>
        </w:rPr>
        <w:t>Table 5.4.1</w:t>
      </w:r>
      <w:r w:rsidRPr="003819E0">
        <w:rPr>
          <w:rFonts w:asciiTheme="majorBidi" w:hAnsiTheme="majorBidi" w:cstheme="majorBidi"/>
          <w:sz w:val="24"/>
          <w:szCs w:val="24"/>
        </w:rPr>
        <w:t>: SWOT Matrix for Saudi Energy Sector (Diagram Table)</w:t>
      </w:r>
      <w:r w:rsidR="009703FD">
        <w:rPr>
          <w:rFonts w:asciiTheme="majorBidi" w:hAnsiTheme="majorBidi" w:cstheme="majorBidi"/>
          <w:sz w:val="24"/>
          <w:szCs w:val="24"/>
        </w:rPr>
        <w:t>..</w:t>
      </w:r>
      <w:r>
        <w:rPr>
          <w:rFonts w:asciiTheme="majorBidi" w:hAnsiTheme="majorBidi" w:cstheme="majorBidi"/>
          <w:sz w:val="24"/>
          <w:szCs w:val="24"/>
        </w:rPr>
        <w:t>. 80</w:t>
      </w:r>
    </w:p>
    <w:p w14:paraId="6EF066FD" w14:textId="1E208097" w:rsidR="00987636" w:rsidRDefault="00987636" w:rsidP="00EB2BA1">
      <w:pPr>
        <w:numPr>
          <w:ilvl w:val="0"/>
          <w:numId w:val="41"/>
        </w:numPr>
        <w:spacing w:line="360" w:lineRule="auto"/>
        <w:rPr>
          <w:rFonts w:asciiTheme="majorBidi" w:hAnsiTheme="majorBidi" w:cstheme="majorBidi"/>
          <w:sz w:val="24"/>
          <w:szCs w:val="24"/>
        </w:rPr>
      </w:pPr>
      <w:r w:rsidRPr="00045659">
        <w:rPr>
          <w:rFonts w:asciiTheme="majorBidi" w:hAnsiTheme="majorBidi" w:cstheme="majorBidi"/>
          <w:b/>
          <w:bCs/>
          <w:sz w:val="24"/>
          <w:szCs w:val="24"/>
        </w:rPr>
        <w:t>Table </w:t>
      </w:r>
      <w:r w:rsidRPr="007229F6">
        <w:rPr>
          <w:rFonts w:asciiTheme="majorBidi" w:hAnsiTheme="majorBidi" w:cstheme="majorBidi"/>
          <w:b/>
          <w:bCs/>
          <w:sz w:val="24"/>
          <w:szCs w:val="24"/>
        </w:rPr>
        <w:t>5.4.2</w:t>
      </w:r>
      <w:r w:rsidRPr="00045659">
        <w:rPr>
          <w:rFonts w:asciiTheme="majorBidi" w:hAnsiTheme="majorBidi" w:cstheme="majorBidi"/>
          <w:b/>
          <w:bCs/>
          <w:sz w:val="24"/>
          <w:szCs w:val="24"/>
        </w:rPr>
        <w:t>:</w:t>
      </w:r>
      <w:r w:rsidRPr="00045659">
        <w:rPr>
          <w:rFonts w:asciiTheme="majorBidi" w:hAnsiTheme="majorBidi" w:cstheme="majorBidi"/>
          <w:sz w:val="24"/>
          <w:szCs w:val="24"/>
        </w:rPr>
        <w:t xml:space="preserve"> Government Programs Supporting Energy Sector Development (initiatives such as IKTVA, Vision 2030, and related outcomes)</w:t>
      </w:r>
      <w:r w:rsidR="009703FD">
        <w:rPr>
          <w:rFonts w:asciiTheme="majorBidi" w:hAnsiTheme="majorBidi" w:cstheme="majorBidi"/>
          <w:sz w:val="24"/>
          <w:szCs w:val="24"/>
        </w:rPr>
        <w:t>…</w:t>
      </w:r>
      <w:r>
        <w:rPr>
          <w:rFonts w:asciiTheme="majorBidi" w:hAnsiTheme="majorBidi" w:cstheme="majorBidi"/>
          <w:sz w:val="24"/>
          <w:szCs w:val="24"/>
        </w:rPr>
        <w:t xml:space="preserve"> 85</w:t>
      </w:r>
    </w:p>
    <w:p w14:paraId="17ABE409" w14:textId="76687BD4" w:rsidR="00987636" w:rsidRPr="00045659" w:rsidRDefault="00987636" w:rsidP="00EB2BA1">
      <w:pPr>
        <w:numPr>
          <w:ilvl w:val="0"/>
          <w:numId w:val="41"/>
        </w:numPr>
        <w:spacing w:line="360" w:lineRule="auto"/>
        <w:rPr>
          <w:rFonts w:asciiTheme="majorBidi" w:hAnsiTheme="majorBidi" w:cstheme="majorBidi"/>
          <w:sz w:val="24"/>
          <w:szCs w:val="24"/>
        </w:rPr>
      </w:pPr>
      <w:r w:rsidRPr="00045659">
        <w:rPr>
          <w:rFonts w:asciiTheme="majorBidi" w:hAnsiTheme="majorBidi" w:cstheme="majorBidi"/>
          <w:b/>
          <w:bCs/>
          <w:sz w:val="24"/>
          <w:szCs w:val="24"/>
        </w:rPr>
        <w:t>Table </w:t>
      </w:r>
      <w:r>
        <w:rPr>
          <w:rFonts w:asciiTheme="majorBidi" w:hAnsiTheme="majorBidi" w:cstheme="majorBidi"/>
          <w:b/>
          <w:bCs/>
          <w:sz w:val="24"/>
          <w:szCs w:val="24"/>
        </w:rPr>
        <w:t>5.</w:t>
      </w:r>
      <w:r w:rsidRPr="00045659">
        <w:rPr>
          <w:rFonts w:asciiTheme="majorBidi" w:hAnsiTheme="majorBidi" w:cstheme="majorBidi"/>
          <w:b/>
          <w:bCs/>
          <w:sz w:val="24"/>
          <w:szCs w:val="24"/>
        </w:rPr>
        <w:t>4.</w:t>
      </w:r>
      <w:r>
        <w:rPr>
          <w:rFonts w:asciiTheme="majorBidi" w:hAnsiTheme="majorBidi" w:cstheme="majorBidi"/>
          <w:b/>
          <w:bCs/>
          <w:sz w:val="24"/>
          <w:szCs w:val="24"/>
        </w:rPr>
        <w:t>3</w:t>
      </w:r>
      <w:r w:rsidRPr="00045659">
        <w:rPr>
          <w:rFonts w:asciiTheme="majorBidi" w:hAnsiTheme="majorBidi" w:cstheme="majorBidi"/>
          <w:b/>
          <w:bCs/>
          <w:sz w:val="24"/>
          <w:szCs w:val="24"/>
        </w:rPr>
        <w:t>:</w:t>
      </w:r>
      <w:r w:rsidRPr="00045659">
        <w:rPr>
          <w:rFonts w:asciiTheme="majorBidi" w:hAnsiTheme="majorBidi" w:cstheme="majorBidi"/>
          <w:sz w:val="24"/>
          <w:szCs w:val="24"/>
        </w:rPr>
        <w:t xml:space="preserve"> SWOT Analysis of the Saudi Energy Sector Business Environment (identification of internal strengths/weaknesses and external opportunities/threats)</w:t>
      </w:r>
      <w:r>
        <w:rPr>
          <w:rFonts w:asciiTheme="majorBidi" w:hAnsiTheme="majorBidi" w:cstheme="majorBidi"/>
          <w:sz w:val="24"/>
          <w:szCs w:val="24"/>
        </w:rPr>
        <w:t xml:space="preserve"> </w:t>
      </w:r>
      <w:r w:rsidR="009703FD">
        <w:rPr>
          <w:rFonts w:asciiTheme="majorBidi" w:hAnsiTheme="majorBidi" w:cstheme="majorBidi"/>
          <w:sz w:val="24"/>
          <w:szCs w:val="24"/>
        </w:rPr>
        <w:t>………………………………………………………………………….</w:t>
      </w:r>
      <w:r>
        <w:rPr>
          <w:rFonts w:asciiTheme="majorBidi" w:hAnsiTheme="majorBidi" w:cstheme="majorBidi"/>
          <w:sz w:val="24"/>
          <w:szCs w:val="24"/>
        </w:rPr>
        <w:t>88</w:t>
      </w:r>
    </w:p>
    <w:p w14:paraId="3857E4F1" w14:textId="52011060" w:rsidR="00987636" w:rsidRPr="00045659" w:rsidRDefault="00987636" w:rsidP="00EB2BA1">
      <w:pPr>
        <w:numPr>
          <w:ilvl w:val="0"/>
          <w:numId w:val="41"/>
        </w:numPr>
        <w:spacing w:line="360" w:lineRule="auto"/>
        <w:rPr>
          <w:rFonts w:asciiTheme="majorBidi" w:hAnsiTheme="majorBidi" w:cstheme="majorBidi"/>
          <w:sz w:val="24"/>
          <w:szCs w:val="24"/>
        </w:rPr>
      </w:pPr>
      <w:r w:rsidRPr="008A4F74">
        <w:rPr>
          <w:rFonts w:asciiTheme="majorBidi" w:hAnsiTheme="majorBidi" w:cstheme="majorBidi"/>
          <w:b/>
          <w:bCs/>
          <w:sz w:val="24"/>
          <w:szCs w:val="24"/>
        </w:rPr>
        <w:t>Table </w:t>
      </w:r>
      <w:r w:rsidR="00E62109">
        <w:rPr>
          <w:rFonts w:asciiTheme="majorBidi" w:hAnsiTheme="majorBidi" w:cstheme="majorBidi"/>
          <w:b/>
          <w:bCs/>
          <w:sz w:val="24"/>
          <w:szCs w:val="24"/>
        </w:rPr>
        <w:t>7</w:t>
      </w:r>
      <w:r w:rsidRPr="008A4F74">
        <w:rPr>
          <w:rFonts w:asciiTheme="majorBidi" w:hAnsiTheme="majorBidi" w:cstheme="majorBidi"/>
          <w:b/>
          <w:bCs/>
          <w:sz w:val="24"/>
          <w:szCs w:val="24"/>
        </w:rPr>
        <w:t>.</w:t>
      </w:r>
      <w:r>
        <w:rPr>
          <w:rFonts w:asciiTheme="majorBidi" w:hAnsiTheme="majorBidi" w:cstheme="majorBidi"/>
          <w:b/>
          <w:bCs/>
          <w:sz w:val="24"/>
          <w:szCs w:val="24"/>
        </w:rPr>
        <w:t>1</w:t>
      </w:r>
      <w:r w:rsidRPr="00045659">
        <w:rPr>
          <w:rFonts w:asciiTheme="majorBidi" w:hAnsiTheme="majorBidi" w:cstheme="majorBidi"/>
          <w:b/>
          <w:bCs/>
          <w:sz w:val="24"/>
          <w:szCs w:val="24"/>
        </w:rPr>
        <w:t>:</w:t>
      </w:r>
      <w:r w:rsidRPr="00045659">
        <w:rPr>
          <w:rFonts w:asciiTheme="majorBidi" w:hAnsiTheme="majorBidi" w:cstheme="majorBidi"/>
          <w:sz w:val="24"/>
          <w:szCs w:val="24"/>
        </w:rPr>
        <w:t xml:space="preserve"> Proposed Growth Strategies and Expected Outcomes (summary of strategic recommendations and projected impacts)</w:t>
      </w:r>
      <w:r w:rsidR="009703FD">
        <w:rPr>
          <w:rFonts w:asciiTheme="majorBidi" w:hAnsiTheme="majorBidi" w:cstheme="majorBidi"/>
          <w:sz w:val="24"/>
          <w:szCs w:val="24"/>
        </w:rPr>
        <w:t>……………..</w:t>
      </w:r>
      <w:r>
        <w:rPr>
          <w:rFonts w:asciiTheme="majorBidi" w:hAnsiTheme="majorBidi" w:cstheme="majorBidi"/>
          <w:sz w:val="24"/>
          <w:szCs w:val="24"/>
        </w:rPr>
        <w:t xml:space="preserve"> </w:t>
      </w:r>
      <w:r w:rsidR="00E62109">
        <w:rPr>
          <w:rFonts w:asciiTheme="majorBidi" w:hAnsiTheme="majorBidi" w:cstheme="majorBidi"/>
          <w:sz w:val="24"/>
          <w:szCs w:val="24"/>
        </w:rPr>
        <w:t>95</w:t>
      </w:r>
    </w:p>
    <w:p w14:paraId="55113FBD" w14:textId="77777777" w:rsidR="00987636" w:rsidRDefault="00987636" w:rsidP="00987636">
      <w:pPr>
        <w:spacing w:line="360" w:lineRule="auto"/>
        <w:rPr>
          <w:rFonts w:asciiTheme="majorBidi" w:hAnsiTheme="majorBidi" w:cstheme="majorBidi"/>
          <w:b/>
          <w:bCs/>
          <w:sz w:val="24"/>
          <w:szCs w:val="24"/>
        </w:rPr>
      </w:pPr>
    </w:p>
    <w:p w14:paraId="1FACD084" w14:textId="3544C884" w:rsidR="00987636" w:rsidRPr="00987636" w:rsidRDefault="00987636" w:rsidP="00987636">
      <w:pPr>
        <w:spacing w:line="360" w:lineRule="auto"/>
        <w:rPr>
          <w:rFonts w:asciiTheme="majorBidi" w:hAnsiTheme="majorBidi" w:cstheme="majorBidi"/>
          <w:b/>
          <w:bCs/>
          <w:sz w:val="24"/>
          <w:szCs w:val="24"/>
        </w:rPr>
      </w:pPr>
      <w:r w:rsidRPr="00045659">
        <w:rPr>
          <w:rFonts w:asciiTheme="majorBidi" w:hAnsiTheme="majorBidi" w:cstheme="majorBidi"/>
          <w:b/>
          <w:bCs/>
          <w:sz w:val="24"/>
          <w:szCs w:val="24"/>
        </w:rPr>
        <w:t>List of Figures</w:t>
      </w:r>
    </w:p>
    <w:p w14:paraId="43C81312" w14:textId="77777777" w:rsidR="00987636" w:rsidRPr="00045659" w:rsidRDefault="00987636" w:rsidP="00EB2BA1">
      <w:pPr>
        <w:numPr>
          <w:ilvl w:val="0"/>
          <w:numId w:val="42"/>
        </w:numPr>
        <w:spacing w:line="360" w:lineRule="auto"/>
        <w:rPr>
          <w:rFonts w:asciiTheme="majorBidi" w:hAnsiTheme="majorBidi" w:cstheme="majorBidi"/>
          <w:sz w:val="24"/>
          <w:szCs w:val="24"/>
        </w:rPr>
      </w:pPr>
      <w:r w:rsidRPr="001A2C05">
        <w:rPr>
          <w:rFonts w:asciiTheme="majorBidi" w:hAnsiTheme="majorBidi" w:cstheme="majorBidi"/>
          <w:b/>
          <w:bCs/>
          <w:sz w:val="24"/>
          <w:szCs w:val="24"/>
        </w:rPr>
        <w:t>Figure</w:t>
      </w:r>
      <w:r>
        <w:rPr>
          <w:rFonts w:asciiTheme="majorBidi" w:hAnsiTheme="majorBidi" w:cstheme="majorBidi"/>
          <w:b/>
          <w:bCs/>
          <w:sz w:val="24"/>
          <w:szCs w:val="24"/>
        </w:rPr>
        <w:t xml:space="preserve"> 1: </w:t>
      </w:r>
      <w:r w:rsidRPr="003E1BDF">
        <w:rPr>
          <w:rFonts w:asciiTheme="majorBidi" w:hAnsiTheme="majorBidi" w:cstheme="majorBidi"/>
          <w:sz w:val="24"/>
          <w:szCs w:val="24"/>
        </w:rPr>
        <w:t>Market Entry Modes</w:t>
      </w:r>
      <w:r w:rsidRPr="001A2C05">
        <w:rPr>
          <w:rFonts w:asciiTheme="majorBidi" w:hAnsiTheme="majorBidi" w:cstheme="majorBidi"/>
          <w:b/>
          <w:bCs/>
          <w:sz w:val="24"/>
          <w:szCs w:val="24"/>
        </w:rPr>
        <w:t xml:space="preserve"> </w:t>
      </w:r>
      <w:r>
        <w:rPr>
          <w:rFonts w:asciiTheme="majorBidi" w:hAnsiTheme="majorBidi" w:cstheme="majorBidi"/>
          <w:b/>
          <w:bCs/>
          <w:sz w:val="24"/>
          <w:szCs w:val="24"/>
        </w:rPr>
        <w:t>……</w:t>
      </w:r>
      <w:r w:rsidRPr="003E1BDF">
        <w:rPr>
          <w:rFonts w:asciiTheme="majorBidi" w:hAnsiTheme="majorBidi" w:cstheme="majorBidi"/>
          <w:sz w:val="24"/>
          <w:szCs w:val="24"/>
        </w:rPr>
        <w:t>. 64</w:t>
      </w:r>
    </w:p>
    <w:p w14:paraId="6D907F70" w14:textId="77777777" w:rsidR="00987636" w:rsidRDefault="00987636" w:rsidP="00EB2BA1">
      <w:pPr>
        <w:pStyle w:val="ListParagraph"/>
        <w:numPr>
          <w:ilvl w:val="0"/>
          <w:numId w:val="42"/>
        </w:numPr>
        <w:spacing w:line="360" w:lineRule="auto"/>
        <w:rPr>
          <w:rFonts w:asciiTheme="majorBidi" w:hAnsiTheme="majorBidi" w:cstheme="majorBidi"/>
          <w:sz w:val="24"/>
          <w:szCs w:val="24"/>
        </w:rPr>
      </w:pPr>
      <w:r w:rsidRPr="00987636">
        <w:rPr>
          <w:rFonts w:asciiTheme="majorBidi" w:hAnsiTheme="majorBidi" w:cstheme="majorBidi"/>
          <w:b/>
          <w:bCs/>
          <w:sz w:val="24"/>
          <w:szCs w:val="24"/>
        </w:rPr>
        <w:t>Figure 2:</w:t>
      </w:r>
      <w:r w:rsidRPr="009F630F">
        <w:rPr>
          <w:rFonts w:asciiTheme="majorBidi" w:hAnsiTheme="majorBidi" w:cstheme="majorBidi"/>
          <w:sz w:val="24"/>
          <w:szCs w:val="24"/>
        </w:rPr>
        <w:t xml:space="preserve"> Innovation activity</w:t>
      </w:r>
      <w:r>
        <w:rPr>
          <w:rFonts w:asciiTheme="majorBidi" w:hAnsiTheme="majorBidi" w:cstheme="majorBidi"/>
          <w:sz w:val="24"/>
          <w:szCs w:val="24"/>
        </w:rPr>
        <w:t xml:space="preserve"> ……. 75</w:t>
      </w:r>
    </w:p>
    <w:p w14:paraId="5B75ED16" w14:textId="77777777" w:rsidR="00987636" w:rsidRPr="00E563E9" w:rsidRDefault="00987636" w:rsidP="00EB2BA1">
      <w:pPr>
        <w:pStyle w:val="ListParagraph"/>
        <w:numPr>
          <w:ilvl w:val="0"/>
          <w:numId w:val="42"/>
        </w:numPr>
        <w:spacing w:line="360" w:lineRule="auto"/>
        <w:rPr>
          <w:rFonts w:asciiTheme="majorBidi" w:hAnsiTheme="majorBidi" w:cstheme="majorBidi"/>
          <w:sz w:val="24"/>
          <w:szCs w:val="24"/>
        </w:rPr>
      </w:pPr>
      <w:r w:rsidRPr="00E563E9">
        <w:rPr>
          <w:rFonts w:asciiTheme="majorBidi" w:hAnsiTheme="majorBidi" w:cstheme="majorBidi"/>
          <w:b/>
          <w:bCs/>
          <w:sz w:val="24"/>
          <w:szCs w:val="24"/>
        </w:rPr>
        <w:t xml:space="preserve">Figure </w:t>
      </w:r>
      <w:r>
        <w:rPr>
          <w:rFonts w:asciiTheme="majorBidi" w:hAnsiTheme="majorBidi" w:cstheme="majorBidi"/>
          <w:b/>
          <w:bCs/>
          <w:sz w:val="24"/>
          <w:szCs w:val="24"/>
        </w:rPr>
        <w:t>3</w:t>
      </w:r>
      <w:r w:rsidRPr="00E563E9">
        <w:rPr>
          <w:rFonts w:asciiTheme="majorBidi" w:hAnsiTheme="majorBidi" w:cstheme="majorBidi"/>
          <w:sz w:val="24"/>
          <w:szCs w:val="24"/>
        </w:rPr>
        <w:t>: Saudi Arabia’s renewable energy capacity (in GW) from 2010 up to the Vision 2030 target for 2030…………… 84</w:t>
      </w:r>
    </w:p>
    <w:p w14:paraId="56155981" w14:textId="77777777" w:rsidR="00987636" w:rsidRPr="00BE43C4" w:rsidRDefault="00987636" w:rsidP="00987636">
      <w:pPr>
        <w:pStyle w:val="ListParagraph"/>
        <w:spacing w:line="360" w:lineRule="auto"/>
        <w:rPr>
          <w:rFonts w:asciiTheme="majorBidi" w:hAnsiTheme="majorBidi" w:cstheme="majorBidi"/>
          <w:sz w:val="24"/>
          <w:szCs w:val="24"/>
        </w:rPr>
      </w:pPr>
    </w:p>
    <w:p w14:paraId="0C179504" w14:textId="77777777" w:rsidR="00987636" w:rsidRDefault="00987636" w:rsidP="00987636">
      <w:pPr>
        <w:spacing w:line="360" w:lineRule="auto"/>
        <w:rPr>
          <w:rFonts w:asciiTheme="majorBidi" w:hAnsiTheme="majorBidi" w:cstheme="majorBidi"/>
          <w:b/>
          <w:bCs/>
          <w:sz w:val="24"/>
          <w:szCs w:val="24"/>
        </w:rPr>
      </w:pPr>
    </w:p>
    <w:p w14:paraId="1C516930" w14:textId="77777777" w:rsidR="0093399E" w:rsidRDefault="0093399E" w:rsidP="00987636">
      <w:pPr>
        <w:spacing w:line="360" w:lineRule="auto"/>
        <w:rPr>
          <w:rFonts w:asciiTheme="majorBidi" w:hAnsiTheme="majorBidi" w:cstheme="majorBidi"/>
          <w:b/>
          <w:bCs/>
          <w:sz w:val="24"/>
          <w:szCs w:val="24"/>
        </w:rPr>
      </w:pPr>
    </w:p>
    <w:p w14:paraId="72F48278" w14:textId="77777777" w:rsidR="00870357" w:rsidRDefault="00870357" w:rsidP="00045659">
      <w:pPr>
        <w:spacing w:line="360" w:lineRule="auto"/>
        <w:rPr>
          <w:rFonts w:asciiTheme="majorBidi" w:hAnsiTheme="majorBidi" w:cstheme="majorBidi"/>
          <w:b/>
          <w:bCs/>
          <w:sz w:val="24"/>
          <w:szCs w:val="24"/>
        </w:rPr>
      </w:pPr>
    </w:p>
    <w:bookmarkEnd w:id="0"/>
    <w:p w14:paraId="43E549C3" w14:textId="0B84AA72" w:rsidR="00045659" w:rsidRPr="00045659" w:rsidRDefault="00045659" w:rsidP="00045659">
      <w:pPr>
        <w:spacing w:line="360" w:lineRule="auto"/>
        <w:rPr>
          <w:rFonts w:asciiTheme="majorBidi" w:hAnsiTheme="majorBidi" w:cstheme="majorBidi"/>
          <w:b/>
          <w:bCs/>
          <w:sz w:val="24"/>
          <w:szCs w:val="24"/>
        </w:rPr>
      </w:pPr>
      <w:r w:rsidRPr="00045659">
        <w:rPr>
          <w:rFonts w:asciiTheme="majorBidi" w:hAnsiTheme="majorBidi" w:cstheme="majorBidi"/>
          <w:b/>
          <w:bCs/>
          <w:sz w:val="24"/>
          <w:szCs w:val="24"/>
        </w:rPr>
        <w:lastRenderedPageBreak/>
        <w:t>List of Terminology</w:t>
      </w:r>
    </w:p>
    <w:p w14:paraId="4E4B882B" w14:textId="524B76E0"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EPC (Engineering, Procurement, and Construction)</w:t>
      </w:r>
      <w:r w:rsidRPr="00045659">
        <w:rPr>
          <w:rFonts w:asciiTheme="majorBidi" w:hAnsiTheme="majorBidi" w:cstheme="majorBidi"/>
          <w:sz w:val="24"/>
          <w:szCs w:val="24"/>
        </w:rPr>
        <w:t xml:space="preserve"> </w:t>
      </w:r>
      <w:r w:rsidR="00014827">
        <w:rPr>
          <w:rFonts w:asciiTheme="majorBidi" w:hAnsiTheme="majorBidi" w:cstheme="majorBidi"/>
          <w:sz w:val="24"/>
          <w:szCs w:val="24"/>
        </w:rPr>
        <w:t>a</w:t>
      </w:r>
      <w:r w:rsidRPr="00045659">
        <w:rPr>
          <w:rFonts w:asciiTheme="majorBidi" w:hAnsiTheme="majorBidi" w:cstheme="majorBidi"/>
          <w:sz w:val="24"/>
          <w:szCs w:val="24"/>
        </w:rPr>
        <w:t xml:space="preserve"> form of turnkey contract where a single contractor is responsible for the engineering design, procurement of equipment, and construction of a project, delivering a complete facility to the client on a fixed time and cost schedule. EPC contracts are common in large-scale energy projects (such as power plants) to streamline project delivery.</w:t>
      </w:r>
    </w:p>
    <w:p w14:paraId="42B3BAA7" w14:textId="00234FFA"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FDI (Foreign Direct Investment)</w:t>
      </w:r>
      <w:r w:rsidRPr="00045659">
        <w:rPr>
          <w:rFonts w:asciiTheme="majorBidi" w:hAnsiTheme="majorBidi" w:cstheme="majorBidi"/>
          <w:sz w:val="24"/>
          <w:szCs w:val="24"/>
        </w:rPr>
        <w:t xml:space="preserve"> An investment by an entity from one country into a business in another country, typically by establishing operations or acquiring a substantial stake in a company abroad. FDI involves a “lasting interest” and often implies active management or control of the foreign business. In the context of Saudi Arabia, FDI is a key mechanism for international energy firms entering the Saudi market and contributing capital and expertise.</w:t>
      </w:r>
    </w:p>
    <w:p w14:paraId="040C7B21" w14:textId="65BFDB32"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IKTVA (In-Kingdom Total Value Add)</w:t>
      </w:r>
      <w:r w:rsidRPr="00045659">
        <w:rPr>
          <w:rFonts w:asciiTheme="majorBidi" w:hAnsiTheme="majorBidi" w:cstheme="majorBidi"/>
          <w:sz w:val="24"/>
          <w:szCs w:val="24"/>
        </w:rPr>
        <w:t xml:space="preserve"> A localization program launched by Saudi Aramco in 2015 to increase local content in the Saudi energy sector. The IKTVA program incentivizes suppliers to invest in domestic facilities, workforce development, and technology transfer, with the goal of retaining a majority of oil &amp; gas procurement spending within Saudi Arabia. By driving supply chain efficiency and local industry growth, IKTVA supports Saudi economic diversification and Vision 2030 objectives.</w:t>
      </w:r>
    </w:p>
    <w:p w14:paraId="6DDC4806" w14:textId="0C4901E8"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IoT (Internet of Things)</w:t>
      </w:r>
      <w:r w:rsidRPr="00045659">
        <w:rPr>
          <w:rFonts w:asciiTheme="majorBidi" w:hAnsiTheme="majorBidi" w:cstheme="majorBidi"/>
          <w:sz w:val="24"/>
          <w:szCs w:val="24"/>
        </w:rPr>
        <w:t xml:space="preserve"> The network of interconnected devices, sensors, and software that collect and exchange data over the internet. In an industrial context, IoT enables real-time monitoring and control of equipment and infrastructure. In Saudi Arabia’s energy sector, IoT-based solutions (e.g. smart grid sensors or pipeline monitors) help improve operational efficiency, safety, and predictive maintenance through data-driven insights.</w:t>
      </w:r>
    </w:p>
    <w:p w14:paraId="36C4005F" w14:textId="67DAE2FE"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IPP (Independent Power Producer)</w:t>
      </w:r>
      <w:r w:rsidRPr="00045659">
        <w:rPr>
          <w:rFonts w:asciiTheme="majorBidi" w:hAnsiTheme="majorBidi" w:cstheme="majorBidi"/>
          <w:sz w:val="24"/>
          <w:szCs w:val="24"/>
        </w:rPr>
        <w:t xml:space="preserve"> A private company (non-utility) that owns and operates power generation facilities and sells electricity to the national grid or end-users. Unlike a state-owned utility, an IPP invests its own capital to develop projects and typically operates under long-term power purchase agreements. IPPs </w:t>
      </w:r>
      <w:r w:rsidRPr="00045659">
        <w:rPr>
          <w:rFonts w:asciiTheme="majorBidi" w:hAnsiTheme="majorBidi" w:cstheme="majorBidi"/>
          <w:sz w:val="24"/>
          <w:szCs w:val="24"/>
        </w:rPr>
        <w:lastRenderedPageBreak/>
        <w:t>have been instrumental in Saudi Arabia’s power sector, particularly for introducing renewable energy projects, as they add generation capacity and drive competition in line with market liberalization efforts.</w:t>
      </w:r>
    </w:p>
    <w:p w14:paraId="184F0F76" w14:textId="53430F93"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JV (Joint Venture)</w:t>
      </w:r>
      <w:r w:rsidRPr="00045659">
        <w:rPr>
          <w:rFonts w:asciiTheme="majorBidi" w:hAnsiTheme="majorBidi" w:cstheme="majorBidi"/>
          <w:sz w:val="24"/>
          <w:szCs w:val="24"/>
        </w:rPr>
        <w:t xml:space="preserve"> A business arrangement in which two or more parties establish a new, jointly-owned entity to undertake a specific project or business activity. In a JV, partners pool their resources and share profits, losses, and management responsibilities. Joint ventures are a common market entry strategy for foreign companies in Saudi Arabia’s energy sector, allowing international firms to partner with local entities (such as Aramco or other Saudi companies) to combine expertise, share risks, and comply with local ownership regulations.</w:t>
      </w:r>
    </w:p>
    <w:p w14:paraId="2C10D844" w14:textId="4EB96A6B"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KSA (Kingdom of Saudi Arabia)</w:t>
      </w:r>
      <w:r w:rsidRPr="00045659">
        <w:rPr>
          <w:rFonts w:asciiTheme="majorBidi" w:hAnsiTheme="majorBidi" w:cstheme="majorBidi"/>
          <w:sz w:val="24"/>
          <w:szCs w:val="24"/>
        </w:rPr>
        <w:t xml:space="preserve"> The official name of Saudi Arabia, often abbreviated as KSA. In this thesis, “KSA” is used to refer to the country in the context of its energy sector and business environment.</w:t>
      </w:r>
    </w:p>
    <w:p w14:paraId="1D457D99" w14:textId="3A3479EA"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NREP (National Renewable Energy Program)</w:t>
      </w:r>
      <w:r w:rsidRPr="00045659">
        <w:rPr>
          <w:rFonts w:asciiTheme="majorBidi" w:hAnsiTheme="majorBidi" w:cstheme="majorBidi"/>
          <w:sz w:val="24"/>
          <w:szCs w:val="24"/>
        </w:rPr>
        <w:t xml:space="preserve"> A Saudi government initiative (under the Ministry of Energy) to expand renewable energy generation as part of Vision 2030. The NREP oversees the planning and tendering of solar and wind projects, targeting an initial 9.5 GW of renewable capacity by 2023 in its first phase. By attracting private investment (often via IPP/PPP models) and leveraging resources like solar PV, the NREP aims to diversify the energy mix and reduce reliance on oil.</w:t>
      </w:r>
    </w:p>
    <w:p w14:paraId="0DF028B5" w14:textId="0A35E732"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PIF (Public Investment Fund)</w:t>
      </w:r>
      <w:r w:rsidRPr="00045659">
        <w:rPr>
          <w:rFonts w:asciiTheme="majorBidi" w:hAnsiTheme="majorBidi" w:cstheme="majorBidi"/>
          <w:sz w:val="24"/>
          <w:szCs w:val="24"/>
        </w:rPr>
        <w:t xml:space="preserve"> Saudi Arabia’s sovereign wealth fund, among the largest in the world, established in 1971 to invest on behalf of the government in strategic sectors. PIF finances major domestic initiatives and international projects to support the Kingdom’s economic transformation. In the energy domain, PIF plays a vital role by funding key projects (such as renewable energy ventures and infrastructure) and forming strategic partnerships, aligning with Vision 2030’s diversification goals.</w:t>
      </w:r>
    </w:p>
    <w:p w14:paraId="51565E3A" w14:textId="7B21EC9F"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PPP (Public–Private Partnership)</w:t>
      </w:r>
      <w:r w:rsidRPr="00045659">
        <w:rPr>
          <w:rFonts w:asciiTheme="majorBidi" w:hAnsiTheme="majorBidi" w:cstheme="majorBidi"/>
          <w:sz w:val="24"/>
          <w:szCs w:val="24"/>
        </w:rPr>
        <w:t xml:space="preserve"> </w:t>
      </w:r>
      <w:r w:rsidR="00396A08">
        <w:rPr>
          <w:rFonts w:asciiTheme="majorBidi" w:hAnsiTheme="majorBidi" w:cstheme="majorBidi"/>
          <w:sz w:val="24"/>
          <w:szCs w:val="24"/>
        </w:rPr>
        <w:t>a</w:t>
      </w:r>
      <w:r w:rsidRPr="00045659">
        <w:rPr>
          <w:rFonts w:asciiTheme="majorBidi" w:hAnsiTheme="majorBidi" w:cstheme="majorBidi"/>
          <w:sz w:val="24"/>
          <w:szCs w:val="24"/>
        </w:rPr>
        <w:t xml:space="preserve"> cooperative arrangement between government and a private-sector company to finance, build, and operate a project </w:t>
      </w:r>
      <w:r w:rsidRPr="00045659">
        <w:rPr>
          <w:rFonts w:asciiTheme="majorBidi" w:hAnsiTheme="majorBidi" w:cstheme="majorBidi"/>
          <w:sz w:val="24"/>
          <w:szCs w:val="24"/>
        </w:rPr>
        <w:lastRenderedPageBreak/>
        <w:t>or service. In a PPP, the private partner typically provides upfront capital and expertise for infrastructure or public services, and in return gains revenues over the contract duration. Saudi Arabia employs PPP models for large infrastructure and energy projects (for example, independent power and water plants), leveraging private investment while sharing risks and rewards between the public and private sectors.</w:t>
      </w:r>
    </w:p>
    <w:p w14:paraId="7969B2EE" w14:textId="17400C8A"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PV (Photovoltaic)</w:t>
      </w:r>
      <w:r w:rsidRPr="00045659">
        <w:rPr>
          <w:rFonts w:asciiTheme="majorBidi" w:hAnsiTheme="majorBidi" w:cstheme="majorBidi"/>
          <w:sz w:val="24"/>
          <w:szCs w:val="24"/>
        </w:rPr>
        <w:t xml:space="preserve"> Relating to the technology that converts sunlight directly into electricity using semiconductor cells (the photovoltaic effect). “PV” typically refers to solar power generation; for instance, solar PV panels are used in Saudi Arabia’s solar farms to harness solar energy as part of the country’s renewable energy expansion.</w:t>
      </w:r>
    </w:p>
    <w:p w14:paraId="670248D3" w14:textId="0F2DD6B6"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SEC (Saudi Electricity Company)</w:t>
      </w:r>
      <w:r w:rsidRPr="00045659">
        <w:rPr>
          <w:rFonts w:asciiTheme="majorBidi" w:hAnsiTheme="majorBidi" w:cstheme="majorBidi"/>
          <w:sz w:val="24"/>
          <w:szCs w:val="24"/>
        </w:rPr>
        <w:t xml:space="preserve"> The national electricity utility of Saudi Arabia, which is a majority state-owned company responsible for power generation, transmission, and distribution across the Kingdom. Established in 2000 through a merger of regional utilities, SEC is the main provider of electric power in Saudi Arabia and is central to government efforts to upgrade the grid, integrate renewables, and meet rising energy demand.</w:t>
      </w:r>
    </w:p>
    <w:p w14:paraId="5DB0A3F0" w14:textId="6AF4505D" w:rsidR="00045659" w:rsidRPr="00045659"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SWOT analysis</w:t>
      </w:r>
      <w:r w:rsidR="00396A08">
        <w:rPr>
          <w:rFonts w:asciiTheme="majorBidi" w:hAnsiTheme="majorBidi" w:cstheme="majorBidi"/>
          <w:b/>
          <w:bCs/>
          <w:sz w:val="24"/>
          <w:szCs w:val="24"/>
        </w:rPr>
        <w:t>:</w:t>
      </w:r>
      <w:r w:rsidRPr="00045659">
        <w:rPr>
          <w:rFonts w:asciiTheme="majorBidi" w:hAnsiTheme="majorBidi" w:cstheme="majorBidi"/>
          <w:sz w:val="24"/>
          <w:szCs w:val="24"/>
        </w:rPr>
        <w:t xml:space="preserve"> </w:t>
      </w:r>
      <w:r w:rsidR="00396A08">
        <w:rPr>
          <w:rFonts w:asciiTheme="majorBidi" w:hAnsiTheme="majorBidi" w:cstheme="majorBidi"/>
          <w:sz w:val="24"/>
          <w:szCs w:val="24"/>
        </w:rPr>
        <w:t>a</w:t>
      </w:r>
      <w:r w:rsidRPr="00045659">
        <w:rPr>
          <w:rFonts w:asciiTheme="majorBidi" w:hAnsiTheme="majorBidi" w:cstheme="majorBidi"/>
          <w:sz w:val="24"/>
          <w:szCs w:val="24"/>
        </w:rPr>
        <w:t xml:space="preserve"> strategic planning tool used to evaluate an organization or sector by identifying its internal Strengths and Weaknesses, and external Opportunities and Threats. A SWOT analysis helps decision-makers understand the competitive position and environmental factors, informing strategy development. In this research, a SWOT analysis is applied to Saudi Arabia’s energy sector/business environment to assess favorable factors (e.g. abundant resources, strong government support) versus challenges (e.g. market barriers, competition, technological gaps).</w:t>
      </w:r>
    </w:p>
    <w:p w14:paraId="594F5D2B" w14:textId="574329BB" w:rsidR="000E79DD" w:rsidRPr="00A70905" w:rsidRDefault="00045659" w:rsidP="00EB2BA1">
      <w:pPr>
        <w:numPr>
          <w:ilvl w:val="0"/>
          <w:numId w:val="43"/>
        </w:numPr>
        <w:spacing w:line="360" w:lineRule="auto"/>
        <w:rPr>
          <w:rFonts w:asciiTheme="majorBidi" w:hAnsiTheme="majorBidi" w:cstheme="majorBidi"/>
          <w:sz w:val="24"/>
          <w:szCs w:val="24"/>
        </w:rPr>
      </w:pPr>
      <w:r w:rsidRPr="00045659">
        <w:rPr>
          <w:rFonts w:asciiTheme="majorBidi" w:hAnsiTheme="majorBidi" w:cstheme="majorBidi"/>
          <w:b/>
          <w:bCs/>
          <w:sz w:val="24"/>
          <w:szCs w:val="24"/>
        </w:rPr>
        <w:t>Vision 2030</w:t>
      </w:r>
      <w:r w:rsidRPr="00045659">
        <w:rPr>
          <w:rFonts w:asciiTheme="majorBidi" w:hAnsiTheme="majorBidi" w:cstheme="majorBidi"/>
          <w:sz w:val="24"/>
          <w:szCs w:val="24"/>
        </w:rPr>
        <w:t xml:space="preserve"> A comprehensive national reform plan unveiled in 2016 under the leadership of Crown Prince Mohammad bin Salman, aimed at diversifying Saudi Arabia’s economy away from oil dependence and developing public service sectors. Vision 2030 sets targets across economic and social domains, including significant initiatives in the energy sector (such as expanding renewables, </w:t>
      </w:r>
      <w:r w:rsidRPr="00045659">
        <w:rPr>
          <w:rFonts w:asciiTheme="majorBidi" w:hAnsiTheme="majorBidi" w:cstheme="majorBidi"/>
          <w:sz w:val="24"/>
          <w:szCs w:val="24"/>
        </w:rPr>
        <w:lastRenderedPageBreak/>
        <w:t>localizing energy industries through programs like IKTVA, and promoting investment via PIF). This Vision provides the strategic framework guiding business development and growth strategies discussed in the thesis.</w:t>
      </w:r>
    </w:p>
    <w:p w14:paraId="0EB3BAEC" w14:textId="77777777" w:rsidR="00C30E01" w:rsidRDefault="00C30E01" w:rsidP="005B051A">
      <w:pPr>
        <w:spacing w:line="360" w:lineRule="auto"/>
        <w:rPr>
          <w:rFonts w:asciiTheme="majorBidi" w:hAnsiTheme="majorBidi" w:cstheme="majorBidi"/>
          <w:b/>
          <w:bCs/>
          <w:sz w:val="24"/>
          <w:szCs w:val="24"/>
        </w:rPr>
      </w:pPr>
    </w:p>
    <w:p w14:paraId="1EF066C2" w14:textId="77777777" w:rsidR="00C30E01" w:rsidRDefault="00C30E01" w:rsidP="005B051A">
      <w:pPr>
        <w:spacing w:line="360" w:lineRule="auto"/>
        <w:rPr>
          <w:rFonts w:asciiTheme="majorBidi" w:hAnsiTheme="majorBidi" w:cstheme="majorBidi"/>
          <w:b/>
          <w:bCs/>
          <w:sz w:val="24"/>
          <w:szCs w:val="24"/>
        </w:rPr>
      </w:pPr>
    </w:p>
    <w:p w14:paraId="0EBAF185" w14:textId="77777777" w:rsidR="00C30E01" w:rsidRDefault="00C30E01" w:rsidP="005B051A">
      <w:pPr>
        <w:spacing w:line="360" w:lineRule="auto"/>
        <w:rPr>
          <w:rFonts w:asciiTheme="majorBidi" w:hAnsiTheme="majorBidi" w:cstheme="majorBidi"/>
          <w:b/>
          <w:bCs/>
          <w:sz w:val="24"/>
          <w:szCs w:val="24"/>
        </w:rPr>
      </w:pPr>
    </w:p>
    <w:p w14:paraId="32E7A4AD" w14:textId="77777777" w:rsidR="00C30E01" w:rsidRDefault="00C30E01" w:rsidP="005B051A">
      <w:pPr>
        <w:spacing w:line="360" w:lineRule="auto"/>
        <w:rPr>
          <w:rFonts w:asciiTheme="majorBidi" w:hAnsiTheme="majorBidi" w:cstheme="majorBidi"/>
          <w:b/>
          <w:bCs/>
          <w:sz w:val="24"/>
          <w:szCs w:val="24"/>
        </w:rPr>
      </w:pPr>
    </w:p>
    <w:p w14:paraId="101974AF" w14:textId="77777777" w:rsidR="00C30E01" w:rsidRDefault="00C30E01" w:rsidP="005B051A">
      <w:pPr>
        <w:spacing w:line="360" w:lineRule="auto"/>
        <w:rPr>
          <w:rFonts w:asciiTheme="majorBidi" w:hAnsiTheme="majorBidi" w:cstheme="majorBidi"/>
          <w:b/>
          <w:bCs/>
          <w:sz w:val="24"/>
          <w:szCs w:val="24"/>
        </w:rPr>
      </w:pPr>
    </w:p>
    <w:p w14:paraId="3AFDE604" w14:textId="77777777" w:rsidR="00C30E01" w:rsidRDefault="00C30E01" w:rsidP="005B051A">
      <w:pPr>
        <w:spacing w:line="360" w:lineRule="auto"/>
        <w:rPr>
          <w:rFonts w:asciiTheme="majorBidi" w:hAnsiTheme="majorBidi" w:cstheme="majorBidi"/>
          <w:b/>
          <w:bCs/>
          <w:sz w:val="24"/>
          <w:szCs w:val="24"/>
        </w:rPr>
      </w:pPr>
    </w:p>
    <w:p w14:paraId="49884AB2" w14:textId="77777777" w:rsidR="00C30E01" w:rsidRDefault="00C30E01" w:rsidP="005B051A">
      <w:pPr>
        <w:spacing w:line="360" w:lineRule="auto"/>
        <w:rPr>
          <w:rFonts w:asciiTheme="majorBidi" w:hAnsiTheme="majorBidi" w:cstheme="majorBidi"/>
          <w:b/>
          <w:bCs/>
          <w:sz w:val="24"/>
          <w:szCs w:val="24"/>
        </w:rPr>
      </w:pPr>
    </w:p>
    <w:p w14:paraId="6A3449CE" w14:textId="77777777" w:rsidR="00C30E01" w:rsidRDefault="00C30E01" w:rsidP="005B051A">
      <w:pPr>
        <w:spacing w:line="360" w:lineRule="auto"/>
        <w:rPr>
          <w:rFonts w:asciiTheme="majorBidi" w:hAnsiTheme="majorBidi" w:cstheme="majorBidi"/>
          <w:b/>
          <w:bCs/>
          <w:sz w:val="24"/>
          <w:szCs w:val="24"/>
        </w:rPr>
      </w:pPr>
    </w:p>
    <w:p w14:paraId="6E0E07B4" w14:textId="77777777" w:rsidR="00C30E01" w:rsidRDefault="00C30E01" w:rsidP="005B051A">
      <w:pPr>
        <w:spacing w:line="360" w:lineRule="auto"/>
        <w:rPr>
          <w:rFonts w:asciiTheme="majorBidi" w:hAnsiTheme="majorBidi" w:cstheme="majorBidi"/>
          <w:b/>
          <w:bCs/>
          <w:sz w:val="24"/>
          <w:szCs w:val="24"/>
        </w:rPr>
      </w:pPr>
    </w:p>
    <w:p w14:paraId="6249A9EF" w14:textId="77777777" w:rsidR="00C30E01" w:rsidRDefault="00C30E01" w:rsidP="005B051A">
      <w:pPr>
        <w:spacing w:line="360" w:lineRule="auto"/>
        <w:rPr>
          <w:rFonts w:asciiTheme="majorBidi" w:hAnsiTheme="majorBidi" w:cstheme="majorBidi"/>
          <w:b/>
          <w:bCs/>
          <w:sz w:val="24"/>
          <w:szCs w:val="24"/>
        </w:rPr>
      </w:pPr>
    </w:p>
    <w:p w14:paraId="5B00CF0A" w14:textId="77777777" w:rsidR="00C30E01" w:rsidRDefault="00C30E01" w:rsidP="005B051A">
      <w:pPr>
        <w:spacing w:line="360" w:lineRule="auto"/>
        <w:rPr>
          <w:rFonts w:asciiTheme="majorBidi" w:hAnsiTheme="majorBidi" w:cstheme="majorBidi"/>
          <w:b/>
          <w:bCs/>
          <w:sz w:val="24"/>
          <w:szCs w:val="24"/>
        </w:rPr>
      </w:pPr>
    </w:p>
    <w:p w14:paraId="0F2EA20E" w14:textId="77777777" w:rsidR="00C30E01" w:rsidRDefault="00C30E01" w:rsidP="005B051A">
      <w:pPr>
        <w:spacing w:line="360" w:lineRule="auto"/>
        <w:rPr>
          <w:rFonts w:asciiTheme="majorBidi" w:hAnsiTheme="majorBidi" w:cstheme="majorBidi"/>
          <w:b/>
          <w:bCs/>
          <w:sz w:val="24"/>
          <w:szCs w:val="24"/>
        </w:rPr>
      </w:pPr>
    </w:p>
    <w:p w14:paraId="57556741" w14:textId="77777777" w:rsidR="00C30E01" w:rsidRDefault="00C30E01" w:rsidP="005B051A">
      <w:pPr>
        <w:spacing w:line="360" w:lineRule="auto"/>
        <w:rPr>
          <w:rFonts w:asciiTheme="majorBidi" w:hAnsiTheme="majorBidi" w:cstheme="majorBidi"/>
          <w:b/>
          <w:bCs/>
          <w:sz w:val="24"/>
          <w:szCs w:val="24"/>
        </w:rPr>
      </w:pPr>
    </w:p>
    <w:p w14:paraId="44CD4E33" w14:textId="77777777" w:rsidR="00C30E01" w:rsidRDefault="00C30E01" w:rsidP="005B051A">
      <w:pPr>
        <w:spacing w:line="360" w:lineRule="auto"/>
        <w:rPr>
          <w:rFonts w:asciiTheme="majorBidi" w:hAnsiTheme="majorBidi" w:cstheme="majorBidi"/>
          <w:b/>
          <w:bCs/>
          <w:sz w:val="24"/>
          <w:szCs w:val="24"/>
        </w:rPr>
      </w:pPr>
    </w:p>
    <w:p w14:paraId="47D20E43" w14:textId="77777777" w:rsidR="00C30E01" w:rsidRDefault="00C30E01" w:rsidP="005B051A">
      <w:pPr>
        <w:spacing w:line="360" w:lineRule="auto"/>
        <w:rPr>
          <w:rFonts w:asciiTheme="majorBidi" w:hAnsiTheme="majorBidi" w:cstheme="majorBidi"/>
          <w:b/>
          <w:bCs/>
          <w:sz w:val="24"/>
          <w:szCs w:val="24"/>
        </w:rPr>
      </w:pPr>
    </w:p>
    <w:p w14:paraId="409C9E1C" w14:textId="77777777" w:rsidR="00C30E01" w:rsidRDefault="00C30E01" w:rsidP="005B051A">
      <w:pPr>
        <w:spacing w:line="360" w:lineRule="auto"/>
        <w:rPr>
          <w:rFonts w:asciiTheme="majorBidi" w:hAnsiTheme="majorBidi" w:cstheme="majorBidi"/>
          <w:b/>
          <w:bCs/>
          <w:sz w:val="24"/>
          <w:szCs w:val="24"/>
        </w:rPr>
      </w:pPr>
    </w:p>
    <w:p w14:paraId="35D86C6F" w14:textId="77777777" w:rsidR="00C30E01" w:rsidRDefault="00C30E01" w:rsidP="005B051A">
      <w:pPr>
        <w:spacing w:line="360" w:lineRule="auto"/>
        <w:rPr>
          <w:rFonts w:asciiTheme="majorBidi" w:hAnsiTheme="majorBidi" w:cstheme="majorBidi"/>
          <w:b/>
          <w:bCs/>
          <w:sz w:val="24"/>
          <w:szCs w:val="24"/>
        </w:rPr>
      </w:pPr>
    </w:p>
    <w:p w14:paraId="782A714E" w14:textId="77777777" w:rsidR="00C30E01" w:rsidRDefault="00C30E01" w:rsidP="005B051A">
      <w:pPr>
        <w:spacing w:line="360" w:lineRule="auto"/>
        <w:rPr>
          <w:rFonts w:asciiTheme="majorBidi" w:hAnsiTheme="majorBidi" w:cstheme="majorBidi"/>
          <w:b/>
          <w:bCs/>
          <w:sz w:val="24"/>
          <w:szCs w:val="24"/>
        </w:rPr>
      </w:pPr>
    </w:p>
    <w:p w14:paraId="39EFB3AC" w14:textId="77777777" w:rsidR="00014827" w:rsidRDefault="00014827" w:rsidP="005B051A">
      <w:pPr>
        <w:spacing w:line="360" w:lineRule="auto"/>
        <w:rPr>
          <w:rFonts w:asciiTheme="majorBidi" w:hAnsiTheme="majorBidi" w:cstheme="majorBidi"/>
          <w:b/>
          <w:bCs/>
          <w:sz w:val="24"/>
          <w:szCs w:val="24"/>
        </w:rPr>
      </w:pPr>
    </w:p>
    <w:p w14:paraId="1ADC6A2D" w14:textId="77777777" w:rsidR="00C30E01" w:rsidRDefault="00C30E01" w:rsidP="005B051A">
      <w:pPr>
        <w:spacing w:line="360" w:lineRule="auto"/>
        <w:rPr>
          <w:rFonts w:asciiTheme="majorBidi" w:hAnsiTheme="majorBidi" w:cstheme="majorBidi"/>
          <w:b/>
          <w:bCs/>
          <w:sz w:val="24"/>
          <w:szCs w:val="24"/>
        </w:rPr>
      </w:pPr>
    </w:p>
    <w:p w14:paraId="27975F85" w14:textId="0F49BCCB"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List of Abbreviations</w:t>
      </w:r>
    </w:p>
    <w:p w14:paraId="75384828" w14:textId="0ABA4416"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ACWA Power</w:t>
      </w:r>
      <w:r w:rsidR="00014827">
        <w:rPr>
          <w:rFonts w:asciiTheme="majorBidi" w:hAnsiTheme="majorBidi" w:cstheme="majorBidi"/>
          <w:sz w:val="24"/>
          <w:szCs w:val="24"/>
        </w:rPr>
        <w:t xml:space="preserve">: </w:t>
      </w:r>
      <w:r w:rsidRPr="00A70905">
        <w:rPr>
          <w:rFonts w:asciiTheme="majorBidi" w:hAnsiTheme="majorBidi" w:cstheme="majorBidi"/>
          <w:sz w:val="24"/>
          <w:szCs w:val="24"/>
        </w:rPr>
        <w:t>(</w:t>
      </w:r>
      <w:r w:rsidRPr="00A70905">
        <w:rPr>
          <w:rFonts w:asciiTheme="majorBidi" w:hAnsiTheme="majorBidi" w:cstheme="majorBidi"/>
          <w:i/>
          <w:iCs/>
          <w:sz w:val="24"/>
          <w:szCs w:val="24"/>
          <w:rtl/>
        </w:rPr>
        <w:t xml:space="preserve">شركة </w:t>
      </w:r>
      <w:proofErr w:type="spellStart"/>
      <w:r w:rsidRPr="00A70905">
        <w:rPr>
          <w:rFonts w:asciiTheme="majorBidi" w:hAnsiTheme="majorBidi" w:cstheme="majorBidi"/>
          <w:i/>
          <w:iCs/>
          <w:sz w:val="24"/>
          <w:szCs w:val="24"/>
          <w:rtl/>
        </w:rPr>
        <w:t>أكوا</w:t>
      </w:r>
      <w:proofErr w:type="spellEnd"/>
      <w:r w:rsidRPr="00A70905">
        <w:rPr>
          <w:rFonts w:asciiTheme="majorBidi" w:hAnsiTheme="majorBidi" w:cstheme="majorBidi"/>
          <w:i/>
          <w:iCs/>
          <w:sz w:val="24"/>
          <w:szCs w:val="24"/>
          <w:rtl/>
        </w:rPr>
        <w:t xml:space="preserve"> باور</w:t>
      </w:r>
      <w:r w:rsidRPr="00A70905">
        <w:rPr>
          <w:rFonts w:asciiTheme="majorBidi" w:hAnsiTheme="majorBidi" w:cstheme="majorBidi"/>
          <w:sz w:val="24"/>
          <w:szCs w:val="24"/>
        </w:rPr>
        <w:t>) A major Saudi energy project developer (originally “Arabian Company for Water and Power Development”).</w:t>
      </w:r>
    </w:p>
    <w:p w14:paraId="0B351461" w14:textId="5C998DF5"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AI</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 xml:space="preserve"> Artificial Intelligence.</w:t>
      </w:r>
    </w:p>
    <w:p w14:paraId="0E5B8BCF" w14:textId="41800019"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EV</w:t>
      </w:r>
      <w:r w:rsidR="00014827">
        <w:rPr>
          <w:rFonts w:asciiTheme="majorBidi" w:hAnsiTheme="majorBidi" w:cstheme="majorBidi"/>
          <w:sz w:val="24"/>
          <w:szCs w:val="24"/>
        </w:rPr>
        <w:t>:</w:t>
      </w:r>
      <w:r w:rsidRPr="00A70905">
        <w:rPr>
          <w:rFonts w:asciiTheme="majorBidi" w:hAnsiTheme="majorBidi" w:cstheme="majorBidi"/>
          <w:sz w:val="24"/>
          <w:szCs w:val="24"/>
        </w:rPr>
        <w:t xml:space="preserve"> Electric Vehicle.</w:t>
      </w:r>
    </w:p>
    <w:p w14:paraId="690F2B03" w14:textId="53FCAAC5" w:rsid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IKTVA</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 xml:space="preserve"> In-Kingdom Total Value Add program (Aramco’s localization initiative, known in Arabic as "</w:t>
      </w:r>
      <w:r w:rsidRPr="00A70905">
        <w:rPr>
          <w:rFonts w:asciiTheme="majorBidi" w:hAnsiTheme="majorBidi" w:cstheme="majorBidi"/>
          <w:i/>
          <w:iCs/>
          <w:sz w:val="24"/>
          <w:szCs w:val="24"/>
          <w:rtl/>
        </w:rPr>
        <w:t>اكتفاء</w:t>
      </w:r>
      <w:r w:rsidRPr="00A70905">
        <w:rPr>
          <w:rFonts w:asciiTheme="majorBidi" w:hAnsiTheme="majorBidi" w:cstheme="majorBidi"/>
          <w:sz w:val="24"/>
          <w:szCs w:val="24"/>
        </w:rPr>
        <w:t>").</w:t>
      </w:r>
    </w:p>
    <w:p w14:paraId="171FD137" w14:textId="33ED6C9B" w:rsidR="00D8510C" w:rsidRPr="00A70905" w:rsidRDefault="00D8510C" w:rsidP="00EB2BA1">
      <w:pPr>
        <w:numPr>
          <w:ilvl w:val="0"/>
          <w:numId w:val="2"/>
        </w:numPr>
        <w:spacing w:line="360" w:lineRule="auto"/>
        <w:rPr>
          <w:rFonts w:asciiTheme="majorBidi" w:hAnsiTheme="majorBidi" w:cstheme="majorBidi"/>
          <w:sz w:val="24"/>
          <w:szCs w:val="24"/>
        </w:rPr>
      </w:pPr>
      <w:r w:rsidRPr="00D8510C">
        <w:rPr>
          <w:rFonts w:asciiTheme="majorBidi" w:hAnsiTheme="majorBidi" w:cstheme="majorBidi"/>
          <w:b/>
          <w:bCs/>
          <w:sz w:val="24"/>
          <w:szCs w:val="24"/>
        </w:rPr>
        <w:t>IP</w:t>
      </w:r>
      <w:r>
        <w:rPr>
          <w:rFonts w:asciiTheme="majorBidi" w:hAnsiTheme="majorBidi" w:cstheme="majorBidi"/>
          <w:sz w:val="24"/>
          <w:szCs w:val="24"/>
        </w:rPr>
        <w:t xml:space="preserve">: </w:t>
      </w:r>
      <w:r w:rsidRPr="00D8510C">
        <w:rPr>
          <w:rFonts w:asciiTheme="majorBidi" w:hAnsiTheme="majorBidi" w:cstheme="majorBidi"/>
          <w:sz w:val="24"/>
          <w:szCs w:val="24"/>
        </w:rPr>
        <w:t>Intellectual Property</w:t>
      </w:r>
    </w:p>
    <w:p w14:paraId="05F1EF61" w14:textId="11123BC7"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KAUST</w:t>
      </w:r>
      <w:r w:rsidR="00014827">
        <w:rPr>
          <w:rFonts w:asciiTheme="majorBidi" w:hAnsiTheme="majorBidi" w:cstheme="majorBidi"/>
          <w:sz w:val="24"/>
          <w:szCs w:val="24"/>
        </w:rPr>
        <w:t>:</w:t>
      </w:r>
      <w:r w:rsidRPr="00A70905">
        <w:rPr>
          <w:rFonts w:asciiTheme="majorBidi" w:hAnsiTheme="majorBidi" w:cstheme="majorBidi"/>
          <w:sz w:val="24"/>
          <w:szCs w:val="24"/>
        </w:rPr>
        <w:t xml:space="preserve"> King Abdullah University of Science and Technology.</w:t>
      </w:r>
    </w:p>
    <w:p w14:paraId="2D79152F" w14:textId="0565FCC5"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KACST</w:t>
      </w:r>
      <w:r w:rsidR="00014827">
        <w:rPr>
          <w:rFonts w:asciiTheme="majorBidi" w:hAnsiTheme="majorBidi" w:cstheme="majorBidi"/>
          <w:sz w:val="24"/>
          <w:szCs w:val="24"/>
        </w:rPr>
        <w:t>;</w:t>
      </w:r>
      <w:r w:rsidRPr="00A70905">
        <w:rPr>
          <w:rFonts w:asciiTheme="majorBidi" w:hAnsiTheme="majorBidi" w:cstheme="majorBidi"/>
          <w:sz w:val="24"/>
          <w:szCs w:val="24"/>
        </w:rPr>
        <w:t xml:space="preserve"> King Abdulaziz City for Science and Technology.</w:t>
      </w:r>
    </w:p>
    <w:p w14:paraId="192E87B7" w14:textId="3402FD7A"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KFUPM</w:t>
      </w:r>
      <w:r w:rsidR="00014827">
        <w:rPr>
          <w:rFonts w:asciiTheme="majorBidi" w:hAnsiTheme="majorBidi" w:cstheme="majorBidi"/>
          <w:sz w:val="24"/>
          <w:szCs w:val="24"/>
        </w:rPr>
        <w:t>:</w:t>
      </w:r>
      <w:r w:rsidRPr="00A70905">
        <w:rPr>
          <w:rFonts w:asciiTheme="majorBidi" w:hAnsiTheme="majorBidi" w:cstheme="majorBidi"/>
          <w:sz w:val="24"/>
          <w:szCs w:val="24"/>
        </w:rPr>
        <w:t xml:space="preserve"> King Fahd University of Petroleum and Minerals.</w:t>
      </w:r>
    </w:p>
    <w:p w14:paraId="29193094" w14:textId="16A0DF21"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MISA</w:t>
      </w:r>
      <w:r w:rsidR="00014827">
        <w:rPr>
          <w:rFonts w:asciiTheme="majorBidi" w:hAnsiTheme="majorBidi" w:cstheme="majorBidi"/>
          <w:sz w:val="24"/>
          <w:szCs w:val="24"/>
        </w:rPr>
        <w:t>:</w:t>
      </w:r>
      <w:r w:rsidRPr="00A70905">
        <w:rPr>
          <w:rFonts w:asciiTheme="majorBidi" w:hAnsiTheme="majorBidi" w:cstheme="majorBidi"/>
          <w:sz w:val="24"/>
          <w:szCs w:val="24"/>
        </w:rPr>
        <w:t xml:space="preserve"> Ministry of Investment, Saudi Arabia (formerly SAGIA Saudi Arabian General Investment Authority).</w:t>
      </w:r>
    </w:p>
    <w:p w14:paraId="466960FA" w14:textId="704A3A0F"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NEOM</w:t>
      </w:r>
      <w:r w:rsidR="00014827">
        <w:rPr>
          <w:rFonts w:asciiTheme="majorBidi" w:hAnsiTheme="majorBidi" w:cstheme="majorBidi"/>
          <w:sz w:val="24"/>
          <w:szCs w:val="24"/>
        </w:rPr>
        <w:t>:</w:t>
      </w:r>
      <w:r w:rsidRPr="00A70905">
        <w:rPr>
          <w:rFonts w:asciiTheme="majorBidi" w:hAnsiTheme="majorBidi" w:cstheme="majorBidi"/>
          <w:sz w:val="24"/>
          <w:szCs w:val="24"/>
        </w:rPr>
        <w:t xml:space="preserve"> A planned high-tech city in northwest Saudi Arabia, part of Vision 2030 initiatives.</w:t>
      </w:r>
    </w:p>
    <w:p w14:paraId="53BA2E09" w14:textId="349CA432"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PIF</w:t>
      </w:r>
      <w:r w:rsidRPr="00A70905">
        <w:rPr>
          <w:rFonts w:asciiTheme="majorBidi" w:hAnsiTheme="majorBidi" w:cstheme="majorBidi"/>
          <w:sz w:val="24"/>
          <w:szCs w:val="24"/>
        </w:rPr>
        <w:t xml:space="preserve"> Public Investment Fund (Saudi Arabia’s sovereign wealth fund).</w:t>
      </w:r>
    </w:p>
    <w:p w14:paraId="2884F998" w14:textId="7853ED46"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PESTLE</w:t>
      </w:r>
      <w:r w:rsidRPr="00A70905">
        <w:rPr>
          <w:rFonts w:asciiTheme="majorBidi" w:hAnsiTheme="majorBidi" w:cstheme="majorBidi"/>
          <w:sz w:val="24"/>
          <w:szCs w:val="24"/>
        </w:rPr>
        <w:t xml:space="preserve"> Political, Economic, Social, Technological, Legal, and Environmental (analysis framework).</w:t>
      </w:r>
    </w:p>
    <w:p w14:paraId="10680C65" w14:textId="46C291D6"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PPP</w:t>
      </w:r>
      <w:r w:rsidRPr="00A70905">
        <w:rPr>
          <w:rFonts w:asciiTheme="majorBidi" w:hAnsiTheme="majorBidi" w:cstheme="majorBidi"/>
          <w:sz w:val="24"/>
          <w:szCs w:val="24"/>
        </w:rPr>
        <w:t xml:space="preserve"> Public-Private Partnership.</w:t>
      </w:r>
    </w:p>
    <w:p w14:paraId="02B03FCF" w14:textId="04AE4A3B"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R&amp;D</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Research and Development.</w:t>
      </w:r>
    </w:p>
    <w:p w14:paraId="3E8C95C2" w14:textId="314CD719"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RDI</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Research, Development and Innovation (as in Saudi Arabia’s national RDI initiatives and authority “RDIA”).</w:t>
      </w:r>
    </w:p>
    <w:p w14:paraId="3259F7BD" w14:textId="3D47D3E5"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RDIA</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Research, Development and Innovation Authority (Saudi government body promoting R&amp;D and innovation).</w:t>
      </w:r>
    </w:p>
    <w:p w14:paraId="4081EA59" w14:textId="09C770B9"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SEC</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Saudi Electricity Company (the national power utility of KSA).</w:t>
      </w:r>
    </w:p>
    <w:p w14:paraId="53082642" w14:textId="7624E039"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SMEs</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Small and Medium-sized Enterprises.</w:t>
      </w:r>
    </w:p>
    <w:p w14:paraId="7AB08837" w14:textId="400F4730"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SWOT</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Strengths, Weaknesses, Opportunities, Threats (analysis framework).</w:t>
      </w:r>
    </w:p>
    <w:p w14:paraId="6166A8CE" w14:textId="7468D61F" w:rsidR="00A70905" w:rsidRPr="00A70905" w:rsidRDefault="00A70905" w:rsidP="00EB2BA1">
      <w:pPr>
        <w:numPr>
          <w:ilvl w:val="0"/>
          <w:numId w:val="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Vision 2030</w:t>
      </w:r>
      <w:r w:rsidRPr="00A70905">
        <w:rPr>
          <w:rFonts w:asciiTheme="majorBidi" w:hAnsiTheme="majorBidi" w:cstheme="majorBidi"/>
          <w:sz w:val="24"/>
          <w:szCs w:val="24"/>
        </w:rPr>
        <w:t xml:space="preserve"> </w:t>
      </w:r>
      <w:r w:rsidR="00014827">
        <w:rPr>
          <w:rFonts w:asciiTheme="majorBidi" w:hAnsiTheme="majorBidi" w:cstheme="majorBidi"/>
          <w:sz w:val="24"/>
          <w:szCs w:val="24"/>
        </w:rPr>
        <w:t>:</w:t>
      </w:r>
      <w:r w:rsidRPr="00A70905">
        <w:rPr>
          <w:rFonts w:asciiTheme="majorBidi" w:hAnsiTheme="majorBidi" w:cstheme="majorBidi"/>
          <w:sz w:val="24"/>
          <w:szCs w:val="24"/>
        </w:rPr>
        <w:t>Saudi Arabia’s strategic vision and development plan for the year 2030.</w:t>
      </w:r>
    </w:p>
    <w:p w14:paraId="3A66C65F" w14:textId="120B15F7" w:rsidR="00A70905" w:rsidRPr="00600E38" w:rsidRDefault="00A70905" w:rsidP="005B051A">
      <w:pPr>
        <w:spacing w:line="360" w:lineRule="auto"/>
        <w:rPr>
          <w:rFonts w:asciiTheme="majorBidi" w:hAnsiTheme="majorBidi" w:cstheme="majorBidi"/>
          <w:sz w:val="24"/>
          <w:szCs w:val="24"/>
        </w:rPr>
      </w:pPr>
    </w:p>
    <w:p w14:paraId="69EDD102" w14:textId="77777777" w:rsidR="000E79DD" w:rsidRDefault="000E79DD" w:rsidP="005B051A">
      <w:pPr>
        <w:spacing w:line="360" w:lineRule="auto"/>
        <w:rPr>
          <w:rFonts w:asciiTheme="majorBidi" w:hAnsiTheme="majorBidi" w:cstheme="majorBidi"/>
          <w:sz w:val="24"/>
          <w:szCs w:val="24"/>
        </w:rPr>
      </w:pPr>
    </w:p>
    <w:p w14:paraId="3CBB0729" w14:textId="77777777" w:rsidR="00C30E01" w:rsidRDefault="00C30E01" w:rsidP="005B051A">
      <w:pPr>
        <w:spacing w:line="360" w:lineRule="auto"/>
        <w:rPr>
          <w:rFonts w:asciiTheme="majorBidi" w:hAnsiTheme="majorBidi" w:cstheme="majorBidi"/>
          <w:b/>
          <w:bCs/>
          <w:sz w:val="24"/>
          <w:szCs w:val="24"/>
        </w:rPr>
      </w:pPr>
    </w:p>
    <w:p w14:paraId="3C400011" w14:textId="77777777" w:rsidR="00C30E01" w:rsidRDefault="00C30E01" w:rsidP="005B051A">
      <w:pPr>
        <w:spacing w:line="360" w:lineRule="auto"/>
        <w:rPr>
          <w:rFonts w:asciiTheme="majorBidi" w:hAnsiTheme="majorBidi" w:cstheme="majorBidi"/>
          <w:b/>
          <w:bCs/>
          <w:sz w:val="24"/>
          <w:szCs w:val="24"/>
        </w:rPr>
      </w:pPr>
    </w:p>
    <w:p w14:paraId="47F52E85" w14:textId="77777777" w:rsidR="00C30E01" w:rsidRDefault="00C30E01" w:rsidP="005B051A">
      <w:pPr>
        <w:spacing w:line="360" w:lineRule="auto"/>
        <w:rPr>
          <w:rFonts w:asciiTheme="majorBidi" w:hAnsiTheme="majorBidi" w:cstheme="majorBidi"/>
          <w:b/>
          <w:bCs/>
          <w:sz w:val="24"/>
          <w:szCs w:val="24"/>
        </w:rPr>
      </w:pPr>
    </w:p>
    <w:p w14:paraId="292B0A4F" w14:textId="77777777" w:rsidR="00C30E01" w:rsidRDefault="00C30E01" w:rsidP="005B051A">
      <w:pPr>
        <w:spacing w:line="360" w:lineRule="auto"/>
        <w:rPr>
          <w:rFonts w:asciiTheme="majorBidi" w:hAnsiTheme="majorBidi" w:cstheme="majorBidi"/>
          <w:b/>
          <w:bCs/>
          <w:sz w:val="24"/>
          <w:szCs w:val="24"/>
        </w:rPr>
      </w:pPr>
    </w:p>
    <w:p w14:paraId="2741C50A" w14:textId="77777777" w:rsidR="00C30E01" w:rsidRDefault="00C30E01" w:rsidP="005B051A">
      <w:pPr>
        <w:spacing w:line="360" w:lineRule="auto"/>
        <w:rPr>
          <w:rFonts w:asciiTheme="majorBidi" w:hAnsiTheme="majorBidi" w:cstheme="majorBidi"/>
          <w:b/>
          <w:bCs/>
          <w:sz w:val="24"/>
          <w:szCs w:val="24"/>
        </w:rPr>
      </w:pPr>
    </w:p>
    <w:p w14:paraId="67F42B6D" w14:textId="77777777" w:rsidR="00C30E01" w:rsidRDefault="00C30E01" w:rsidP="005B051A">
      <w:pPr>
        <w:spacing w:line="360" w:lineRule="auto"/>
        <w:rPr>
          <w:rFonts w:asciiTheme="majorBidi" w:hAnsiTheme="majorBidi" w:cstheme="majorBidi"/>
          <w:b/>
          <w:bCs/>
          <w:sz w:val="24"/>
          <w:szCs w:val="24"/>
        </w:rPr>
      </w:pPr>
    </w:p>
    <w:p w14:paraId="4509039D" w14:textId="77777777" w:rsidR="00C30E01" w:rsidRDefault="00C30E01" w:rsidP="005B051A">
      <w:pPr>
        <w:spacing w:line="360" w:lineRule="auto"/>
        <w:rPr>
          <w:rFonts w:asciiTheme="majorBidi" w:hAnsiTheme="majorBidi" w:cstheme="majorBidi"/>
          <w:b/>
          <w:bCs/>
          <w:sz w:val="24"/>
          <w:szCs w:val="24"/>
        </w:rPr>
      </w:pPr>
    </w:p>
    <w:p w14:paraId="74E729F1" w14:textId="77777777" w:rsidR="00C30E01" w:rsidRDefault="00C30E01" w:rsidP="005B051A">
      <w:pPr>
        <w:spacing w:line="360" w:lineRule="auto"/>
        <w:rPr>
          <w:rFonts w:asciiTheme="majorBidi" w:hAnsiTheme="majorBidi" w:cstheme="majorBidi"/>
          <w:b/>
          <w:bCs/>
          <w:sz w:val="24"/>
          <w:szCs w:val="24"/>
        </w:rPr>
      </w:pPr>
    </w:p>
    <w:p w14:paraId="4F55C065" w14:textId="77777777" w:rsidR="00C30E01" w:rsidRDefault="00C30E01" w:rsidP="005B051A">
      <w:pPr>
        <w:spacing w:line="360" w:lineRule="auto"/>
        <w:rPr>
          <w:rFonts w:asciiTheme="majorBidi" w:hAnsiTheme="majorBidi" w:cstheme="majorBidi"/>
          <w:b/>
          <w:bCs/>
          <w:sz w:val="24"/>
          <w:szCs w:val="24"/>
        </w:rPr>
      </w:pPr>
    </w:p>
    <w:p w14:paraId="7645CDE0" w14:textId="77777777" w:rsidR="00C30E01" w:rsidRDefault="00C30E01" w:rsidP="005B051A">
      <w:pPr>
        <w:spacing w:line="360" w:lineRule="auto"/>
        <w:rPr>
          <w:rFonts w:asciiTheme="majorBidi" w:hAnsiTheme="majorBidi" w:cstheme="majorBidi"/>
          <w:b/>
          <w:bCs/>
          <w:sz w:val="24"/>
          <w:szCs w:val="24"/>
        </w:rPr>
      </w:pPr>
    </w:p>
    <w:p w14:paraId="3B02D560" w14:textId="77777777" w:rsidR="00C30E01" w:rsidRDefault="00C30E01" w:rsidP="005B051A">
      <w:pPr>
        <w:spacing w:line="360" w:lineRule="auto"/>
        <w:rPr>
          <w:rFonts w:asciiTheme="majorBidi" w:hAnsiTheme="majorBidi" w:cstheme="majorBidi"/>
          <w:b/>
          <w:bCs/>
          <w:sz w:val="24"/>
          <w:szCs w:val="24"/>
        </w:rPr>
      </w:pPr>
    </w:p>
    <w:p w14:paraId="5538D51E" w14:textId="77777777" w:rsidR="00C30E01" w:rsidRDefault="00C30E01" w:rsidP="005B051A">
      <w:pPr>
        <w:spacing w:line="360" w:lineRule="auto"/>
        <w:rPr>
          <w:rFonts w:asciiTheme="majorBidi" w:hAnsiTheme="majorBidi" w:cstheme="majorBidi"/>
          <w:b/>
          <w:bCs/>
          <w:sz w:val="24"/>
          <w:szCs w:val="24"/>
        </w:rPr>
      </w:pPr>
    </w:p>
    <w:p w14:paraId="50D03204" w14:textId="77777777" w:rsidR="00C30E01" w:rsidRDefault="00C30E01" w:rsidP="005B051A">
      <w:pPr>
        <w:spacing w:line="360" w:lineRule="auto"/>
        <w:rPr>
          <w:rFonts w:asciiTheme="majorBidi" w:hAnsiTheme="majorBidi" w:cstheme="majorBidi"/>
          <w:b/>
          <w:bCs/>
          <w:sz w:val="24"/>
          <w:szCs w:val="24"/>
        </w:rPr>
      </w:pPr>
    </w:p>
    <w:p w14:paraId="6656D051" w14:textId="77777777" w:rsidR="00C30E01" w:rsidRDefault="00C30E01" w:rsidP="005B051A">
      <w:pPr>
        <w:spacing w:line="360" w:lineRule="auto"/>
        <w:rPr>
          <w:rFonts w:asciiTheme="majorBidi" w:hAnsiTheme="majorBidi" w:cstheme="majorBidi"/>
          <w:b/>
          <w:bCs/>
          <w:sz w:val="24"/>
          <w:szCs w:val="24"/>
        </w:rPr>
      </w:pPr>
    </w:p>
    <w:p w14:paraId="4DE7938B" w14:textId="77777777" w:rsidR="00C30E01" w:rsidRDefault="00C30E01" w:rsidP="005B051A">
      <w:pPr>
        <w:spacing w:line="360" w:lineRule="auto"/>
        <w:rPr>
          <w:rFonts w:asciiTheme="majorBidi" w:hAnsiTheme="majorBidi" w:cstheme="majorBidi"/>
          <w:b/>
          <w:bCs/>
          <w:sz w:val="24"/>
          <w:szCs w:val="24"/>
        </w:rPr>
      </w:pPr>
    </w:p>
    <w:p w14:paraId="44F39C61" w14:textId="77777777" w:rsidR="00C30E01" w:rsidRDefault="00C30E01" w:rsidP="005B051A">
      <w:pPr>
        <w:spacing w:line="360" w:lineRule="auto"/>
        <w:rPr>
          <w:rFonts w:asciiTheme="majorBidi" w:hAnsiTheme="majorBidi" w:cstheme="majorBidi"/>
          <w:b/>
          <w:bCs/>
          <w:sz w:val="24"/>
          <w:szCs w:val="24"/>
        </w:rPr>
      </w:pPr>
    </w:p>
    <w:p w14:paraId="265DE10D" w14:textId="77777777" w:rsidR="00396A08" w:rsidRDefault="00396A08" w:rsidP="005B051A">
      <w:pPr>
        <w:spacing w:line="360" w:lineRule="auto"/>
        <w:rPr>
          <w:rFonts w:asciiTheme="majorBidi" w:hAnsiTheme="majorBidi" w:cstheme="majorBidi"/>
          <w:b/>
          <w:bCs/>
          <w:sz w:val="24"/>
          <w:szCs w:val="24"/>
        </w:rPr>
        <w:sectPr w:rsidR="00396A08" w:rsidSect="00396A08">
          <w:footerReference w:type="default" r:id="rId12"/>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docGrid w:linePitch="360"/>
        </w:sectPr>
      </w:pPr>
    </w:p>
    <w:p w14:paraId="13D4F4B2" w14:textId="27A54376"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Chapter 1: Introduction</w:t>
      </w:r>
    </w:p>
    <w:p w14:paraId="6BBBFD65" w14:textId="040BECB9"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Saudi Arabia’s energy sector is in the midst of a significant transformation driven by the country’s Vision 2030 and major policy reforms. Historically dominated by oil and gas, the sector is now rapidly diversifying into renewable energy, power infrastructure, and advanced energy technologies. Massive investments by the government and the Public Investment Fund (PIF) are reshaping the industry’s landscape, alongside initiatives like the In-Kingdom Total Value Add (IKTVA) program that encourage local value creation. This transformation presents both opportunities and challenges for businesses </w:t>
      </w:r>
      <w:r w:rsidR="00014827" w:rsidRPr="005C4FA5">
        <w:rPr>
          <w:rFonts w:asciiTheme="majorBidi" w:hAnsiTheme="majorBidi" w:cstheme="majorBidi"/>
          <w:sz w:val="24"/>
          <w:szCs w:val="24"/>
        </w:rPr>
        <w:t>:</w:t>
      </w:r>
      <w:r w:rsidRPr="00A70905">
        <w:rPr>
          <w:rFonts w:asciiTheme="majorBidi" w:hAnsiTheme="majorBidi" w:cstheme="majorBidi"/>
          <w:sz w:val="24"/>
          <w:szCs w:val="24"/>
        </w:rPr>
        <w:t>particularly for international and local companies in electrical and electronic industries that are looking to operate in the energy domain. To navigate this evolving environment, firms must adopt strategic business development approaches focused on effective market entry, forging strategic partnerships, and fostering continuous innovation.</w:t>
      </w:r>
    </w:p>
    <w:p w14:paraId="25F4F664" w14:textId="1697CA6A"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Electrical and electronics companies play a crucial role in the modernization of the energy sector. They provide essential technologies and solutions for power generation, grid modernization, energy efficiency, and “smart” infrastructure (such as smart grids and Internet-of-Things-based energy management systems). Saudi Arabia’s push for renewable energy and smart infrastructure </w:t>
      </w:r>
      <w:r w:rsidR="00014827" w:rsidRPr="005C4FA5">
        <w:rPr>
          <w:rFonts w:asciiTheme="majorBidi" w:hAnsiTheme="majorBidi" w:cstheme="majorBidi"/>
          <w:sz w:val="24"/>
          <w:szCs w:val="24"/>
        </w:rPr>
        <w:t>:</w:t>
      </w:r>
      <w:r w:rsidRPr="00A70905">
        <w:rPr>
          <w:rFonts w:asciiTheme="majorBidi" w:hAnsiTheme="majorBidi" w:cstheme="majorBidi"/>
          <w:sz w:val="24"/>
          <w:szCs w:val="24"/>
        </w:rPr>
        <w:t xml:space="preserve">for example, plans for extensive solar and wind projects and smart city initiatives like NEOM </w:t>
      </w:r>
      <w:r w:rsidR="00014827" w:rsidRPr="005C4FA5">
        <w:rPr>
          <w:rFonts w:asciiTheme="majorBidi" w:hAnsiTheme="majorBidi" w:cstheme="majorBidi"/>
          <w:sz w:val="24"/>
          <w:szCs w:val="24"/>
        </w:rPr>
        <w:t>:</w:t>
      </w:r>
      <w:r w:rsidRPr="00A70905">
        <w:rPr>
          <w:rFonts w:asciiTheme="majorBidi" w:hAnsiTheme="majorBidi" w:cstheme="majorBidi"/>
          <w:sz w:val="24"/>
          <w:szCs w:val="24"/>
        </w:rPr>
        <w:t>amplifies the need for the expertise and products of these companies. At the same time, entering and growing in the Saudi market requires a deep understanding of local market conditions, regulatory requirements, and cultural business norms. Companies often face high entry barriers, including stringent localization mandates (e.g. requirements to use local content and hire local talent), established domestic competitors with strong relationships, and the need to align with national development goals such as sustainability and job creation for Saudis.</w:t>
      </w:r>
    </w:p>
    <w:p w14:paraId="419D26FB"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The government’s Vision 2030 and related national energy strategies have set ambitious targets that shape the business environment. For instance, Saudi Arabia aims to source 50% of its power generation from renewable energy by 2030 (approximately 130 GW of renewable capacity). Achieving this goal calls for substantial involvement from the private sector and the introduction of new technologies on a large scale. Additionally, programs like IKTVA encourage international firms to localize manufacturing and form </w:t>
      </w:r>
      <w:r w:rsidRPr="00A70905">
        <w:rPr>
          <w:rFonts w:asciiTheme="majorBidi" w:hAnsiTheme="majorBidi" w:cstheme="majorBidi"/>
          <w:sz w:val="24"/>
          <w:szCs w:val="24"/>
        </w:rPr>
        <w:lastRenderedPageBreak/>
        <w:t>partnerships with local entities, fundamentally altering how foreign companies approach market entry into Saudi Arabia. The Public Investment Fund has been instrumental in this domain, investing heavily in renewable projects and forging partnerships with global firms to bring in technology and expertise. For example, at the IKTVA Forum 2024, Saudi Aramco signed 145 agreements with international and local companies valued at $9 billion to boost localization across the energy value chain. Such trends underscore that companies must not only bring competitive products and services, but also be prepared to invest locally, collaborate with domestic partners, and contribute to innovation and talent development in order to succeed in Saudi Arabia’s energy industry.</w:t>
      </w:r>
    </w:p>
    <w:p w14:paraId="44ED3E0E" w14:textId="5205124E"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this dynamic context, business development and growth strategies that are tailored to the Saudi energy sector are critical for success. This thesis explores three interrelated strategic pillars: market entry (how companies enter and establish themselves in the market), strategic partnerships (how alliances and joint ventures can facilitate growth and help overcome barriers), and innovation (how companies leverage new ideas and technologies </w:t>
      </w:r>
      <w:r w:rsidR="00014827" w:rsidRPr="005C4FA5">
        <w:rPr>
          <w:rFonts w:asciiTheme="majorBidi" w:hAnsiTheme="majorBidi" w:cstheme="majorBidi"/>
          <w:sz w:val="24"/>
          <w:szCs w:val="24"/>
        </w:rPr>
        <w:t>:</w:t>
      </w:r>
      <w:r w:rsidRPr="00A70905">
        <w:rPr>
          <w:rFonts w:asciiTheme="majorBidi" w:hAnsiTheme="majorBidi" w:cstheme="majorBidi"/>
          <w:sz w:val="24"/>
          <w:szCs w:val="24"/>
        </w:rPr>
        <w:t xml:space="preserve">including through open innovation </w:t>
      </w:r>
      <w:r w:rsidR="00014827" w:rsidRPr="005C4FA5">
        <w:rPr>
          <w:rFonts w:asciiTheme="majorBidi" w:hAnsiTheme="majorBidi" w:cstheme="majorBidi"/>
          <w:sz w:val="24"/>
          <w:szCs w:val="24"/>
        </w:rPr>
        <w:t>:</w:t>
      </w:r>
      <w:r w:rsidRPr="00A70905">
        <w:rPr>
          <w:rFonts w:asciiTheme="majorBidi" w:hAnsiTheme="majorBidi" w:cstheme="majorBidi"/>
          <w:sz w:val="24"/>
          <w:szCs w:val="24"/>
        </w:rPr>
        <w:t>to sustain competitive advantage). The research is applied in nature, meaning it draws on real-world cases and data to derive practical insights for both companies and policymakers. By examining recent examples (for instance, joint ventures established, new local facilities, R&amp;D collaborations) and analyzing them through frameworks like SWOT, PESTLE, and Porter’s Five Forces, the study identifies best practices and key success factors for growth in the Saudi energy sector.</w:t>
      </w:r>
    </w:p>
    <w:p w14:paraId="5C7274E1" w14:textId="77777777" w:rsidR="00A70905" w:rsidRPr="005C4FA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This introductory chapter is organized as follows: first, the problem statement that motivated the research is outlined, highlighting the challenges companies face in this domain. Next, the importance of the study is discussed to explain why this research is significant for both academic knowledge and industry practice. The chapter then presents the research objectives and research questions that guide the scope of the investigation. Finally, an overview is provided of the remaining structure of the thesis, which includes an in-depth literature review of relevant theories and past studies (Chapter 2), an explanation of the theoretical framework adopted (Chapter 3), a detailed account of the research methodology (Chapter 4), followed by the results and analysis (Chapter 5). The </w:t>
      </w:r>
      <w:r w:rsidRPr="00A70905">
        <w:rPr>
          <w:rFonts w:asciiTheme="majorBidi" w:hAnsiTheme="majorBidi" w:cstheme="majorBidi"/>
          <w:sz w:val="24"/>
          <w:szCs w:val="24"/>
        </w:rPr>
        <w:lastRenderedPageBreak/>
        <w:t>thesis concludes with chapters on overall conclusions (Chapter 6) and practical recommendations (Chapter 7), as well as the references and appendices. This structured approach ensures a logical flow from identifying the problem to deriving actionable conclusions. Overall, the introduction sets the stage for a comprehensive exploration of how business development strategies can be effectively applied in the context of Saudi Arabia’s evolving energy landscape.</w:t>
      </w:r>
    </w:p>
    <w:p w14:paraId="04216CC1" w14:textId="074F89D1" w:rsidR="00775382" w:rsidRPr="00775382" w:rsidRDefault="00775382" w:rsidP="00775382">
      <w:pPr>
        <w:spacing w:line="360" w:lineRule="auto"/>
        <w:rPr>
          <w:rFonts w:asciiTheme="majorBidi" w:hAnsiTheme="majorBidi" w:cstheme="majorBidi"/>
          <w:b/>
          <w:bCs/>
          <w:sz w:val="24"/>
          <w:szCs w:val="24"/>
        </w:rPr>
      </w:pPr>
      <w:r w:rsidRPr="00775382">
        <w:rPr>
          <w:rFonts w:asciiTheme="majorBidi" w:hAnsiTheme="majorBidi" w:cstheme="majorBidi"/>
          <w:b/>
          <w:bCs/>
          <w:sz w:val="24"/>
          <w:szCs w:val="24"/>
        </w:rPr>
        <w:t>Table 1</w:t>
      </w:r>
      <w:r w:rsidR="004D7261">
        <w:rPr>
          <w:rFonts w:asciiTheme="majorBidi" w:hAnsiTheme="majorBidi" w:cstheme="majorBidi"/>
          <w:b/>
          <w:bCs/>
          <w:sz w:val="24"/>
          <w:szCs w:val="24"/>
        </w:rPr>
        <w:t>.1</w:t>
      </w:r>
      <w:r w:rsidRPr="00775382">
        <w:rPr>
          <w:rFonts w:asciiTheme="majorBidi" w:hAnsiTheme="majorBidi" w:cstheme="majorBidi"/>
          <w:b/>
          <w:bCs/>
          <w:sz w:val="24"/>
          <w:szCs w:val="24"/>
        </w:rPr>
        <w:t>: Key Indicators of the Saudi Energy Sector (Production, Consumption, and Capacity)</w:t>
      </w:r>
    </w:p>
    <w:p w14:paraId="742FDE12" w14:textId="7355CFE6" w:rsidR="00775382" w:rsidRDefault="00D760CC" w:rsidP="005B051A">
      <w:pPr>
        <w:spacing w:line="360" w:lineRule="auto"/>
        <w:rPr>
          <w:rFonts w:asciiTheme="majorBidi" w:hAnsiTheme="majorBidi" w:cstheme="majorBidi"/>
          <w:i/>
          <w:iCs/>
          <w:sz w:val="24"/>
          <w:szCs w:val="24"/>
        </w:rPr>
      </w:pPr>
      <w:r w:rsidRPr="00D760CC">
        <w:rPr>
          <w:noProof/>
        </w:rPr>
        <w:drawing>
          <wp:inline distT="0" distB="0" distL="0" distR="0" wp14:anchorId="008B6BFD" wp14:editId="179C581B">
            <wp:extent cx="5488478" cy="2118360"/>
            <wp:effectExtent l="0" t="0" r="0" b="0"/>
            <wp:docPr id="12089484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0771" cy="2119245"/>
                    </a:xfrm>
                    <a:prstGeom prst="rect">
                      <a:avLst/>
                    </a:prstGeom>
                    <a:noFill/>
                    <a:ln>
                      <a:noFill/>
                    </a:ln>
                  </pic:spPr>
                </pic:pic>
              </a:graphicData>
            </a:graphic>
          </wp:inline>
        </w:drawing>
      </w:r>
    </w:p>
    <w:p w14:paraId="2D142265" w14:textId="57B5CABF" w:rsidR="00A70905" w:rsidRPr="005C4FA5" w:rsidRDefault="00775382" w:rsidP="005B051A">
      <w:pPr>
        <w:spacing w:line="360" w:lineRule="auto"/>
        <w:rPr>
          <w:rFonts w:asciiTheme="majorBidi" w:hAnsiTheme="majorBidi" w:cstheme="majorBidi"/>
          <w:sz w:val="24"/>
          <w:szCs w:val="24"/>
        </w:rPr>
      </w:pPr>
      <w:r w:rsidRPr="00775382">
        <w:rPr>
          <w:rFonts w:asciiTheme="majorBidi" w:hAnsiTheme="majorBidi" w:cstheme="majorBidi"/>
          <w:i/>
          <w:iCs/>
          <w:sz w:val="24"/>
          <w:szCs w:val="24"/>
        </w:rPr>
        <w:t>This table summarizes major energy indicators for Saudi Arabia, including production and consumption of oil and gas, as well as power capacity and renewables deployment. All figures are the latest available estimates.</w:t>
      </w:r>
    </w:p>
    <w:p w14:paraId="3B09D7AD" w14:textId="77777777" w:rsidR="00A70905" w:rsidRPr="005C4FA5" w:rsidRDefault="00A70905" w:rsidP="005B051A">
      <w:pPr>
        <w:spacing w:line="360" w:lineRule="auto"/>
        <w:rPr>
          <w:rFonts w:asciiTheme="majorBidi" w:hAnsiTheme="majorBidi" w:cstheme="majorBidi"/>
          <w:sz w:val="24"/>
          <w:szCs w:val="24"/>
        </w:rPr>
      </w:pPr>
    </w:p>
    <w:p w14:paraId="3E0811C9" w14:textId="77777777" w:rsidR="00A70905" w:rsidRPr="00600E38" w:rsidRDefault="00A70905" w:rsidP="005B051A">
      <w:pPr>
        <w:spacing w:line="360" w:lineRule="auto"/>
        <w:rPr>
          <w:rFonts w:asciiTheme="majorBidi" w:hAnsiTheme="majorBidi" w:cstheme="majorBidi"/>
          <w:sz w:val="24"/>
          <w:szCs w:val="24"/>
        </w:rPr>
      </w:pPr>
    </w:p>
    <w:p w14:paraId="33ACECE3" w14:textId="77777777" w:rsidR="00A70905" w:rsidRPr="00600E38" w:rsidRDefault="00A70905" w:rsidP="005B051A">
      <w:pPr>
        <w:spacing w:line="360" w:lineRule="auto"/>
        <w:rPr>
          <w:rFonts w:asciiTheme="majorBidi" w:hAnsiTheme="majorBidi" w:cstheme="majorBidi"/>
          <w:sz w:val="24"/>
          <w:szCs w:val="24"/>
        </w:rPr>
      </w:pPr>
    </w:p>
    <w:p w14:paraId="3ECA0E64" w14:textId="77777777" w:rsidR="00A70905" w:rsidRPr="00600E38" w:rsidRDefault="00A70905" w:rsidP="005B051A">
      <w:pPr>
        <w:spacing w:line="360" w:lineRule="auto"/>
        <w:rPr>
          <w:rFonts w:asciiTheme="majorBidi" w:hAnsiTheme="majorBidi" w:cstheme="majorBidi"/>
          <w:sz w:val="24"/>
          <w:szCs w:val="24"/>
        </w:rPr>
      </w:pPr>
    </w:p>
    <w:p w14:paraId="005F45C3" w14:textId="77777777" w:rsidR="00A70905" w:rsidRPr="00600E38" w:rsidRDefault="00A70905" w:rsidP="005B051A">
      <w:pPr>
        <w:spacing w:line="360" w:lineRule="auto"/>
        <w:rPr>
          <w:rFonts w:asciiTheme="majorBidi" w:hAnsiTheme="majorBidi" w:cstheme="majorBidi"/>
          <w:sz w:val="24"/>
          <w:szCs w:val="24"/>
        </w:rPr>
      </w:pPr>
    </w:p>
    <w:p w14:paraId="502AC64D" w14:textId="77777777" w:rsidR="00A70905" w:rsidRPr="00A70905" w:rsidRDefault="00A70905" w:rsidP="005B051A">
      <w:pPr>
        <w:spacing w:line="360" w:lineRule="auto"/>
        <w:rPr>
          <w:rFonts w:asciiTheme="majorBidi" w:hAnsiTheme="majorBidi" w:cstheme="majorBidi"/>
          <w:sz w:val="24"/>
          <w:szCs w:val="24"/>
        </w:rPr>
      </w:pPr>
    </w:p>
    <w:p w14:paraId="3E1BB14E" w14:textId="77777777" w:rsidR="00C30E01" w:rsidRDefault="00C30E01" w:rsidP="005B051A">
      <w:pPr>
        <w:spacing w:line="360" w:lineRule="auto"/>
        <w:rPr>
          <w:rFonts w:asciiTheme="majorBidi" w:hAnsiTheme="majorBidi" w:cstheme="majorBidi"/>
          <w:b/>
          <w:bCs/>
          <w:sz w:val="24"/>
          <w:szCs w:val="24"/>
        </w:rPr>
      </w:pPr>
    </w:p>
    <w:p w14:paraId="476CBCA2" w14:textId="77777777" w:rsidR="00C30E01" w:rsidRDefault="00C30E01" w:rsidP="005B051A">
      <w:pPr>
        <w:spacing w:line="360" w:lineRule="auto"/>
        <w:rPr>
          <w:rFonts w:asciiTheme="majorBidi" w:hAnsiTheme="majorBidi" w:cstheme="majorBidi"/>
          <w:b/>
          <w:bCs/>
          <w:sz w:val="24"/>
          <w:szCs w:val="24"/>
        </w:rPr>
      </w:pPr>
    </w:p>
    <w:p w14:paraId="2DFAB4C1" w14:textId="543D1C1F"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1.1 Background and Context</w:t>
      </w:r>
    </w:p>
    <w:p w14:paraId="05F521DD"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Over the past decade, Saudi Arabia has embarked on a broad economic transition as part of its Vision 2030 agenda, with the energy sector at the forefront of this change. Vision 2030 envisions not only diversifying energy sources (integrating large-scale renewable energy projects) but also localizing industrial capabilities and increasing private sector participation in the economy. In practical terms, this means that international businesses interested in the Saudi market now encounter a landscape where renewable energy tenders, local content requirements, and partnership opportunities with government-related entities are increasingly common. Major initiatives shaping the background of this study include:</w:t>
      </w:r>
    </w:p>
    <w:p w14:paraId="2820D548" w14:textId="77777777" w:rsidR="00A70905" w:rsidRPr="00A70905" w:rsidRDefault="00A70905" w:rsidP="00EB2BA1">
      <w:pPr>
        <w:numPr>
          <w:ilvl w:val="0"/>
          <w:numId w:val="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The National Renewable Energy Program (NREP)</w:t>
      </w:r>
      <w:r w:rsidRPr="00A70905">
        <w:rPr>
          <w:rFonts w:asciiTheme="majorBidi" w:hAnsiTheme="majorBidi" w:cstheme="majorBidi"/>
          <w:sz w:val="24"/>
          <w:szCs w:val="24"/>
        </w:rPr>
        <w:t>, which has led to numerous solar and wind projects being tendered to foreign-local consortia, and set targets for renewable energy capacity by specific dates. This program has signaled to electrical and electronics firms worldwide that Saudi Arabia is open for business in clean energy but expects knowledge transfer and local investment in return.</w:t>
      </w:r>
    </w:p>
    <w:p w14:paraId="0EA2F543" w14:textId="77777777" w:rsidR="00A70905" w:rsidRPr="00A70905" w:rsidRDefault="00A70905" w:rsidP="00EB2BA1">
      <w:pPr>
        <w:numPr>
          <w:ilvl w:val="0"/>
          <w:numId w:val="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The IKTVA program (by Saudi Aramco)</w:t>
      </w:r>
      <w:r w:rsidRPr="00A70905">
        <w:rPr>
          <w:rFonts w:asciiTheme="majorBidi" w:hAnsiTheme="majorBidi" w:cstheme="majorBidi"/>
          <w:sz w:val="24"/>
          <w:szCs w:val="24"/>
        </w:rPr>
        <w:t xml:space="preserve">, which started in the oil and gas sector and now influences power and renewables, systematically scoring suppliers on local value addition. Companies are increasingly </w:t>
      </w:r>
      <w:r w:rsidRPr="00A70905">
        <w:rPr>
          <w:rFonts w:asciiTheme="majorBidi" w:hAnsiTheme="majorBidi" w:cstheme="majorBidi"/>
          <w:b/>
          <w:bCs/>
          <w:sz w:val="24"/>
          <w:szCs w:val="24"/>
        </w:rPr>
        <w:t>evaluated on how much they invest in local facilities, workforce, and supply chains</w:t>
      </w:r>
      <w:r w:rsidRPr="00A70905">
        <w:rPr>
          <w:rFonts w:asciiTheme="majorBidi" w:hAnsiTheme="majorBidi" w:cstheme="majorBidi"/>
          <w:sz w:val="24"/>
          <w:szCs w:val="24"/>
        </w:rPr>
        <w:t>. As a result, many companies have felt pressure to establish joint ventures or factories in Saudi Arabia to improve their IKTVA scores and win contracts.</w:t>
      </w:r>
    </w:p>
    <w:p w14:paraId="1CA7D778" w14:textId="77777777" w:rsidR="00A70905" w:rsidRPr="00A70905" w:rsidRDefault="00A70905" w:rsidP="00EB2BA1">
      <w:pPr>
        <w:numPr>
          <w:ilvl w:val="0"/>
          <w:numId w:val="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Mega-Projects and Giga-Projects</w:t>
      </w:r>
      <w:r w:rsidRPr="00A70905">
        <w:rPr>
          <w:rFonts w:asciiTheme="majorBidi" w:hAnsiTheme="majorBidi" w:cstheme="majorBidi"/>
          <w:sz w:val="24"/>
          <w:szCs w:val="24"/>
        </w:rPr>
        <w:t xml:space="preserve"> under Vision 2030 (like NEOM, the Red Sea Project, and others) which aim to incorporate state-of-the-art energy infrastructure (e.g., smart grids, hydrogen fuel, massive battery storage). These projects often involve partnerships between government, local firms, and foreign technology providers. They create opportunities for businesses that can offer innovative solutions and are willing to partner with local stakeholders.</w:t>
      </w:r>
    </w:p>
    <w:p w14:paraId="6E01DF0C" w14:textId="77777777" w:rsidR="00A70905" w:rsidRPr="00600E38"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Given this background, companies seeking growth in the Saudi energy sector must adapt their traditional strategies. The context is no longer one of simply exporting equipment or </w:t>
      </w:r>
      <w:r w:rsidRPr="00A70905">
        <w:rPr>
          <w:rFonts w:asciiTheme="majorBidi" w:hAnsiTheme="majorBidi" w:cstheme="majorBidi"/>
          <w:sz w:val="24"/>
          <w:szCs w:val="24"/>
        </w:rPr>
        <w:lastRenderedPageBreak/>
        <w:t>competing on price; it involves integrating into a national ecosystem that values localization, collaboration, and alignment with strategic national goals. The following sections detail the specific research problem, significance, objectives, and questions that arise from this context.</w:t>
      </w:r>
    </w:p>
    <w:p w14:paraId="293A98BE" w14:textId="77777777" w:rsidR="00600E38" w:rsidRPr="00600E38" w:rsidRDefault="00600E38" w:rsidP="005B051A">
      <w:pPr>
        <w:spacing w:line="360" w:lineRule="auto"/>
        <w:rPr>
          <w:rFonts w:asciiTheme="majorBidi" w:hAnsiTheme="majorBidi" w:cstheme="majorBidi"/>
          <w:sz w:val="24"/>
          <w:szCs w:val="24"/>
        </w:rPr>
      </w:pPr>
    </w:p>
    <w:p w14:paraId="2359E02F" w14:textId="77777777" w:rsidR="00600E38" w:rsidRPr="00600E38" w:rsidRDefault="00600E38" w:rsidP="005B051A">
      <w:pPr>
        <w:spacing w:line="360" w:lineRule="auto"/>
        <w:rPr>
          <w:rFonts w:asciiTheme="majorBidi" w:hAnsiTheme="majorBidi" w:cstheme="majorBidi"/>
          <w:sz w:val="24"/>
          <w:szCs w:val="24"/>
        </w:rPr>
      </w:pPr>
    </w:p>
    <w:p w14:paraId="2013239D" w14:textId="77777777" w:rsidR="00600E38" w:rsidRPr="00A70905" w:rsidRDefault="00600E38" w:rsidP="005B051A">
      <w:pPr>
        <w:spacing w:line="360" w:lineRule="auto"/>
        <w:rPr>
          <w:rFonts w:asciiTheme="majorBidi" w:hAnsiTheme="majorBidi" w:cstheme="majorBidi"/>
          <w:sz w:val="24"/>
          <w:szCs w:val="24"/>
        </w:rPr>
      </w:pPr>
    </w:p>
    <w:p w14:paraId="1B3BE0B5" w14:textId="77777777" w:rsidR="00C30E01" w:rsidRDefault="00C30E01" w:rsidP="005B051A">
      <w:pPr>
        <w:spacing w:line="360" w:lineRule="auto"/>
        <w:rPr>
          <w:rFonts w:asciiTheme="majorBidi" w:hAnsiTheme="majorBidi" w:cstheme="majorBidi"/>
          <w:b/>
          <w:bCs/>
          <w:sz w:val="24"/>
          <w:szCs w:val="24"/>
        </w:rPr>
      </w:pPr>
    </w:p>
    <w:p w14:paraId="18285146" w14:textId="77777777" w:rsidR="00C30E01" w:rsidRDefault="00C30E01" w:rsidP="005B051A">
      <w:pPr>
        <w:spacing w:line="360" w:lineRule="auto"/>
        <w:rPr>
          <w:rFonts w:asciiTheme="majorBidi" w:hAnsiTheme="majorBidi" w:cstheme="majorBidi"/>
          <w:b/>
          <w:bCs/>
          <w:sz w:val="24"/>
          <w:szCs w:val="24"/>
        </w:rPr>
      </w:pPr>
    </w:p>
    <w:p w14:paraId="0DEE81EE" w14:textId="77777777" w:rsidR="00C30E01" w:rsidRDefault="00C30E01" w:rsidP="005B051A">
      <w:pPr>
        <w:spacing w:line="360" w:lineRule="auto"/>
        <w:rPr>
          <w:rFonts w:asciiTheme="majorBidi" w:hAnsiTheme="majorBidi" w:cstheme="majorBidi"/>
          <w:b/>
          <w:bCs/>
          <w:sz w:val="24"/>
          <w:szCs w:val="24"/>
        </w:rPr>
      </w:pPr>
    </w:p>
    <w:p w14:paraId="70B45C77" w14:textId="77777777" w:rsidR="00C30E01" w:rsidRDefault="00C30E01" w:rsidP="005B051A">
      <w:pPr>
        <w:spacing w:line="360" w:lineRule="auto"/>
        <w:rPr>
          <w:rFonts w:asciiTheme="majorBidi" w:hAnsiTheme="majorBidi" w:cstheme="majorBidi"/>
          <w:b/>
          <w:bCs/>
          <w:sz w:val="24"/>
          <w:szCs w:val="24"/>
        </w:rPr>
      </w:pPr>
    </w:p>
    <w:p w14:paraId="50FE81F0" w14:textId="77777777" w:rsidR="00C30E01" w:rsidRDefault="00C30E01" w:rsidP="005B051A">
      <w:pPr>
        <w:spacing w:line="360" w:lineRule="auto"/>
        <w:rPr>
          <w:rFonts w:asciiTheme="majorBidi" w:hAnsiTheme="majorBidi" w:cstheme="majorBidi"/>
          <w:b/>
          <w:bCs/>
          <w:sz w:val="24"/>
          <w:szCs w:val="24"/>
        </w:rPr>
      </w:pPr>
    </w:p>
    <w:p w14:paraId="77393034" w14:textId="77777777" w:rsidR="00C30E01" w:rsidRDefault="00C30E01" w:rsidP="005B051A">
      <w:pPr>
        <w:spacing w:line="360" w:lineRule="auto"/>
        <w:rPr>
          <w:rFonts w:asciiTheme="majorBidi" w:hAnsiTheme="majorBidi" w:cstheme="majorBidi"/>
          <w:b/>
          <w:bCs/>
          <w:sz w:val="24"/>
          <w:szCs w:val="24"/>
        </w:rPr>
      </w:pPr>
    </w:p>
    <w:p w14:paraId="2A1FD006" w14:textId="77777777" w:rsidR="00C30E01" w:rsidRDefault="00C30E01" w:rsidP="005B051A">
      <w:pPr>
        <w:spacing w:line="360" w:lineRule="auto"/>
        <w:rPr>
          <w:rFonts w:asciiTheme="majorBidi" w:hAnsiTheme="majorBidi" w:cstheme="majorBidi"/>
          <w:b/>
          <w:bCs/>
          <w:sz w:val="24"/>
          <w:szCs w:val="24"/>
        </w:rPr>
      </w:pPr>
    </w:p>
    <w:p w14:paraId="37DD4F96" w14:textId="77777777" w:rsidR="00C30E01" w:rsidRDefault="00C30E01" w:rsidP="005B051A">
      <w:pPr>
        <w:spacing w:line="360" w:lineRule="auto"/>
        <w:rPr>
          <w:rFonts w:asciiTheme="majorBidi" w:hAnsiTheme="majorBidi" w:cstheme="majorBidi"/>
          <w:b/>
          <w:bCs/>
          <w:sz w:val="24"/>
          <w:szCs w:val="24"/>
        </w:rPr>
      </w:pPr>
    </w:p>
    <w:p w14:paraId="64BF8D98" w14:textId="77777777" w:rsidR="00C30E01" w:rsidRDefault="00C30E01" w:rsidP="005B051A">
      <w:pPr>
        <w:spacing w:line="360" w:lineRule="auto"/>
        <w:rPr>
          <w:rFonts w:asciiTheme="majorBidi" w:hAnsiTheme="majorBidi" w:cstheme="majorBidi"/>
          <w:b/>
          <w:bCs/>
          <w:sz w:val="24"/>
          <w:szCs w:val="24"/>
        </w:rPr>
      </w:pPr>
    </w:p>
    <w:p w14:paraId="7D1138D4" w14:textId="77777777" w:rsidR="00C30E01" w:rsidRDefault="00C30E01" w:rsidP="005B051A">
      <w:pPr>
        <w:spacing w:line="360" w:lineRule="auto"/>
        <w:rPr>
          <w:rFonts w:asciiTheme="majorBidi" w:hAnsiTheme="majorBidi" w:cstheme="majorBidi"/>
          <w:b/>
          <w:bCs/>
          <w:sz w:val="24"/>
          <w:szCs w:val="24"/>
        </w:rPr>
      </w:pPr>
    </w:p>
    <w:p w14:paraId="4FA7A832" w14:textId="77777777" w:rsidR="00C30E01" w:rsidRDefault="00C30E01" w:rsidP="005B051A">
      <w:pPr>
        <w:spacing w:line="360" w:lineRule="auto"/>
        <w:rPr>
          <w:rFonts w:asciiTheme="majorBidi" w:hAnsiTheme="majorBidi" w:cstheme="majorBidi"/>
          <w:b/>
          <w:bCs/>
          <w:sz w:val="24"/>
          <w:szCs w:val="24"/>
        </w:rPr>
      </w:pPr>
    </w:p>
    <w:p w14:paraId="23B54F4D" w14:textId="77777777" w:rsidR="00C30E01" w:rsidRDefault="00C30E01" w:rsidP="005B051A">
      <w:pPr>
        <w:spacing w:line="360" w:lineRule="auto"/>
        <w:rPr>
          <w:rFonts w:asciiTheme="majorBidi" w:hAnsiTheme="majorBidi" w:cstheme="majorBidi"/>
          <w:b/>
          <w:bCs/>
          <w:sz w:val="24"/>
          <w:szCs w:val="24"/>
        </w:rPr>
      </w:pPr>
    </w:p>
    <w:p w14:paraId="6288735C" w14:textId="77777777" w:rsidR="00C30E01" w:rsidRDefault="00C30E01" w:rsidP="005B051A">
      <w:pPr>
        <w:spacing w:line="360" w:lineRule="auto"/>
        <w:rPr>
          <w:rFonts w:asciiTheme="majorBidi" w:hAnsiTheme="majorBidi" w:cstheme="majorBidi"/>
          <w:b/>
          <w:bCs/>
          <w:sz w:val="24"/>
          <w:szCs w:val="24"/>
        </w:rPr>
      </w:pPr>
    </w:p>
    <w:p w14:paraId="528035A9" w14:textId="77777777" w:rsidR="00C30E01" w:rsidRDefault="00C30E01" w:rsidP="005B051A">
      <w:pPr>
        <w:spacing w:line="360" w:lineRule="auto"/>
        <w:rPr>
          <w:rFonts w:asciiTheme="majorBidi" w:hAnsiTheme="majorBidi" w:cstheme="majorBidi"/>
          <w:b/>
          <w:bCs/>
          <w:sz w:val="24"/>
          <w:szCs w:val="24"/>
        </w:rPr>
      </w:pPr>
    </w:p>
    <w:p w14:paraId="1E24662D" w14:textId="77777777" w:rsidR="00C30E01" w:rsidRDefault="00C30E01" w:rsidP="005B051A">
      <w:pPr>
        <w:spacing w:line="360" w:lineRule="auto"/>
        <w:rPr>
          <w:rFonts w:asciiTheme="majorBidi" w:hAnsiTheme="majorBidi" w:cstheme="majorBidi"/>
          <w:b/>
          <w:bCs/>
          <w:sz w:val="24"/>
          <w:szCs w:val="24"/>
        </w:rPr>
      </w:pPr>
    </w:p>
    <w:p w14:paraId="77D913D7" w14:textId="77777777" w:rsidR="00C30E01" w:rsidRDefault="00C30E01" w:rsidP="005B051A">
      <w:pPr>
        <w:spacing w:line="360" w:lineRule="auto"/>
        <w:rPr>
          <w:rFonts w:asciiTheme="majorBidi" w:hAnsiTheme="majorBidi" w:cstheme="majorBidi"/>
          <w:b/>
          <w:bCs/>
          <w:sz w:val="24"/>
          <w:szCs w:val="24"/>
        </w:rPr>
      </w:pPr>
    </w:p>
    <w:p w14:paraId="58D6C200" w14:textId="75707F85"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1.2 Problem Statement</w:t>
      </w:r>
    </w:p>
    <w:p w14:paraId="41DD508B" w14:textId="31619EE0"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Despite Saudi Arabia’s substantial investments and policy efforts to modernize the energy sector, many electrical and electronics companies </w:t>
      </w:r>
      <w:r w:rsidR="00014827" w:rsidRPr="005C4FA5">
        <w:rPr>
          <w:rFonts w:asciiTheme="majorBidi" w:hAnsiTheme="majorBidi" w:cstheme="majorBidi"/>
          <w:sz w:val="24"/>
          <w:szCs w:val="24"/>
        </w:rPr>
        <w:t>:</w:t>
      </w:r>
      <w:r w:rsidRPr="00A70905">
        <w:rPr>
          <w:rFonts w:asciiTheme="majorBidi" w:hAnsiTheme="majorBidi" w:cstheme="majorBidi"/>
          <w:sz w:val="24"/>
          <w:szCs w:val="24"/>
        </w:rPr>
        <w:t>both domestic firms and international entrants face uncertainty in defining effective growth strategies for this market. The competitive landscape in the Saudi energy sector is intensifying, and doing business requires companies to comply with local regulations, achieve stringent localization targets, and continuously innovate to differentiate themselves. However, several key challenges remain insufficiently addressed in practice, forming the core problem this research tackles.</w:t>
      </w:r>
    </w:p>
    <w:p w14:paraId="6267B677" w14:textId="186119AE"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One central challenge is the ambiguity around which market entry strategies work best in Saudi Arabia’s context. Companies often struggle with understanding and meeting the complex regulatory and administrative requirements for establishing operations in the Kingdom. For example, while the government now permits 100% foreign ownership in many energy-related businesses, in practice new entrants still benefit greatly from having a local partner to navigate bureaucratic processes, certification requirements, and stakeholder networks. High initial investment costs such as setting up local manufacturing facilities or service centers and ensuring compliance with programs like IKTVA (which mandates minimum local value-add) can be daunting for newcomers. Many firms remain unclear on how to structure their market entry (whether via joint ventures, partnerships, acquisitions of local firms, or independent “greenfield” setup) in a way that minimizes risk and maximizes acceptance by local authorities and clients. In short, there is a problem of knowledge and strategy gap regarding optimal entry modes under Saudi conditions.</w:t>
      </w:r>
    </w:p>
    <w:p w14:paraId="3FCFE87E" w14:textId="0C97971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Another facet of the problem concerns strategic partnerships and alliances. The Saudi business environment, particularly in energy, often favors deep partnerships local stakeholders frequently prefer joint ventures with foreign firms over simple vendor-client relationships, as joint ventures ensure commitment and knowledge transfer. However, forging the </w:t>
      </w:r>
      <w:r w:rsidRPr="00A70905">
        <w:rPr>
          <w:rFonts w:asciiTheme="majorBidi" w:hAnsiTheme="majorBidi" w:cstheme="majorBidi"/>
          <w:i/>
          <w:iCs/>
          <w:sz w:val="24"/>
          <w:szCs w:val="24"/>
        </w:rPr>
        <w:t>right</w:t>
      </w:r>
      <w:r w:rsidRPr="00A70905">
        <w:rPr>
          <w:rFonts w:asciiTheme="majorBidi" w:hAnsiTheme="majorBidi" w:cstheme="majorBidi"/>
          <w:sz w:val="24"/>
          <w:szCs w:val="24"/>
        </w:rPr>
        <w:t xml:space="preserve"> partnerships is challenging. Companies may not know how to identify suitable local partners or how to align partnership objectives effectively. Misaligned partnerships can result in conflicts, cultural clashes, or underperformance of the venture. </w:t>
      </w:r>
      <w:r w:rsidRPr="00A70905">
        <w:rPr>
          <w:rFonts w:asciiTheme="majorBidi" w:hAnsiTheme="majorBidi" w:cstheme="majorBidi"/>
          <w:sz w:val="24"/>
          <w:szCs w:val="24"/>
        </w:rPr>
        <w:lastRenderedPageBreak/>
        <w:t>Additionally, the potential benefits of partnerships such as technology transfer, access to local networks, and shared investment are not always fully realized if the partnership is not managed strategically. There is a lack of clarity on which partnership models (e.g. equity joint ventures vs. non-equity alliances, project-based consortium vs. long-term partnership) yield the best outcomes in terms of market expansion and project success in the Saudi energy industry.</w:t>
      </w:r>
    </w:p>
    <w:p w14:paraId="26170DE1" w14:textId="2E8C0BC6"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 third dimension of the problem lies in innovation and adaptation to technological change. Saudi Arabia’s energy sector is increasingly emphasizing innovation, from renewable energy technologies to digital transformation (such as smart grids, IoT sensors in utilities, and AI for energy management). Companies entering this sector must innovate not only in their products and services but also in their business models and operations. However, many firms face difficulties integrating into the local innovation ecosystem. Challenges include limited access to R&amp;D networks within Saudi Arabia, a relative scarcity of specialized local talent in cutting-edge fields, and concerns about protecting intellectual property when collaborating. While global companies might possess advanced technologies, they often find that deploying those innovations in Saudi projects requires collaboration with local research institutions or at least compliance with local standards and certification processes. Local companies, on the other hand, often need greater capacity and knowledge they require exposure to global innovations (through open innovation practices or partnerships) to stay competitive. Overall, effective models for fostering innovation collaboration (such as corporate-startup partnerships, industry-academia research programs, or open innovation platforms) are still developing in Saudi Arabia. This leaves companies unsure how best to engage in innovation activities that could support their growth.</w:t>
      </w:r>
    </w:p>
    <w:p w14:paraId="5D7C3DFD" w14:textId="77777777" w:rsidR="00A70905" w:rsidRPr="005C4FA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summary, the problem this study addresses is the lack of clear, empirically grounded understanding of how companies can successfully enter and grow in the Saudi energy sector through tailored market entry planning, strategic partnerships, and innovation initiatives. This problem is evidenced by gaps in both the existing literature and in business practice. While broad national initiatives (like Vision 2030 or the IKTVA program) set the stage, there is limited specific guidance available on effective firm-level </w:t>
      </w:r>
      <w:r w:rsidRPr="00A70905">
        <w:rPr>
          <w:rFonts w:asciiTheme="majorBidi" w:hAnsiTheme="majorBidi" w:cstheme="majorBidi"/>
          <w:sz w:val="24"/>
          <w:szCs w:val="24"/>
        </w:rPr>
        <w:lastRenderedPageBreak/>
        <w:t>strategies in this context. The result is that companies may underperform or even fail in the Saudi market due to missteps in their strategy formulation and execution. By analyzing real cases and gathering insights from experts, this research aims to clarify these ambiguities and provide a practical roadmap for business development that aligns with Saudi Arabia’s evolving energy sector context.</w:t>
      </w:r>
    </w:p>
    <w:p w14:paraId="48F60FE5" w14:textId="77777777" w:rsidR="00600E38" w:rsidRPr="00600E38" w:rsidRDefault="00600E38" w:rsidP="005B051A">
      <w:pPr>
        <w:spacing w:line="360" w:lineRule="auto"/>
        <w:rPr>
          <w:rFonts w:asciiTheme="majorBidi" w:hAnsiTheme="majorBidi" w:cstheme="majorBidi"/>
          <w:sz w:val="24"/>
          <w:szCs w:val="24"/>
        </w:rPr>
      </w:pPr>
    </w:p>
    <w:p w14:paraId="1DC376FF" w14:textId="77777777" w:rsidR="00600E38" w:rsidRPr="00600E38" w:rsidRDefault="00600E38" w:rsidP="005B051A">
      <w:pPr>
        <w:spacing w:line="360" w:lineRule="auto"/>
        <w:rPr>
          <w:rFonts w:asciiTheme="majorBidi" w:hAnsiTheme="majorBidi" w:cstheme="majorBidi"/>
          <w:sz w:val="24"/>
          <w:szCs w:val="24"/>
        </w:rPr>
      </w:pPr>
    </w:p>
    <w:p w14:paraId="439C7E4A" w14:textId="77777777" w:rsidR="00600E38" w:rsidRPr="00600E38" w:rsidRDefault="00600E38" w:rsidP="005B051A">
      <w:pPr>
        <w:spacing w:line="360" w:lineRule="auto"/>
        <w:rPr>
          <w:rFonts w:asciiTheme="majorBidi" w:hAnsiTheme="majorBidi" w:cstheme="majorBidi"/>
          <w:sz w:val="24"/>
          <w:szCs w:val="24"/>
        </w:rPr>
      </w:pPr>
    </w:p>
    <w:p w14:paraId="23EF0B65" w14:textId="77777777" w:rsidR="00600E38" w:rsidRPr="00600E38" w:rsidRDefault="00600E38" w:rsidP="005B051A">
      <w:pPr>
        <w:spacing w:line="360" w:lineRule="auto"/>
        <w:rPr>
          <w:rFonts w:asciiTheme="majorBidi" w:hAnsiTheme="majorBidi" w:cstheme="majorBidi"/>
          <w:sz w:val="24"/>
          <w:szCs w:val="24"/>
        </w:rPr>
      </w:pPr>
    </w:p>
    <w:p w14:paraId="7F9CC371" w14:textId="77777777" w:rsidR="00600E38" w:rsidRPr="00600E38" w:rsidRDefault="00600E38" w:rsidP="005B051A">
      <w:pPr>
        <w:spacing w:line="360" w:lineRule="auto"/>
        <w:rPr>
          <w:rFonts w:asciiTheme="majorBidi" w:hAnsiTheme="majorBidi" w:cstheme="majorBidi"/>
          <w:sz w:val="24"/>
          <w:szCs w:val="24"/>
        </w:rPr>
      </w:pPr>
    </w:p>
    <w:p w14:paraId="4FC79104" w14:textId="77777777" w:rsidR="00600E38" w:rsidRPr="00600E38" w:rsidRDefault="00600E38" w:rsidP="005B051A">
      <w:pPr>
        <w:spacing w:line="360" w:lineRule="auto"/>
        <w:rPr>
          <w:rFonts w:asciiTheme="majorBidi" w:hAnsiTheme="majorBidi" w:cstheme="majorBidi"/>
          <w:sz w:val="24"/>
          <w:szCs w:val="24"/>
        </w:rPr>
      </w:pPr>
    </w:p>
    <w:p w14:paraId="19A7ADF1" w14:textId="77777777" w:rsidR="00600E38" w:rsidRPr="00600E38" w:rsidRDefault="00600E38" w:rsidP="005B051A">
      <w:pPr>
        <w:spacing w:line="360" w:lineRule="auto"/>
        <w:rPr>
          <w:rFonts w:asciiTheme="majorBidi" w:hAnsiTheme="majorBidi" w:cstheme="majorBidi"/>
          <w:sz w:val="24"/>
          <w:szCs w:val="24"/>
        </w:rPr>
      </w:pPr>
    </w:p>
    <w:p w14:paraId="409C58C5" w14:textId="77777777" w:rsidR="00600E38" w:rsidRPr="00A70905" w:rsidRDefault="00600E38" w:rsidP="005B051A">
      <w:pPr>
        <w:spacing w:line="360" w:lineRule="auto"/>
        <w:rPr>
          <w:rFonts w:asciiTheme="majorBidi" w:hAnsiTheme="majorBidi" w:cstheme="majorBidi"/>
          <w:sz w:val="24"/>
          <w:szCs w:val="24"/>
        </w:rPr>
      </w:pPr>
    </w:p>
    <w:p w14:paraId="36FA11BA" w14:textId="77777777" w:rsidR="00C30E01" w:rsidRDefault="00C30E01" w:rsidP="005B051A">
      <w:pPr>
        <w:spacing w:line="360" w:lineRule="auto"/>
        <w:rPr>
          <w:rFonts w:asciiTheme="majorBidi" w:hAnsiTheme="majorBidi" w:cstheme="majorBidi"/>
          <w:b/>
          <w:bCs/>
          <w:sz w:val="24"/>
          <w:szCs w:val="24"/>
        </w:rPr>
      </w:pPr>
    </w:p>
    <w:p w14:paraId="7C113E03" w14:textId="77777777" w:rsidR="00C30E01" w:rsidRDefault="00C30E01" w:rsidP="005B051A">
      <w:pPr>
        <w:spacing w:line="360" w:lineRule="auto"/>
        <w:rPr>
          <w:rFonts w:asciiTheme="majorBidi" w:hAnsiTheme="majorBidi" w:cstheme="majorBidi"/>
          <w:b/>
          <w:bCs/>
          <w:sz w:val="24"/>
          <w:szCs w:val="24"/>
        </w:rPr>
      </w:pPr>
    </w:p>
    <w:p w14:paraId="534B7034" w14:textId="77777777" w:rsidR="00C30E01" w:rsidRDefault="00C30E01" w:rsidP="005B051A">
      <w:pPr>
        <w:spacing w:line="360" w:lineRule="auto"/>
        <w:rPr>
          <w:rFonts w:asciiTheme="majorBidi" w:hAnsiTheme="majorBidi" w:cstheme="majorBidi"/>
          <w:b/>
          <w:bCs/>
          <w:sz w:val="24"/>
          <w:szCs w:val="24"/>
        </w:rPr>
      </w:pPr>
    </w:p>
    <w:p w14:paraId="2B07EECE" w14:textId="77777777" w:rsidR="00C30E01" w:rsidRDefault="00C30E01" w:rsidP="005B051A">
      <w:pPr>
        <w:spacing w:line="360" w:lineRule="auto"/>
        <w:rPr>
          <w:rFonts w:asciiTheme="majorBidi" w:hAnsiTheme="majorBidi" w:cstheme="majorBidi"/>
          <w:b/>
          <w:bCs/>
          <w:sz w:val="24"/>
          <w:szCs w:val="24"/>
        </w:rPr>
      </w:pPr>
    </w:p>
    <w:p w14:paraId="2990FF54" w14:textId="77777777" w:rsidR="00C30E01" w:rsidRDefault="00C30E01" w:rsidP="005B051A">
      <w:pPr>
        <w:spacing w:line="360" w:lineRule="auto"/>
        <w:rPr>
          <w:rFonts w:asciiTheme="majorBidi" w:hAnsiTheme="majorBidi" w:cstheme="majorBidi"/>
          <w:b/>
          <w:bCs/>
          <w:sz w:val="24"/>
          <w:szCs w:val="24"/>
        </w:rPr>
      </w:pPr>
    </w:p>
    <w:p w14:paraId="277599DD" w14:textId="77777777" w:rsidR="00C30E01" w:rsidRDefault="00C30E01" w:rsidP="005B051A">
      <w:pPr>
        <w:spacing w:line="360" w:lineRule="auto"/>
        <w:rPr>
          <w:rFonts w:asciiTheme="majorBidi" w:hAnsiTheme="majorBidi" w:cstheme="majorBidi"/>
          <w:b/>
          <w:bCs/>
          <w:sz w:val="24"/>
          <w:szCs w:val="24"/>
        </w:rPr>
      </w:pPr>
    </w:p>
    <w:p w14:paraId="41F8B522" w14:textId="77777777" w:rsidR="00C30E01" w:rsidRDefault="00C30E01" w:rsidP="005B051A">
      <w:pPr>
        <w:spacing w:line="360" w:lineRule="auto"/>
        <w:rPr>
          <w:rFonts w:asciiTheme="majorBidi" w:hAnsiTheme="majorBidi" w:cstheme="majorBidi"/>
          <w:b/>
          <w:bCs/>
          <w:sz w:val="24"/>
          <w:szCs w:val="24"/>
        </w:rPr>
      </w:pPr>
    </w:p>
    <w:p w14:paraId="0F8BCF0E" w14:textId="77777777" w:rsidR="00C30E01" w:rsidRDefault="00C30E01" w:rsidP="005B051A">
      <w:pPr>
        <w:spacing w:line="360" w:lineRule="auto"/>
        <w:rPr>
          <w:rFonts w:asciiTheme="majorBidi" w:hAnsiTheme="majorBidi" w:cstheme="majorBidi"/>
          <w:b/>
          <w:bCs/>
          <w:sz w:val="24"/>
          <w:szCs w:val="24"/>
        </w:rPr>
      </w:pPr>
    </w:p>
    <w:p w14:paraId="7E4955A8" w14:textId="77777777" w:rsidR="00C30E01" w:rsidRDefault="00C30E01" w:rsidP="005B051A">
      <w:pPr>
        <w:spacing w:line="360" w:lineRule="auto"/>
        <w:rPr>
          <w:rFonts w:asciiTheme="majorBidi" w:hAnsiTheme="majorBidi" w:cstheme="majorBidi"/>
          <w:b/>
          <w:bCs/>
          <w:sz w:val="24"/>
          <w:szCs w:val="24"/>
        </w:rPr>
      </w:pPr>
    </w:p>
    <w:p w14:paraId="562E1128" w14:textId="77777777" w:rsidR="00C30E01" w:rsidRDefault="00C30E01" w:rsidP="005B051A">
      <w:pPr>
        <w:spacing w:line="360" w:lineRule="auto"/>
        <w:rPr>
          <w:rFonts w:asciiTheme="majorBidi" w:hAnsiTheme="majorBidi" w:cstheme="majorBidi"/>
          <w:b/>
          <w:bCs/>
          <w:sz w:val="24"/>
          <w:szCs w:val="24"/>
        </w:rPr>
      </w:pPr>
    </w:p>
    <w:p w14:paraId="177CCD8B" w14:textId="77777777" w:rsidR="00C30E01" w:rsidRDefault="00C30E01" w:rsidP="005B051A">
      <w:pPr>
        <w:spacing w:line="360" w:lineRule="auto"/>
        <w:rPr>
          <w:rFonts w:asciiTheme="majorBidi" w:hAnsiTheme="majorBidi" w:cstheme="majorBidi"/>
          <w:b/>
          <w:bCs/>
          <w:sz w:val="24"/>
          <w:szCs w:val="24"/>
        </w:rPr>
      </w:pPr>
    </w:p>
    <w:p w14:paraId="0262F72B" w14:textId="4054FD0E"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1.3 Importance of the Study</w:t>
      </w:r>
    </w:p>
    <w:p w14:paraId="29B0E172" w14:textId="39D183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study is significant for several reasons, encompassing both academic importance and practical relevance. From an academic perspective, it contributes to the growing body of knowledge on international business strategy and emerging markets, offering insights specific to the Middle Eastern and Saudi context. Saudi Arabia’s energy sector, in the midst of diversification and rapid growth, provides a unique setting to examine how classical strategic models (like market entry modes, partnership theories, and innovation management frameworks) apply in practice under conditions of accelerated economic change. By focusing on electrical and electronics companies which are often mid-sized technology providers rather than the oil &amp; gas giants typically studied the research fills a niche that has not been deeply explored in prior literature. Many existing studies focus broadly on energy policy or on large petroleum companies; in contrast, this study zeroes in on the strategic behavior of the supporting industries (electrical equipment, electronics, renewable technology firms) that are critical for sustainable energy development but under-represented in research. Therefore, the findings can enrich strategic management theories with insights from a non-Western, fast-changing environment, addressing a gap in the literature about how medium-sized technology firms adapt in the Gulf region. It also bridges multiple theoretical domains combining international business strategy (entry and expansion) with innovation management and alliance theory in a single focused study.</w:t>
      </w:r>
    </w:p>
    <w:p w14:paraId="01C5AE6F"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From a practical standpoint, the study’s importance is evident in the context of Saudi Vision 2030 and the Kingdom’s industrial development goals. The success of Vision 2030’s energy diversification and localization targets hinges on the active participation and success of private companies, including foreign investors bringing in expertise and local entrepreneurs driving innovation. This research provides actionable insights for business leaders who aim to contribute to and benefit from Saudi Arabia’s energy sector growth. For instance, by identifying effective market entry strategies, the study can help new investors avoid common pitfalls and align their market entry plans with local expectations and regulations. Understanding what has worked (and not worked) for others can guide executives in making informed choices about partnering or investing. </w:t>
      </w:r>
      <w:r w:rsidRPr="00A70905">
        <w:rPr>
          <w:rFonts w:asciiTheme="majorBidi" w:hAnsiTheme="majorBidi" w:cstheme="majorBidi"/>
          <w:sz w:val="24"/>
          <w:szCs w:val="24"/>
        </w:rPr>
        <w:lastRenderedPageBreak/>
        <w:t>The emphasis on strategic partnerships addresses a core practical need: companies will learn how to form and manage alliances that enable them to win contracts, share risks, and meet localization requirements. Given that major Saudi clients (like Aramco or the Saudi Electricity Company) increasingly favor bidders who have solid local partnerships or joint ventures, understanding partnership dynamics has immediate business value.</w:t>
      </w:r>
    </w:p>
    <w:p w14:paraId="17C17E8A" w14:textId="361E98A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Furthermore, the focus on innovation and open innovation carries practical significance for sustaining competitive advantage in the Saudi market. Saudi Arabia is investing heavily in building an innovation ecosystem for example, the government has set goals to increase R&amp;D spending to 2.5% of GDP by 2040 and is establishing new research centers and innovation hubs. Companies that leverage these opportunities (such as collaborating with local universities or participating in government-sponsored innovation programs) are likely to thrive. This study’s insights on innovation strategies, illustrated through cases (for example, ACWA Power’s joint R&amp;D center with KACST, or Aramco’s partnerships with KAUST on advanced research), provide a blueprint that other firms can follow. Such information is particularly valuable for corporate R&amp;D managers and innovation officers who are looking to align their innovation approach with Saudi Arabia’s environment. It underscores the idea that engaging in open innovation by working with Saudi academia, startups, or tech hubs is not just a CSR activity but a strategic move to gain local insight and co-develop solutions suited to the local market.</w:t>
      </w:r>
    </w:p>
    <w:p w14:paraId="75204009"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Another important practical aspect is the study’s relevance for policymakers and development agencies in Saudi Arabia. By identifying the challenges companies face (for example, regulatory hurdles, talent shortages, or financing constraints) and highlighting which strategies help overcome them, the research can inform policy adjustments. If, for instance, the study finds that companies struggle with navigating standards and certifications, regulators might consider streamlining those processes or providing better guidance to new investors. If innovation collaboration is found to be a key success factor for companies, government programs could be adjusted to further incentivize industry-academia partnerships or to support corporate incubators. In essence, the study provides feedback from the business community’s perspective, which is valuable for fine-tuning initiatives like IKTVA, the National Industrial Strategy, or the new national RDI </w:t>
      </w:r>
      <w:r w:rsidRPr="00A70905">
        <w:rPr>
          <w:rFonts w:asciiTheme="majorBidi" w:hAnsiTheme="majorBidi" w:cstheme="majorBidi"/>
          <w:sz w:val="24"/>
          <w:szCs w:val="24"/>
        </w:rPr>
        <w:lastRenderedPageBreak/>
        <w:t>(Research, Development &amp; Innovation) policies. Policymakers interested in attracting investment and fostering a healthy business ecosystem in energy can use these findings to create a more enabling environment.</w:t>
      </w:r>
    </w:p>
    <w:p w14:paraId="71458A2F" w14:textId="77777777" w:rsidR="00A70905" w:rsidRPr="005C4FA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summary, this study is important academically because it expands our understanding of business development strategies in the specific context of Saudi Arabia’s energy sector transformation, and it is important practically because it offers concrete guidance to companies and policymakers engaged in one of the world’s most strategically significant energy markets. By clearly articulating both the scientific importance (contributing new knowledge and bridging research gaps) and the practical importance (solving real-world strategic problems and aiding decision-making), the study justifies its relevance and potential impact. This dual importance underlines why the research was worthwhile and how its outcomes can be utilized in advancing both theory and practice.</w:t>
      </w:r>
    </w:p>
    <w:p w14:paraId="149E9395" w14:textId="77777777" w:rsidR="00600E38" w:rsidRPr="00600E38" w:rsidRDefault="00600E38" w:rsidP="005B051A">
      <w:pPr>
        <w:spacing w:line="360" w:lineRule="auto"/>
        <w:rPr>
          <w:rFonts w:asciiTheme="majorBidi" w:hAnsiTheme="majorBidi" w:cstheme="majorBidi"/>
          <w:sz w:val="24"/>
          <w:szCs w:val="24"/>
        </w:rPr>
      </w:pPr>
    </w:p>
    <w:p w14:paraId="1D9637F4" w14:textId="77777777" w:rsidR="00600E38" w:rsidRPr="00600E38" w:rsidRDefault="00600E38" w:rsidP="005B051A">
      <w:pPr>
        <w:spacing w:line="360" w:lineRule="auto"/>
        <w:rPr>
          <w:rFonts w:asciiTheme="majorBidi" w:hAnsiTheme="majorBidi" w:cstheme="majorBidi"/>
          <w:sz w:val="24"/>
          <w:szCs w:val="24"/>
        </w:rPr>
      </w:pPr>
    </w:p>
    <w:p w14:paraId="770B4E86" w14:textId="77777777" w:rsidR="00600E38" w:rsidRPr="00600E38" w:rsidRDefault="00600E38" w:rsidP="005B051A">
      <w:pPr>
        <w:spacing w:line="360" w:lineRule="auto"/>
        <w:rPr>
          <w:rFonts w:asciiTheme="majorBidi" w:hAnsiTheme="majorBidi" w:cstheme="majorBidi"/>
          <w:sz w:val="24"/>
          <w:szCs w:val="24"/>
        </w:rPr>
      </w:pPr>
    </w:p>
    <w:p w14:paraId="60791F18" w14:textId="77777777" w:rsidR="00600E38" w:rsidRPr="00A70905" w:rsidRDefault="00600E38" w:rsidP="005B051A">
      <w:pPr>
        <w:spacing w:line="360" w:lineRule="auto"/>
        <w:rPr>
          <w:rFonts w:asciiTheme="majorBidi" w:hAnsiTheme="majorBidi" w:cstheme="majorBidi"/>
          <w:sz w:val="24"/>
          <w:szCs w:val="24"/>
        </w:rPr>
      </w:pPr>
    </w:p>
    <w:p w14:paraId="773EC7F2" w14:textId="77777777" w:rsidR="00C30E01" w:rsidRDefault="00C30E01" w:rsidP="005B051A">
      <w:pPr>
        <w:spacing w:line="360" w:lineRule="auto"/>
        <w:rPr>
          <w:rFonts w:asciiTheme="majorBidi" w:hAnsiTheme="majorBidi" w:cstheme="majorBidi"/>
          <w:b/>
          <w:bCs/>
          <w:sz w:val="24"/>
          <w:szCs w:val="24"/>
        </w:rPr>
      </w:pPr>
    </w:p>
    <w:p w14:paraId="3D3EAF57" w14:textId="77777777" w:rsidR="00C30E01" w:rsidRDefault="00C30E01" w:rsidP="005B051A">
      <w:pPr>
        <w:spacing w:line="360" w:lineRule="auto"/>
        <w:rPr>
          <w:rFonts w:asciiTheme="majorBidi" w:hAnsiTheme="majorBidi" w:cstheme="majorBidi"/>
          <w:b/>
          <w:bCs/>
          <w:sz w:val="24"/>
          <w:szCs w:val="24"/>
        </w:rPr>
      </w:pPr>
    </w:p>
    <w:p w14:paraId="3845F4BC" w14:textId="77777777" w:rsidR="00C30E01" w:rsidRDefault="00C30E01" w:rsidP="005B051A">
      <w:pPr>
        <w:spacing w:line="360" w:lineRule="auto"/>
        <w:rPr>
          <w:rFonts w:asciiTheme="majorBidi" w:hAnsiTheme="majorBidi" w:cstheme="majorBidi"/>
          <w:b/>
          <w:bCs/>
          <w:sz w:val="24"/>
          <w:szCs w:val="24"/>
        </w:rPr>
      </w:pPr>
    </w:p>
    <w:p w14:paraId="6FD9B34A" w14:textId="77777777" w:rsidR="00C30E01" w:rsidRDefault="00C30E01" w:rsidP="005B051A">
      <w:pPr>
        <w:spacing w:line="360" w:lineRule="auto"/>
        <w:rPr>
          <w:rFonts w:asciiTheme="majorBidi" w:hAnsiTheme="majorBidi" w:cstheme="majorBidi"/>
          <w:b/>
          <w:bCs/>
          <w:sz w:val="24"/>
          <w:szCs w:val="24"/>
        </w:rPr>
      </w:pPr>
    </w:p>
    <w:p w14:paraId="1CD394D0" w14:textId="77777777" w:rsidR="00C30E01" w:rsidRDefault="00C30E01" w:rsidP="005B051A">
      <w:pPr>
        <w:spacing w:line="360" w:lineRule="auto"/>
        <w:rPr>
          <w:rFonts w:asciiTheme="majorBidi" w:hAnsiTheme="majorBidi" w:cstheme="majorBidi"/>
          <w:b/>
          <w:bCs/>
          <w:sz w:val="24"/>
          <w:szCs w:val="24"/>
        </w:rPr>
      </w:pPr>
    </w:p>
    <w:p w14:paraId="417E1128" w14:textId="77777777" w:rsidR="00C30E01" w:rsidRDefault="00C30E01" w:rsidP="005B051A">
      <w:pPr>
        <w:spacing w:line="360" w:lineRule="auto"/>
        <w:rPr>
          <w:rFonts w:asciiTheme="majorBidi" w:hAnsiTheme="majorBidi" w:cstheme="majorBidi"/>
          <w:b/>
          <w:bCs/>
          <w:sz w:val="24"/>
          <w:szCs w:val="24"/>
        </w:rPr>
      </w:pPr>
    </w:p>
    <w:p w14:paraId="692D2EF6" w14:textId="77777777" w:rsidR="00C30E01" w:rsidRDefault="00C30E01" w:rsidP="005B051A">
      <w:pPr>
        <w:spacing w:line="360" w:lineRule="auto"/>
        <w:rPr>
          <w:rFonts w:asciiTheme="majorBidi" w:hAnsiTheme="majorBidi" w:cstheme="majorBidi"/>
          <w:b/>
          <w:bCs/>
          <w:sz w:val="24"/>
          <w:szCs w:val="24"/>
        </w:rPr>
      </w:pPr>
    </w:p>
    <w:p w14:paraId="1F4755B8" w14:textId="77777777" w:rsidR="00C30E01" w:rsidRDefault="00C30E01" w:rsidP="005B051A">
      <w:pPr>
        <w:spacing w:line="360" w:lineRule="auto"/>
        <w:rPr>
          <w:rFonts w:asciiTheme="majorBidi" w:hAnsiTheme="majorBidi" w:cstheme="majorBidi"/>
          <w:b/>
          <w:bCs/>
          <w:sz w:val="24"/>
          <w:szCs w:val="24"/>
        </w:rPr>
      </w:pPr>
    </w:p>
    <w:p w14:paraId="1BA9CF5F" w14:textId="77777777" w:rsidR="00C30E01" w:rsidRDefault="00C30E01" w:rsidP="005B051A">
      <w:pPr>
        <w:spacing w:line="360" w:lineRule="auto"/>
        <w:rPr>
          <w:rFonts w:asciiTheme="majorBidi" w:hAnsiTheme="majorBidi" w:cstheme="majorBidi"/>
          <w:b/>
          <w:bCs/>
          <w:sz w:val="24"/>
          <w:szCs w:val="24"/>
        </w:rPr>
      </w:pPr>
    </w:p>
    <w:p w14:paraId="13D32317" w14:textId="0EB0473E"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1.4 Research Objectives</w:t>
      </w:r>
    </w:p>
    <w:p w14:paraId="25F5E021"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primary aim of this research is to examine and identify effective strategies that facilitate business development and growth for electrical and electronics companies in Saudi Arabia’s energy sector. In alignment with this broad aim, the study has several specific objectives that break down the problem into manageable inquiries. These objectives serve as concrete goals for what the research seeks to achieve, and they guided the data collection and analysis process. The objectives of the study include:</w:t>
      </w:r>
    </w:p>
    <w:p w14:paraId="64A4235C" w14:textId="123AD218"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Identify effective market entry strategies</w:t>
      </w:r>
      <w:r w:rsidRPr="00A70905">
        <w:rPr>
          <w:rFonts w:asciiTheme="majorBidi" w:hAnsiTheme="majorBidi" w:cstheme="majorBidi"/>
          <w:sz w:val="24"/>
          <w:szCs w:val="24"/>
        </w:rPr>
        <w:t xml:space="preserve"> for electrical and electronics firms in Saudi Arabia’s energy sector. This involves determining how companies can successfully enter the market for example, through joint ventures with local partners, acquisitions of or partnerships with local firms, setting up greenfield operations, or other modes and understanding which entry modes have historically led to sustainable success under Saudi conditions.</w:t>
      </w:r>
    </w:p>
    <w:p w14:paraId="07ED644E"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Examine the role of the Public Investment Fund (PIF) and government investment programs</w:t>
      </w:r>
      <w:r w:rsidRPr="00A70905">
        <w:rPr>
          <w:rFonts w:asciiTheme="majorBidi" w:hAnsiTheme="majorBidi" w:cstheme="majorBidi"/>
          <w:sz w:val="24"/>
          <w:szCs w:val="24"/>
        </w:rPr>
        <w:t xml:space="preserve"> in shaping business growth opportunities in the energy sector. The objective here is to assess how initiatives led by PIF (such as large-scale renewable energy investments, or PIF-backed joint ventures with international companies) influence the landscape for private firms. For instance, what opportunities or support mechanisms arise from these government-led investments, and how can companies align their strategies to benefit from them?</w:t>
      </w:r>
    </w:p>
    <w:p w14:paraId="392DBCAF"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Assess key success factors for business expansion and long-term sustainability</w:t>
      </w:r>
      <w:r w:rsidRPr="00A70905">
        <w:rPr>
          <w:rFonts w:asciiTheme="majorBidi" w:hAnsiTheme="majorBidi" w:cstheme="majorBidi"/>
          <w:sz w:val="24"/>
          <w:szCs w:val="24"/>
        </w:rPr>
        <w:t xml:space="preserve"> in the Saudi energy context. This means identifying both internal factors (such as a firm’s access to capital, technology superiority, management expertise, and organizational adaptability) and external factors (such as market demand, regulatory climate, and availability of skilled labor) that contribute to a company’s ability not just to enter but also to scale up and sustain operations over time in Saudi Arabia.</w:t>
      </w:r>
    </w:p>
    <w:p w14:paraId="2AAC4FD4" w14:textId="46305175"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Analyze the impact of strategic partnerships on scaling businesses</w:t>
      </w:r>
      <w:r w:rsidRPr="00A70905">
        <w:rPr>
          <w:rFonts w:asciiTheme="majorBidi" w:hAnsiTheme="majorBidi" w:cstheme="majorBidi"/>
          <w:sz w:val="24"/>
          <w:szCs w:val="24"/>
        </w:rPr>
        <w:t xml:space="preserve"> and improving performance. The goal is to evaluate how forming partnerships </w:t>
      </w:r>
      <w:r w:rsidRPr="00A70905">
        <w:rPr>
          <w:rFonts w:asciiTheme="majorBidi" w:hAnsiTheme="majorBidi" w:cstheme="majorBidi"/>
          <w:sz w:val="24"/>
          <w:szCs w:val="24"/>
        </w:rPr>
        <w:lastRenderedPageBreak/>
        <w:t>whether with local companies, international technology providers, or government entities helps in business development. This includes understanding which partnership models work best (e.g., equity joint ventures vs. contractual alliances) and how partnerships contribute in areas like market access, resource sharing, risk mitigation, and localization. Essentially, the study seeks to clarify in what ways partnerships drive growth and resilience for companies in this sector.</w:t>
      </w:r>
    </w:p>
    <w:p w14:paraId="2F7F5215"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Evaluate the influence of Saudi Vision 2030 on corporate strategies</w:t>
      </w:r>
      <w:r w:rsidRPr="00A70905">
        <w:rPr>
          <w:rFonts w:asciiTheme="majorBidi" w:hAnsiTheme="majorBidi" w:cstheme="majorBidi"/>
          <w:sz w:val="24"/>
          <w:szCs w:val="24"/>
        </w:rPr>
        <w:t>, particularly regarding localization and investment trends. This objective looks at how the broader national agenda and policies (like Vision 2030’s call for a thriving private sector and the IKTVA localization requirements) are affecting company behavior. Are companies changing their product offerings, investing in local manufacturing, or launching training programs for Saudis in response to Vision 2030 directives and expectations? The aim is to understand how alignment with the vision translates into tangible strategic adjustments by firms.</w:t>
      </w:r>
    </w:p>
    <w:p w14:paraId="427CAFD8"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Investigate regulatory challenges and opportunities</w:t>
      </w:r>
      <w:r w:rsidRPr="00A70905">
        <w:rPr>
          <w:rFonts w:asciiTheme="majorBidi" w:hAnsiTheme="majorBidi" w:cstheme="majorBidi"/>
          <w:sz w:val="24"/>
          <w:szCs w:val="24"/>
        </w:rPr>
        <w:t xml:space="preserve"> that affect business development in the energy sector. This involves scrutinizing the regulatory environment to find out what challenges companies face (for example, in obtaining necessary licenses, meeting Saudization quotas, or navigating procurement rules) and what recent regulatory reforms or incentives they can leverage. Essentially, the study aims to map out the regulatory landscape in terms of barriers and enablers for business growth.</w:t>
      </w:r>
    </w:p>
    <w:p w14:paraId="4472BE7F"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Utilize strategic analysis tools (SWOT, PESTLE, Porter’s Five Forces)</w:t>
      </w:r>
      <w:r w:rsidRPr="00A70905">
        <w:rPr>
          <w:rFonts w:asciiTheme="majorBidi" w:hAnsiTheme="majorBidi" w:cstheme="majorBidi"/>
          <w:sz w:val="24"/>
          <w:szCs w:val="24"/>
        </w:rPr>
        <w:t xml:space="preserve"> to assess the market environment and internal capabilities relevant to the sector. The objective is to apply these well-known frameworks to systematically identify the Strengths, Weaknesses, Opportunities, and Threats (SWOT) for companies in this sector; to analyze the Political, Economic, Social, Technological, Legal, and Environmental (PESTLE) factors in Saudi Arabia’s energy market; and to evaluate industry structure and competition using Porter’s Five Forces model. By doing so, the study ensures that its recommendations are grounded in a thorough </w:t>
      </w:r>
      <w:r w:rsidRPr="00A70905">
        <w:rPr>
          <w:rFonts w:asciiTheme="majorBidi" w:hAnsiTheme="majorBidi" w:cstheme="majorBidi"/>
          <w:sz w:val="24"/>
          <w:szCs w:val="24"/>
        </w:rPr>
        <w:lastRenderedPageBreak/>
        <w:t>situational analysis and that we capture a holistic view of the business environment.</w:t>
      </w:r>
    </w:p>
    <w:p w14:paraId="0102DD7D"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Develop actionable recommendations</w:t>
      </w:r>
      <w:r w:rsidRPr="00A70905">
        <w:rPr>
          <w:rFonts w:asciiTheme="majorBidi" w:hAnsiTheme="majorBidi" w:cstheme="majorBidi"/>
          <w:sz w:val="24"/>
          <w:szCs w:val="24"/>
        </w:rPr>
        <w:t xml:space="preserve"> for companies looking to enter or expand in the Saudi energy market. Based on the research findings, the aim is to formulate clear recommendations or even a strategic framework that companies can follow. This includes guidance on how to structure market entry plans, how to approach and negotiate partnerships, and how to integrate innovation into their strategy for long-term success.</w:t>
      </w:r>
    </w:p>
    <w:p w14:paraId="65F7C599" w14:textId="77777777" w:rsidR="00A70905" w:rsidRPr="00A70905" w:rsidRDefault="00A70905" w:rsidP="00EB2BA1">
      <w:pPr>
        <w:numPr>
          <w:ilvl w:val="0"/>
          <w:numId w:val="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Explore financial and business model considerations</w:t>
      </w:r>
      <w:r w:rsidRPr="00A70905">
        <w:rPr>
          <w:rFonts w:asciiTheme="majorBidi" w:hAnsiTheme="majorBidi" w:cstheme="majorBidi"/>
          <w:sz w:val="24"/>
          <w:szCs w:val="24"/>
        </w:rPr>
        <w:t xml:space="preserve"> that support long-term investment and growth in the sector. This might include looking at how companies can finance their expansion (for example, through Saudi industrial development funds, or partnerships with local investors, or export credit facilities) and what business models are proving successful (for instance, Build-Operate-Transfer models for power projects, or service-based revenue models for technology providers in energy).</w:t>
      </w:r>
    </w:p>
    <w:p w14:paraId="6D645978" w14:textId="2E6C34A4"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Each of these objectives contributes to a comprehensive understanding of the research problem. Collectively, they ensure that the study covers a broad range of factors from high-level policy impacts down to firm-level strategic choices and operational tools providing a multi-faceted analysis of business development in Saudi Arabia’s energy sector.</w:t>
      </w:r>
    </w:p>
    <w:p w14:paraId="0C1D9838" w14:textId="77777777" w:rsidR="00960AEC" w:rsidRDefault="00960AEC" w:rsidP="005B051A">
      <w:pPr>
        <w:spacing w:line="360" w:lineRule="auto"/>
        <w:rPr>
          <w:rFonts w:asciiTheme="majorBidi" w:hAnsiTheme="majorBidi" w:cstheme="majorBidi"/>
          <w:b/>
          <w:bCs/>
          <w:sz w:val="24"/>
          <w:szCs w:val="24"/>
        </w:rPr>
      </w:pPr>
    </w:p>
    <w:p w14:paraId="57779FAD" w14:textId="77777777" w:rsidR="00960AEC" w:rsidRDefault="00960AEC" w:rsidP="005B051A">
      <w:pPr>
        <w:spacing w:line="360" w:lineRule="auto"/>
        <w:rPr>
          <w:rFonts w:asciiTheme="majorBidi" w:hAnsiTheme="majorBidi" w:cstheme="majorBidi"/>
          <w:b/>
          <w:bCs/>
          <w:sz w:val="24"/>
          <w:szCs w:val="24"/>
        </w:rPr>
      </w:pPr>
    </w:p>
    <w:p w14:paraId="59574671" w14:textId="77777777" w:rsidR="00960AEC" w:rsidRDefault="00960AEC" w:rsidP="005B051A">
      <w:pPr>
        <w:spacing w:line="360" w:lineRule="auto"/>
        <w:rPr>
          <w:rFonts w:asciiTheme="majorBidi" w:hAnsiTheme="majorBidi" w:cstheme="majorBidi"/>
          <w:b/>
          <w:bCs/>
          <w:sz w:val="24"/>
          <w:szCs w:val="24"/>
        </w:rPr>
      </w:pPr>
    </w:p>
    <w:p w14:paraId="321D9562" w14:textId="77777777" w:rsidR="00960AEC" w:rsidRDefault="00960AEC" w:rsidP="005B051A">
      <w:pPr>
        <w:spacing w:line="360" w:lineRule="auto"/>
        <w:rPr>
          <w:rFonts w:asciiTheme="majorBidi" w:hAnsiTheme="majorBidi" w:cstheme="majorBidi"/>
          <w:b/>
          <w:bCs/>
          <w:sz w:val="24"/>
          <w:szCs w:val="24"/>
        </w:rPr>
      </w:pPr>
    </w:p>
    <w:p w14:paraId="6698583F" w14:textId="77777777" w:rsidR="00960AEC" w:rsidRDefault="00960AEC" w:rsidP="005B051A">
      <w:pPr>
        <w:spacing w:line="360" w:lineRule="auto"/>
        <w:rPr>
          <w:rFonts w:asciiTheme="majorBidi" w:hAnsiTheme="majorBidi" w:cstheme="majorBidi"/>
          <w:b/>
          <w:bCs/>
          <w:sz w:val="24"/>
          <w:szCs w:val="24"/>
        </w:rPr>
      </w:pPr>
    </w:p>
    <w:p w14:paraId="7179383B" w14:textId="77777777" w:rsidR="00960AEC" w:rsidRDefault="00960AEC" w:rsidP="005B051A">
      <w:pPr>
        <w:spacing w:line="360" w:lineRule="auto"/>
        <w:rPr>
          <w:rFonts w:asciiTheme="majorBidi" w:hAnsiTheme="majorBidi" w:cstheme="majorBidi"/>
          <w:b/>
          <w:bCs/>
          <w:sz w:val="24"/>
          <w:szCs w:val="24"/>
        </w:rPr>
      </w:pPr>
    </w:p>
    <w:p w14:paraId="09E8C6FD" w14:textId="77777777" w:rsidR="00960AEC" w:rsidRDefault="00960AEC" w:rsidP="005B051A">
      <w:pPr>
        <w:spacing w:line="360" w:lineRule="auto"/>
        <w:rPr>
          <w:rFonts w:asciiTheme="majorBidi" w:hAnsiTheme="majorBidi" w:cstheme="majorBidi"/>
          <w:b/>
          <w:bCs/>
          <w:sz w:val="24"/>
          <w:szCs w:val="24"/>
        </w:rPr>
      </w:pPr>
    </w:p>
    <w:p w14:paraId="3DC9428F" w14:textId="0F45EA9B"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1.5 Research Questions</w:t>
      </w:r>
    </w:p>
    <w:p w14:paraId="6D0B4C6D"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Aligned with the above objectives, the study seeks to answer several key research questions. These questions are formulated to target the main areas of inquiry and to ensure that the research remains focused on addressing the core problem. By answering these questions, the study will achieve its objectives and ultimately provide insights to help resolve the challenges identified. The research questions guiding this study are:</w:t>
      </w:r>
    </w:p>
    <w:p w14:paraId="48DCC9D6" w14:textId="77777777" w:rsidR="00C30E01"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What are the most effective market entry strategies for electrical and electronics companies in Saudi Arabia’s energy sector?</w:t>
      </w:r>
      <w:r w:rsidRPr="00A70905">
        <w:rPr>
          <w:rFonts w:asciiTheme="majorBidi" w:hAnsiTheme="majorBidi" w:cstheme="majorBidi"/>
          <w:sz w:val="24"/>
          <w:szCs w:val="24"/>
        </w:rPr>
        <w:t xml:space="preserve"> </w:t>
      </w:r>
    </w:p>
    <w:p w14:paraId="657FE1B0" w14:textId="7BE98694" w:rsidR="00A70905" w:rsidRPr="00A70905" w:rsidRDefault="00A70905" w:rsidP="00C30E01">
      <w:pPr>
        <w:spacing w:line="360" w:lineRule="auto"/>
        <w:ind w:left="720"/>
        <w:rPr>
          <w:rFonts w:asciiTheme="majorBidi" w:hAnsiTheme="majorBidi" w:cstheme="majorBidi"/>
          <w:sz w:val="24"/>
          <w:szCs w:val="24"/>
        </w:rPr>
      </w:pPr>
      <w:r w:rsidRPr="00A70905">
        <w:rPr>
          <w:rFonts w:asciiTheme="majorBidi" w:hAnsiTheme="majorBidi" w:cstheme="majorBidi"/>
          <w:sz w:val="24"/>
          <w:szCs w:val="24"/>
        </w:rPr>
        <w:t>This question investigates the optimal ways for companies to enter the Saudi energy market. It asks whether strategies such as partnering with a local firm (through joint ventures or distributor agreements), acquiring a local company, or entering independently (and under what conditions each works best) have proven most successful. It also implies examining the relative success of different entry modes (e.g., export-only, licensing, franchising, joint venture, wholly-owned subsidiary) in the context of Saudi Arabia.</w:t>
      </w:r>
    </w:p>
    <w:p w14:paraId="760212F2" w14:textId="5937EA23"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How do investments and initiatives by the Public Investment Fund (PIF) influence business development opportunities in the Saudi energy sector?</w:t>
      </w:r>
      <w:r w:rsidRPr="00A70905">
        <w:rPr>
          <w:rFonts w:asciiTheme="majorBidi" w:hAnsiTheme="majorBidi" w:cstheme="majorBidi"/>
          <w:sz w:val="24"/>
          <w:szCs w:val="24"/>
        </w:rPr>
        <w:t xml:space="preserve"> This question explores the impact of PIF’s involvement on private sector opportunities. For example, when PIF invests heavily in a certain segment (like solar energy or electrical infrastructure) or forms a joint venture with an international company, how does that shape the market for other companies? Does PIF’s activity create new partnerships or value-chain opportunities that firms can tap into, and does it set certain standards or expectations (like requiring technology transfer or local manufacturing) that companies must consider?</w:t>
      </w:r>
    </w:p>
    <w:p w14:paraId="489DD157" w14:textId="4B39338E"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What are the major regulatory challenges and opportunities that expanding firms encounter in the Saudi energy industry?</w:t>
      </w:r>
      <w:r w:rsidRPr="00A70905">
        <w:rPr>
          <w:rFonts w:asciiTheme="majorBidi" w:hAnsiTheme="majorBidi" w:cstheme="majorBidi"/>
          <w:sz w:val="24"/>
          <w:szCs w:val="24"/>
        </w:rPr>
        <w:t xml:space="preserve"> Here, the question aims to uncover specific regulatory factors that affect businesses. Challenges might include navigating the licensing process through MISA (Ministry of Investment), meeting the Saudization (local hiring) requirements, obtaining certifications from </w:t>
      </w:r>
      <w:proofErr w:type="spellStart"/>
      <w:r w:rsidRPr="00A70905">
        <w:rPr>
          <w:rFonts w:asciiTheme="majorBidi" w:hAnsiTheme="majorBidi" w:cstheme="majorBidi"/>
          <w:sz w:val="24"/>
          <w:szCs w:val="24"/>
        </w:rPr>
        <w:lastRenderedPageBreak/>
        <w:t>odies</w:t>
      </w:r>
      <w:proofErr w:type="spellEnd"/>
      <w:r w:rsidRPr="00A70905">
        <w:rPr>
          <w:rFonts w:asciiTheme="majorBidi" w:hAnsiTheme="majorBidi" w:cstheme="majorBidi"/>
          <w:sz w:val="24"/>
          <w:szCs w:val="24"/>
        </w:rPr>
        <w:t xml:space="preserve"> like SASO (Saudi Standards, Metrology and Quality Org.), or dealing with contract bidding rules for government projects. Opportunities could involve government incentives such as tax breaks for manufacturing in industrial zones, streamlined permit processes for renewable energy projects, or government-backed financing for local joint ventures. Essentially, this asks what in the regulatory environment hinders or helps company expansion.</w:t>
      </w:r>
    </w:p>
    <w:p w14:paraId="6974C128" w14:textId="05B1DBF3"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Which factors contribute most to the successful expansion and long-term sustainability of businesses in the Saudi energy sector?</w:t>
      </w:r>
      <w:r w:rsidRPr="00A70905">
        <w:rPr>
          <w:rFonts w:asciiTheme="majorBidi" w:hAnsiTheme="majorBidi" w:cstheme="majorBidi"/>
          <w:sz w:val="24"/>
          <w:szCs w:val="24"/>
        </w:rPr>
        <w:t xml:space="preserve"> This question is looking for </w:t>
      </w:r>
      <w:r w:rsidRPr="00A70905">
        <w:rPr>
          <w:rFonts w:asciiTheme="majorBidi" w:hAnsiTheme="majorBidi" w:cstheme="majorBidi"/>
          <w:b/>
          <w:bCs/>
          <w:sz w:val="24"/>
          <w:szCs w:val="24"/>
        </w:rPr>
        <w:t>key success factors</w:t>
      </w:r>
      <w:r w:rsidRPr="00A70905">
        <w:rPr>
          <w:rFonts w:asciiTheme="majorBidi" w:hAnsiTheme="majorBidi" w:cstheme="majorBidi"/>
          <w:sz w:val="24"/>
          <w:szCs w:val="24"/>
        </w:rPr>
        <w:t>. These could be internal to the firm (e.g., having strong financial resources, possessing cutting-edge technology, a proven track record globally, or a highly adaptable management culture) or external (e.g., high demand in the market, supportive government policies, or a strong local partner network). The aim is to distill from cases and data what distinguishes companies that have thrived from those that have struggled. For instance, is local talent development a differentiator? Is it critical to have a manufacturing base in the Kingdom? Does the ability to navigate government relations better separate the winners from losers?</w:t>
      </w:r>
    </w:p>
    <w:p w14:paraId="3F231178" w14:textId="134FA5DD"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In what ways do strategic partnerships enhance business scalability and performance in the Saudi energy sector?</w:t>
      </w:r>
      <w:r w:rsidRPr="00A70905">
        <w:rPr>
          <w:rFonts w:asciiTheme="majorBidi" w:hAnsiTheme="majorBidi" w:cstheme="majorBidi"/>
          <w:sz w:val="24"/>
          <w:szCs w:val="24"/>
        </w:rPr>
        <w:t xml:space="preserve"> This question examines partnerships in detail. It asks how partnerships (with local firms, international companies, or government entities) help businesses grow and perform better. Do partnerships provide advantages like improved market access (through partners’ relationships and reputation), risk sharing in large projects, access to government contracts that would be hard to get alone, or quicker learning about the local market? For example, if a foreign company partners with a well-connected Saudi firm, does it significantly improve its chances of winning major contracts or operating smoothly? The question also implicitly asks for evidence or examples of how partnership-driven companies fare versus those that go solo.</w:t>
      </w:r>
    </w:p>
    <w:p w14:paraId="3F61FEB0" w14:textId="599E9F77"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What role does Saudi Vision 2030 play in shaping corporate strategies around localization and innovation in the energy sector?</w:t>
      </w:r>
      <w:r w:rsidRPr="00A70905">
        <w:rPr>
          <w:rFonts w:asciiTheme="majorBidi" w:hAnsiTheme="majorBidi" w:cstheme="majorBidi"/>
          <w:sz w:val="24"/>
          <w:szCs w:val="24"/>
        </w:rPr>
        <w:t xml:space="preserve"> Given Vision 2030’s </w:t>
      </w:r>
      <w:r w:rsidRPr="00A70905">
        <w:rPr>
          <w:rFonts w:asciiTheme="majorBidi" w:hAnsiTheme="majorBidi" w:cstheme="majorBidi"/>
          <w:sz w:val="24"/>
          <w:szCs w:val="24"/>
        </w:rPr>
        <w:lastRenderedPageBreak/>
        <w:t>emphasis on a thriving private sector, local industry development, and innovation, this question explores how that overarching vision is influencing companies. Are firms aligning their strategies explicitly with Vision 2030 for instance, by localizing supply chains, investing in training Saudi employees, entering into sectors (like renewables or smart grid tech) highlighted by the vision, or participating in Vision 2030 programs? Essentially, how do national goals and narratives trickle down into company strategy? An example could be companies launching CSR or training programs that coincide with Vision 2030’s social goals to win public goodwill and government support.</w:t>
      </w:r>
    </w:p>
    <w:p w14:paraId="2D747477" w14:textId="21B77931"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How can companies utilize SWOT analysis to make informed strategic decisions about entering and expanding in the Saudi energy market?</w:t>
      </w:r>
      <w:r w:rsidRPr="00A70905">
        <w:rPr>
          <w:rFonts w:asciiTheme="majorBidi" w:hAnsiTheme="majorBidi" w:cstheme="majorBidi"/>
          <w:sz w:val="24"/>
          <w:szCs w:val="24"/>
        </w:rPr>
        <w:t xml:space="preserve"> This question is a bit methodological. It suggests looking at how companies (or this study) can apply SWOT analysis to the situation in Saudi Arabia to guide their decisions. It implies examining a typical SWOT: for instance, a company’s Strengths (maybe strong technical know-how, or existing relationships) and Weaknesses (like lack of local presence, higher costs), then external Opportunities (like the growth in renewables, government incentives) and Threats (like competition, regulatory changes). The question essentially asks how such an analysis can inform strategy e.g., by leveraging strengths to seize opportunities (a company with great solar technology seizing the opportunity of Saudi’s solar program) and by mitigating weaknesses and threats (partnering locally to overcome a lack of local presence, for instance).</w:t>
      </w:r>
    </w:p>
    <w:p w14:paraId="67A4BA7E" w14:textId="16B0FE2E"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What are the primary risks associated with market expansion in the Saudi energy sector, and how can companies mitigate these risks?</w:t>
      </w:r>
      <w:r w:rsidRPr="00A70905">
        <w:rPr>
          <w:rFonts w:asciiTheme="majorBidi" w:hAnsiTheme="majorBidi" w:cstheme="majorBidi"/>
          <w:sz w:val="24"/>
          <w:szCs w:val="24"/>
        </w:rPr>
        <w:t xml:space="preserve"> This question directly addresses risk assessment and management. The “primary risks” could include political/regulatory risk (policy changes, regional geopolitical tension), market risk (volatility in oil prices affecting government spending on projects), partnership risk (the risk of joint ventures failing or partners not delivering), and operational risk (e.g., delays in project execution or supply chain issues). Once identified, the question asks how companies can mitigate these risks. Mitigation </w:t>
      </w:r>
      <w:r w:rsidRPr="00A70905">
        <w:rPr>
          <w:rFonts w:asciiTheme="majorBidi" w:hAnsiTheme="majorBidi" w:cstheme="majorBidi"/>
          <w:sz w:val="24"/>
          <w:szCs w:val="24"/>
        </w:rPr>
        <w:lastRenderedPageBreak/>
        <w:t>strategies might be diversifying their portfolio of projects, obtaining political risk insurance, including robust terms in JV agreements to handle disputes, investing in local talent to reduce reliance on expensive expatriates, etc.</w:t>
      </w:r>
    </w:p>
    <w:p w14:paraId="359355A1" w14:textId="5C479AAE" w:rsidR="00A70905" w:rsidRPr="00A70905" w:rsidRDefault="00A70905" w:rsidP="00EB2BA1">
      <w:pPr>
        <w:numPr>
          <w:ilvl w:val="0"/>
          <w:numId w:val="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What financial incentives and support mechanisms exist for new market entrants in the Saudi energy sector, and how can firms leverage them?</w:t>
      </w:r>
      <w:r w:rsidRPr="00A70905">
        <w:rPr>
          <w:rFonts w:asciiTheme="majorBidi" w:hAnsiTheme="majorBidi" w:cstheme="majorBidi"/>
          <w:sz w:val="24"/>
          <w:szCs w:val="24"/>
        </w:rPr>
        <w:t xml:space="preserve"> This question looks at the financial dimension of expansion. It asks about incentives like: subsidized loans or credit facilities (for example, the Saudi Industrial Development Fund loans for setting up factories), export credit agencies (like Saudi EXIM Bank agreements, e.g., GE’s $1B export credit line), grants or subsidies for renewable energy projects, tax exemptions in economic zones (such as those possibly available in SPARK or other industrial parks), or co-investment opportunities with PIF or other local investors. Then it asks how firms can make use of these implying that part of a smart entry strategy is to capitalize on available financial support to reduce entry costs and risks.</w:t>
      </w:r>
    </w:p>
    <w:p w14:paraId="375AA872" w14:textId="00A7A5B1" w:rsidR="00A70905" w:rsidRDefault="00A70905" w:rsidP="005B051A">
      <w:pPr>
        <w:spacing w:line="360" w:lineRule="auto"/>
        <w:rPr>
          <w:rFonts w:asciiTheme="majorBidi" w:hAnsiTheme="majorBidi" w:cstheme="majorBidi"/>
          <w:sz w:val="24"/>
          <w:szCs w:val="24"/>
        </w:rPr>
      </w:pPr>
    </w:p>
    <w:p w14:paraId="4C3189F6" w14:textId="77777777" w:rsidR="005C4FA5" w:rsidRDefault="005C4FA5" w:rsidP="005B051A">
      <w:pPr>
        <w:spacing w:line="360" w:lineRule="auto"/>
        <w:rPr>
          <w:rFonts w:asciiTheme="majorBidi" w:hAnsiTheme="majorBidi" w:cstheme="majorBidi"/>
          <w:sz w:val="24"/>
          <w:szCs w:val="24"/>
        </w:rPr>
      </w:pPr>
    </w:p>
    <w:p w14:paraId="78DF145B" w14:textId="77777777" w:rsidR="005C4FA5" w:rsidRDefault="005C4FA5" w:rsidP="005B051A">
      <w:pPr>
        <w:spacing w:line="360" w:lineRule="auto"/>
        <w:rPr>
          <w:rFonts w:asciiTheme="majorBidi" w:hAnsiTheme="majorBidi" w:cstheme="majorBidi"/>
          <w:sz w:val="24"/>
          <w:szCs w:val="24"/>
        </w:rPr>
      </w:pPr>
    </w:p>
    <w:p w14:paraId="6A00E831" w14:textId="77777777" w:rsidR="005C4FA5" w:rsidRDefault="005C4FA5" w:rsidP="005B051A">
      <w:pPr>
        <w:spacing w:line="360" w:lineRule="auto"/>
        <w:rPr>
          <w:rFonts w:asciiTheme="majorBidi" w:hAnsiTheme="majorBidi" w:cstheme="majorBidi"/>
          <w:sz w:val="24"/>
          <w:szCs w:val="24"/>
        </w:rPr>
      </w:pPr>
    </w:p>
    <w:p w14:paraId="72994DE3" w14:textId="77777777" w:rsidR="005C4FA5" w:rsidRDefault="005C4FA5" w:rsidP="005B051A">
      <w:pPr>
        <w:spacing w:line="360" w:lineRule="auto"/>
        <w:rPr>
          <w:rFonts w:asciiTheme="majorBidi" w:hAnsiTheme="majorBidi" w:cstheme="majorBidi"/>
          <w:sz w:val="24"/>
          <w:szCs w:val="24"/>
        </w:rPr>
      </w:pPr>
    </w:p>
    <w:p w14:paraId="11DB315B" w14:textId="77777777" w:rsidR="005C4FA5" w:rsidRDefault="005C4FA5" w:rsidP="005B051A">
      <w:pPr>
        <w:spacing w:line="360" w:lineRule="auto"/>
        <w:rPr>
          <w:rFonts w:asciiTheme="majorBidi" w:hAnsiTheme="majorBidi" w:cstheme="majorBidi"/>
          <w:sz w:val="24"/>
          <w:szCs w:val="24"/>
        </w:rPr>
      </w:pPr>
    </w:p>
    <w:p w14:paraId="4497869D" w14:textId="77777777" w:rsidR="005C4FA5" w:rsidRDefault="005C4FA5" w:rsidP="005B051A">
      <w:pPr>
        <w:spacing w:line="360" w:lineRule="auto"/>
        <w:rPr>
          <w:rFonts w:asciiTheme="majorBidi" w:hAnsiTheme="majorBidi" w:cstheme="majorBidi"/>
          <w:sz w:val="24"/>
          <w:szCs w:val="24"/>
        </w:rPr>
      </w:pPr>
    </w:p>
    <w:p w14:paraId="2EB3A192" w14:textId="77777777" w:rsidR="00960AEC" w:rsidRDefault="00960AEC" w:rsidP="005B051A">
      <w:pPr>
        <w:spacing w:line="360" w:lineRule="auto"/>
        <w:rPr>
          <w:rFonts w:asciiTheme="majorBidi" w:hAnsiTheme="majorBidi" w:cstheme="majorBidi"/>
          <w:sz w:val="24"/>
          <w:szCs w:val="24"/>
        </w:rPr>
      </w:pPr>
    </w:p>
    <w:p w14:paraId="0434FC99" w14:textId="77777777" w:rsidR="00960AEC" w:rsidRPr="00A70905" w:rsidRDefault="00960AEC" w:rsidP="005B051A">
      <w:pPr>
        <w:spacing w:line="360" w:lineRule="auto"/>
        <w:rPr>
          <w:rFonts w:asciiTheme="majorBidi" w:hAnsiTheme="majorBidi" w:cstheme="majorBidi"/>
          <w:sz w:val="24"/>
          <w:szCs w:val="24"/>
        </w:rPr>
      </w:pPr>
    </w:p>
    <w:p w14:paraId="0BE1E045" w14:textId="77777777" w:rsidR="00C30E01" w:rsidRDefault="00C30E01" w:rsidP="005B051A">
      <w:pPr>
        <w:spacing w:line="360" w:lineRule="auto"/>
        <w:rPr>
          <w:rFonts w:asciiTheme="majorBidi" w:hAnsiTheme="majorBidi" w:cstheme="majorBidi"/>
          <w:b/>
          <w:bCs/>
          <w:sz w:val="24"/>
          <w:szCs w:val="24"/>
        </w:rPr>
      </w:pPr>
    </w:p>
    <w:p w14:paraId="13E3519D" w14:textId="77777777" w:rsidR="00C30E01" w:rsidRDefault="00C30E01" w:rsidP="005B051A">
      <w:pPr>
        <w:spacing w:line="360" w:lineRule="auto"/>
        <w:rPr>
          <w:rFonts w:asciiTheme="majorBidi" w:hAnsiTheme="majorBidi" w:cstheme="majorBidi"/>
          <w:b/>
          <w:bCs/>
          <w:sz w:val="24"/>
          <w:szCs w:val="24"/>
        </w:rPr>
      </w:pPr>
    </w:p>
    <w:p w14:paraId="3635E962" w14:textId="77777777" w:rsidR="00C30E01" w:rsidRDefault="00C30E01" w:rsidP="005B051A">
      <w:pPr>
        <w:spacing w:line="360" w:lineRule="auto"/>
        <w:rPr>
          <w:rFonts w:asciiTheme="majorBidi" w:hAnsiTheme="majorBidi" w:cstheme="majorBidi"/>
          <w:b/>
          <w:bCs/>
          <w:sz w:val="24"/>
          <w:szCs w:val="24"/>
        </w:rPr>
      </w:pPr>
    </w:p>
    <w:p w14:paraId="2BFCED5D" w14:textId="12BEA112"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Chapter 2: Literature Review</w:t>
      </w:r>
    </w:p>
    <w:p w14:paraId="212ADB5C"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literature review provides an overview of existing knowledge, theories, and research studies related to business development and growth strategies in the context of energy sectors and emerging markets, with a particular focus on Saudi Arabia where possible. It covers the conceptual frameworks and models that underpin this study (such as market entry strategy theories, partnership and alliance frameworks, and innovation models), as well as empirical findings from previous studies that are relevant. For clarity, the review is organized into sub-sections that correspond to the key themes of this research:</w:t>
      </w:r>
    </w:p>
    <w:p w14:paraId="042E1258" w14:textId="78BA8B54"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2.1 Business Development and Market Expansion Strategies</w:t>
      </w:r>
      <w:r w:rsidRPr="00A70905">
        <w:rPr>
          <w:rFonts w:asciiTheme="majorBidi" w:hAnsiTheme="majorBidi" w:cstheme="majorBidi"/>
          <w:sz w:val="24"/>
          <w:szCs w:val="24"/>
        </w:rPr>
        <w:t xml:space="preserve"> covering general theories on how firms expand into new markets and the strategic choices they face.</w:t>
      </w:r>
    </w:p>
    <w:p w14:paraId="76827D1A" w14:textId="2780095B"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2.2 Saudi Arabia’s Energy Market Trends and Regulatory Landscape</w:t>
      </w:r>
      <w:r w:rsidRPr="00A70905">
        <w:rPr>
          <w:rFonts w:asciiTheme="majorBidi" w:hAnsiTheme="majorBidi" w:cstheme="majorBidi"/>
          <w:sz w:val="24"/>
          <w:szCs w:val="24"/>
        </w:rPr>
        <w:t xml:space="preserve"> summarizing the specific context of the Saudi energy sector, including recent market trends and important regulations affecting business.</w:t>
      </w:r>
    </w:p>
    <w:p w14:paraId="07064510" w14:textId="75F3BB00"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2.3 Role of the Public Investment Fund (PIF) in Energy Sector Growth</w:t>
      </w:r>
      <w:r w:rsidRPr="00A70905">
        <w:rPr>
          <w:rFonts w:asciiTheme="majorBidi" w:hAnsiTheme="majorBidi" w:cstheme="majorBidi"/>
          <w:sz w:val="24"/>
          <w:szCs w:val="24"/>
        </w:rPr>
        <w:t xml:space="preserve"> reviewing literature or reports on how PIF and similar institutions influence market opportunities and industrial development.</w:t>
      </w:r>
    </w:p>
    <w:p w14:paraId="1694189C" w14:textId="2259F220"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2.4 Case Studies of Successful Market Entry</w:t>
      </w:r>
      <w:r w:rsidRPr="00A70905">
        <w:rPr>
          <w:rFonts w:asciiTheme="majorBidi" w:hAnsiTheme="majorBidi" w:cstheme="majorBidi"/>
          <w:sz w:val="24"/>
          <w:szCs w:val="24"/>
        </w:rPr>
        <w:t xml:space="preserve"> highlighting documented examples or studies of companies that entered similar markets (or Saudi Arabia’s market) successfully and what can be learned from them.</w:t>
      </w:r>
    </w:p>
    <w:p w14:paraId="4A80C913" w14:textId="6FAA8AAB"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2.5 Strategic Partnerships and Business Scaling</w:t>
      </w:r>
      <w:r w:rsidRPr="00A70905">
        <w:rPr>
          <w:rFonts w:asciiTheme="majorBidi" w:hAnsiTheme="majorBidi" w:cstheme="majorBidi"/>
          <w:sz w:val="24"/>
          <w:szCs w:val="24"/>
        </w:rPr>
        <w:t xml:space="preserve"> examining theories and studies on how partnerships, joint ventures, and alliances contribute to business growth.</w:t>
      </w:r>
    </w:p>
    <w:p w14:paraId="49AEC4C7" w14:textId="7C96A22D"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2.6 Innovation and Open Innovation in the Energy Sector</w:t>
      </w:r>
      <w:r w:rsidRPr="00A70905">
        <w:rPr>
          <w:rFonts w:asciiTheme="majorBidi" w:hAnsiTheme="majorBidi" w:cstheme="majorBidi"/>
          <w:sz w:val="24"/>
          <w:szCs w:val="24"/>
        </w:rPr>
        <w:t xml:space="preserve"> discussing the importance of innovation in energy and how open innovation models are being applied.</w:t>
      </w:r>
    </w:p>
    <w:p w14:paraId="50BFEF31" w14:textId="39D89375"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2.7 Analytical Frameworks: SWOT, PESTLE, and Porter’s Five Forces</w:t>
      </w:r>
      <w:r w:rsidRPr="00A70905">
        <w:rPr>
          <w:rFonts w:asciiTheme="majorBidi" w:hAnsiTheme="majorBidi" w:cstheme="majorBidi"/>
          <w:sz w:val="24"/>
          <w:szCs w:val="24"/>
        </w:rPr>
        <w:t xml:space="preserve"> presenting the frameworks to be used in analysis and any literature on their application in this context.</w:t>
      </w:r>
    </w:p>
    <w:p w14:paraId="6E481007" w14:textId="449DB3C3" w:rsidR="00A70905" w:rsidRPr="00A70905" w:rsidRDefault="00A70905" w:rsidP="00EB2BA1">
      <w:pPr>
        <w:numPr>
          <w:ilvl w:val="0"/>
          <w:numId w:val="6"/>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2.8 Review of Previous Studies and Research Gap</w:t>
      </w:r>
      <w:r w:rsidRPr="00A70905">
        <w:rPr>
          <w:rFonts w:asciiTheme="majorBidi" w:hAnsiTheme="majorBidi" w:cstheme="majorBidi"/>
          <w:sz w:val="24"/>
          <w:szCs w:val="24"/>
        </w:rPr>
        <w:t xml:space="preserve"> summarizing specific prior studies related to our topic and identifying the gaps that justify the current research.</w:t>
      </w:r>
    </w:p>
    <w:p w14:paraId="30FC8514" w14:textId="77777777" w:rsidR="00960AEC" w:rsidRDefault="00960AEC" w:rsidP="005B051A">
      <w:pPr>
        <w:spacing w:line="360" w:lineRule="auto"/>
        <w:rPr>
          <w:rFonts w:asciiTheme="majorBidi" w:hAnsiTheme="majorBidi" w:cstheme="majorBidi"/>
          <w:b/>
          <w:bCs/>
          <w:sz w:val="24"/>
          <w:szCs w:val="24"/>
        </w:rPr>
      </w:pPr>
    </w:p>
    <w:p w14:paraId="6858ECAB" w14:textId="77777777" w:rsidR="00960AEC" w:rsidRDefault="00960AEC" w:rsidP="005B051A">
      <w:pPr>
        <w:spacing w:line="360" w:lineRule="auto"/>
        <w:rPr>
          <w:rFonts w:asciiTheme="majorBidi" w:hAnsiTheme="majorBidi" w:cstheme="majorBidi"/>
          <w:b/>
          <w:bCs/>
          <w:sz w:val="24"/>
          <w:szCs w:val="24"/>
        </w:rPr>
      </w:pPr>
    </w:p>
    <w:p w14:paraId="5B9E3172" w14:textId="77777777" w:rsidR="00960AEC" w:rsidRDefault="00960AEC" w:rsidP="005B051A">
      <w:pPr>
        <w:spacing w:line="360" w:lineRule="auto"/>
        <w:rPr>
          <w:rFonts w:asciiTheme="majorBidi" w:hAnsiTheme="majorBidi" w:cstheme="majorBidi"/>
          <w:b/>
          <w:bCs/>
          <w:sz w:val="24"/>
          <w:szCs w:val="24"/>
        </w:rPr>
      </w:pPr>
    </w:p>
    <w:p w14:paraId="2ECC1B8C" w14:textId="77777777" w:rsidR="00960AEC" w:rsidRDefault="00960AEC" w:rsidP="005B051A">
      <w:pPr>
        <w:spacing w:line="360" w:lineRule="auto"/>
        <w:rPr>
          <w:rFonts w:asciiTheme="majorBidi" w:hAnsiTheme="majorBidi" w:cstheme="majorBidi"/>
          <w:b/>
          <w:bCs/>
          <w:sz w:val="24"/>
          <w:szCs w:val="24"/>
        </w:rPr>
      </w:pPr>
    </w:p>
    <w:p w14:paraId="0A851078" w14:textId="77777777" w:rsidR="00960AEC" w:rsidRDefault="00960AEC" w:rsidP="005B051A">
      <w:pPr>
        <w:spacing w:line="360" w:lineRule="auto"/>
        <w:rPr>
          <w:rFonts w:asciiTheme="majorBidi" w:hAnsiTheme="majorBidi" w:cstheme="majorBidi"/>
          <w:b/>
          <w:bCs/>
          <w:sz w:val="24"/>
          <w:szCs w:val="24"/>
        </w:rPr>
      </w:pPr>
    </w:p>
    <w:p w14:paraId="716A735D" w14:textId="77777777" w:rsidR="00960AEC" w:rsidRDefault="00960AEC" w:rsidP="005B051A">
      <w:pPr>
        <w:spacing w:line="360" w:lineRule="auto"/>
        <w:rPr>
          <w:rFonts w:asciiTheme="majorBidi" w:hAnsiTheme="majorBidi" w:cstheme="majorBidi"/>
          <w:b/>
          <w:bCs/>
          <w:sz w:val="24"/>
          <w:szCs w:val="24"/>
        </w:rPr>
      </w:pPr>
    </w:p>
    <w:p w14:paraId="646F53F7" w14:textId="77777777" w:rsidR="00960AEC" w:rsidRDefault="00960AEC" w:rsidP="005B051A">
      <w:pPr>
        <w:spacing w:line="360" w:lineRule="auto"/>
        <w:rPr>
          <w:rFonts w:asciiTheme="majorBidi" w:hAnsiTheme="majorBidi" w:cstheme="majorBidi"/>
          <w:b/>
          <w:bCs/>
          <w:sz w:val="24"/>
          <w:szCs w:val="24"/>
        </w:rPr>
      </w:pPr>
    </w:p>
    <w:p w14:paraId="5E49A95A" w14:textId="77777777" w:rsidR="00960AEC" w:rsidRDefault="00960AEC" w:rsidP="005B051A">
      <w:pPr>
        <w:spacing w:line="360" w:lineRule="auto"/>
        <w:rPr>
          <w:rFonts w:asciiTheme="majorBidi" w:hAnsiTheme="majorBidi" w:cstheme="majorBidi"/>
          <w:b/>
          <w:bCs/>
          <w:sz w:val="24"/>
          <w:szCs w:val="24"/>
        </w:rPr>
      </w:pPr>
    </w:p>
    <w:p w14:paraId="6089807A" w14:textId="77777777" w:rsidR="00960AEC" w:rsidRDefault="00960AEC" w:rsidP="005B051A">
      <w:pPr>
        <w:spacing w:line="360" w:lineRule="auto"/>
        <w:rPr>
          <w:rFonts w:asciiTheme="majorBidi" w:hAnsiTheme="majorBidi" w:cstheme="majorBidi"/>
          <w:b/>
          <w:bCs/>
          <w:sz w:val="24"/>
          <w:szCs w:val="24"/>
        </w:rPr>
      </w:pPr>
    </w:p>
    <w:p w14:paraId="6875BBEE" w14:textId="77777777" w:rsidR="00960AEC" w:rsidRDefault="00960AEC" w:rsidP="005B051A">
      <w:pPr>
        <w:spacing w:line="360" w:lineRule="auto"/>
        <w:rPr>
          <w:rFonts w:asciiTheme="majorBidi" w:hAnsiTheme="majorBidi" w:cstheme="majorBidi"/>
          <w:b/>
          <w:bCs/>
          <w:sz w:val="24"/>
          <w:szCs w:val="24"/>
        </w:rPr>
      </w:pPr>
    </w:p>
    <w:p w14:paraId="2558F0EE" w14:textId="77777777" w:rsidR="00960AEC" w:rsidRDefault="00960AEC" w:rsidP="005B051A">
      <w:pPr>
        <w:spacing w:line="360" w:lineRule="auto"/>
        <w:rPr>
          <w:rFonts w:asciiTheme="majorBidi" w:hAnsiTheme="majorBidi" w:cstheme="majorBidi"/>
          <w:b/>
          <w:bCs/>
          <w:sz w:val="24"/>
          <w:szCs w:val="24"/>
        </w:rPr>
      </w:pPr>
    </w:p>
    <w:p w14:paraId="37248FE2" w14:textId="77777777" w:rsidR="00960AEC" w:rsidRDefault="00960AEC" w:rsidP="005B051A">
      <w:pPr>
        <w:spacing w:line="360" w:lineRule="auto"/>
        <w:rPr>
          <w:rFonts w:asciiTheme="majorBidi" w:hAnsiTheme="majorBidi" w:cstheme="majorBidi"/>
          <w:b/>
          <w:bCs/>
          <w:sz w:val="24"/>
          <w:szCs w:val="24"/>
        </w:rPr>
      </w:pPr>
    </w:p>
    <w:p w14:paraId="64EE0D78" w14:textId="77777777" w:rsidR="00960AEC" w:rsidRDefault="00960AEC" w:rsidP="005B051A">
      <w:pPr>
        <w:spacing w:line="360" w:lineRule="auto"/>
        <w:rPr>
          <w:rFonts w:asciiTheme="majorBidi" w:hAnsiTheme="majorBidi" w:cstheme="majorBidi"/>
          <w:b/>
          <w:bCs/>
          <w:sz w:val="24"/>
          <w:szCs w:val="24"/>
        </w:rPr>
      </w:pPr>
    </w:p>
    <w:p w14:paraId="3F74F030" w14:textId="77777777" w:rsidR="00960AEC" w:rsidRDefault="00960AEC" w:rsidP="005B051A">
      <w:pPr>
        <w:spacing w:line="360" w:lineRule="auto"/>
        <w:rPr>
          <w:rFonts w:asciiTheme="majorBidi" w:hAnsiTheme="majorBidi" w:cstheme="majorBidi"/>
          <w:b/>
          <w:bCs/>
          <w:sz w:val="24"/>
          <w:szCs w:val="24"/>
        </w:rPr>
      </w:pPr>
    </w:p>
    <w:p w14:paraId="22D6C668" w14:textId="77777777" w:rsidR="00960AEC" w:rsidRDefault="00960AEC" w:rsidP="005B051A">
      <w:pPr>
        <w:spacing w:line="360" w:lineRule="auto"/>
        <w:rPr>
          <w:rFonts w:asciiTheme="majorBidi" w:hAnsiTheme="majorBidi" w:cstheme="majorBidi"/>
          <w:b/>
          <w:bCs/>
          <w:sz w:val="24"/>
          <w:szCs w:val="24"/>
        </w:rPr>
      </w:pPr>
    </w:p>
    <w:p w14:paraId="4F7528F2" w14:textId="77777777" w:rsidR="00960AEC" w:rsidRDefault="00960AEC" w:rsidP="005B051A">
      <w:pPr>
        <w:spacing w:line="360" w:lineRule="auto"/>
        <w:rPr>
          <w:rFonts w:asciiTheme="majorBidi" w:hAnsiTheme="majorBidi" w:cstheme="majorBidi"/>
          <w:b/>
          <w:bCs/>
          <w:sz w:val="24"/>
          <w:szCs w:val="24"/>
        </w:rPr>
      </w:pPr>
    </w:p>
    <w:p w14:paraId="7FE20E23" w14:textId="77777777" w:rsidR="00960AEC" w:rsidRDefault="00960AEC" w:rsidP="005B051A">
      <w:pPr>
        <w:spacing w:line="360" w:lineRule="auto"/>
        <w:rPr>
          <w:rFonts w:asciiTheme="majorBidi" w:hAnsiTheme="majorBidi" w:cstheme="majorBidi"/>
          <w:b/>
          <w:bCs/>
          <w:sz w:val="24"/>
          <w:szCs w:val="24"/>
        </w:rPr>
      </w:pPr>
    </w:p>
    <w:p w14:paraId="61AFD188" w14:textId="77777777" w:rsidR="00960AEC" w:rsidRDefault="00960AEC" w:rsidP="005B051A">
      <w:pPr>
        <w:spacing w:line="360" w:lineRule="auto"/>
        <w:rPr>
          <w:rFonts w:asciiTheme="majorBidi" w:hAnsiTheme="majorBidi" w:cstheme="majorBidi"/>
          <w:b/>
          <w:bCs/>
          <w:sz w:val="24"/>
          <w:szCs w:val="24"/>
        </w:rPr>
      </w:pPr>
    </w:p>
    <w:p w14:paraId="575946FE" w14:textId="77777777" w:rsidR="00960AEC" w:rsidRDefault="00960AEC" w:rsidP="005B051A">
      <w:pPr>
        <w:spacing w:line="360" w:lineRule="auto"/>
        <w:rPr>
          <w:rFonts w:asciiTheme="majorBidi" w:hAnsiTheme="majorBidi" w:cstheme="majorBidi"/>
          <w:b/>
          <w:bCs/>
          <w:sz w:val="24"/>
          <w:szCs w:val="24"/>
        </w:rPr>
      </w:pPr>
    </w:p>
    <w:p w14:paraId="45A46497" w14:textId="77777777" w:rsidR="00960AEC" w:rsidRDefault="00960AEC" w:rsidP="005B051A">
      <w:pPr>
        <w:spacing w:line="360" w:lineRule="auto"/>
        <w:rPr>
          <w:rFonts w:asciiTheme="majorBidi" w:hAnsiTheme="majorBidi" w:cstheme="majorBidi"/>
          <w:b/>
          <w:bCs/>
          <w:sz w:val="24"/>
          <w:szCs w:val="24"/>
        </w:rPr>
      </w:pPr>
    </w:p>
    <w:p w14:paraId="3BF8252C" w14:textId="7D9E9422"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2.1 Business Development and Market Expansion Strategies</w:t>
      </w:r>
    </w:p>
    <w:p w14:paraId="39B6D15E" w14:textId="71062BE2"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Business development in the context of entering new markets involves a combination of strategic planning, market research, relationship building, and often the adaptation of business models to fit local contexts. Classical literature on international market expansion (e.g., Root, 1994; Kotler &amp; Keller, 2012) outlines a spectrum of market entry modes available to companies, including exporting, licensing, franchising, joint ventures, and wholly-owned subsidiaries (either through acquisition or greenfield investment). Each entry mode carries different levels of risk, control, resource commitment, and expected return. A foundational idea is that there is no one-size-fits-all solution companies must choose an entry strategy that aligns with their own capabilities and the target market conditions (Root, 1994). For instance, exporting is low-risk and low-control, suitable for initial exploration, whereas a wholly-owned subsidiary gives maximum control but requires heavy commitment and exposure to risk.</w:t>
      </w:r>
    </w:p>
    <w:p w14:paraId="358AC875"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emerging markets like Saudi Arabia, scholars have noted that partnerships and joint ventures are frequently favored entry strategies due to the benefits of local knowledge and shared risk. Pan &amp; Tse (2000) suggest in their work on entry modes that in environments with high uncertainty or regulatory complexity, companies tend to prefer joint ventures or alliances because local partners can navigate institutional voids and reduce the foreign firm’s exposure to unfamiliar conditions. Similarly, Elg et al. (2017) observed that foreign companies entering Gulf countries often rely on local agents or partners initially, transitioning to deeper involvement only after they gain confidence in the market. This resonates with practical advice from trade organizations: for example, the U.S. International Trade Administration (ITA) explicitly recommends that new entrants to the Saudi market consider partnering with established local companies to effectively navigate business procedures and regulations. The rationale is that local partners can assist with understanding the tendering processes, compliance with local norms, and connection to key stakeholders in government and industry.</w:t>
      </w:r>
    </w:p>
    <w:p w14:paraId="28390B05" w14:textId="4338AD24"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Recent literature also emphasizes the importance of local context adaptation in business development strategies. Ghemawat’s framework of “AAA” strategies Adaptation, Aggregation, Arbitrage suggests that for markets like Saudi Arabia, Adaptation to local </w:t>
      </w:r>
      <w:r w:rsidRPr="00A70905">
        <w:rPr>
          <w:rFonts w:asciiTheme="majorBidi" w:hAnsiTheme="majorBidi" w:cstheme="majorBidi"/>
          <w:sz w:val="24"/>
          <w:szCs w:val="24"/>
        </w:rPr>
        <w:lastRenderedPageBreak/>
        <w:t>needs and conditions is crucial (Ghemawat, 2007). Adaptation might involve customizing products to meet local preferences or standards, adjusting pricing to local purchasing power, or modifying marketing approaches to align with cultural expectations. Another relevant concept is that of institutional voids (Khanna &amp; Palepu, 2010), which refers to gaps in the market infrastructure (such as the lack of intermediaries, market data, or effective legal enforcement) that are common in emerging economies. Companies entering such markets often need to build extra capabilities to fill these voids for instance, establishing in-house training programs if the local labor market doesn’t supply needed skills, or creating new distribution channels if none exist. In Saudi Arabia’s energy sector, one institutional characteristic is the dominant role of state-owned enterprises and government procurement. This means that relationship-building and understanding public-sector decision-making can be as important as traditional competitive tactics. Companies must often engage with large entities like Saudi Aramco or the Saudi Electricity Company not just as customers but as quasi-partners whose strategic priorities (like localization) influence business opportunities.</w:t>
      </w:r>
    </w:p>
    <w:p w14:paraId="2F68827A" w14:textId="7057204E"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Studies on market expansion in the energy industry indicate that regulatory factors weigh heavily on strategy. A comparative study by Tan et al. (2016) on renewable energy firms expanding in the Middle East found that government policies (such as feed-in tariffs, local ownership laws, or long-term power purchase agreements) can significantly enable or hinder entry. In the case of Saudi Arabia, policies in recent years have evolved to encourage foreign investment for example, allowing 100% foreign ownership in many sectors and offering fast-track investment licensing through MISA. However, other requirements like achieving certain IKTVA localization scores create a need for strategic planning around partnerships and local investments. Companies might choose to enter via a joint venture initially to meet local content requirements and gradually increase ownership as they build local capabilities. The presence of industrial clusters (such as the King Salman Energy Park </w:t>
      </w:r>
      <w:r w:rsidRPr="00A70905">
        <w:rPr>
          <w:rFonts w:asciiTheme="majorBidi" w:hAnsiTheme="majorBidi" w:cstheme="majorBidi"/>
          <w:i/>
          <w:iCs/>
          <w:sz w:val="24"/>
          <w:szCs w:val="24"/>
        </w:rPr>
        <w:t>“SPARK”</w:t>
      </w:r>
      <w:r w:rsidRPr="00A70905">
        <w:rPr>
          <w:rFonts w:asciiTheme="majorBidi" w:hAnsiTheme="majorBidi" w:cstheme="majorBidi"/>
          <w:sz w:val="24"/>
          <w:szCs w:val="24"/>
        </w:rPr>
        <w:t xml:space="preserve"> and other economic cities) also influences strategy; setting up within such clusters can offer infrastructure benefits and government support.</w:t>
      </w:r>
    </w:p>
    <w:p w14:paraId="57625CFC" w14:textId="0502274B"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Overall, the literature on market entry strategy underscores a contingency approach the best strategy depends on both firm-specific and country-specific factors. For an electrical </w:t>
      </w:r>
      <w:r w:rsidRPr="00A70905">
        <w:rPr>
          <w:rFonts w:asciiTheme="majorBidi" w:hAnsiTheme="majorBidi" w:cstheme="majorBidi"/>
          <w:sz w:val="24"/>
          <w:szCs w:val="24"/>
        </w:rPr>
        <w:lastRenderedPageBreak/>
        <w:t>or electronics company eyeing Saudi Arabia, important firm-specific factors include the company’s size and financial resources, its international experience, its technology and product uniqueness, and its tolerance for risk. Country-specific factors include Saudi Arabia’s market size and growth rate, the competitive dynamics (e.g., which rivals are already present), cultural and legal environment, and the level of political risk. The OLI framework (Ownership-Location-Internalization) by John Dunning suggests that a company will invest abroad (Internalization) if it has unique Ownership advantages (e.g., technology, brand) and if the Location advantages of the target country (e.g., market potential, resource access) are compelling and when the benefits of owning operations outweigh the costs of other modes. In Saudi Arabia, the Location advantages (large projects, government incentives, central geography in Middle East) are strong, but to capture them, companies often combine Ownership advantages (like technology) with local partnership to satisfy internalization in a somewhat hybrid way (internalizing via a partnership, which is a nuance to Dunning’s model noted in our conclusions).</w:t>
      </w:r>
    </w:p>
    <w:p w14:paraId="73960124"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study builds on these insights by examining current, real-world examples of how companies have approached market entry in Saudi Arabia’s energy sector. It looks at patterns such as phased entry strategies (starting with smaller commitments and scaling up), the role of local intermediaries or sponsors, and the outcomes of different approaches. By comparing these findings to the general principles from literature, we can see where Saudi Arabia’s case aligns with or deviates from broader trends in international business strategy.</w:t>
      </w:r>
    </w:p>
    <w:p w14:paraId="2B7372DE" w14:textId="77777777" w:rsidR="00960AEC" w:rsidRPr="006C2518" w:rsidRDefault="00960AEC" w:rsidP="005B051A">
      <w:pPr>
        <w:spacing w:line="360" w:lineRule="auto"/>
        <w:rPr>
          <w:rFonts w:asciiTheme="majorBidi" w:hAnsiTheme="majorBidi" w:cstheme="majorBidi"/>
          <w:sz w:val="24"/>
          <w:szCs w:val="24"/>
        </w:rPr>
      </w:pPr>
    </w:p>
    <w:p w14:paraId="37DE4F35" w14:textId="77777777" w:rsidR="00960AEC" w:rsidRDefault="00960AEC" w:rsidP="005B051A">
      <w:pPr>
        <w:spacing w:line="360" w:lineRule="auto"/>
        <w:rPr>
          <w:rFonts w:asciiTheme="majorBidi" w:hAnsiTheme="majorBidi" w:cstheme="majorBidi"/>
          <w:b/>
          <w:bCs/>
          <w:sz w:val="24"/>
          <w:szCs w:val="24"/>
        </w:rPr>
      </w:pPr>
    </w:p>
    <w:p w14:paraId="74D34514" w14:textId="77777777" w:rsidR="00960AEC" w:rsidRDefault="00960AEC" w:rsidP="005B051A">
      <w:pPr>
        <w:spacing w:line="360" w:lineRule="auto"/>
        <w:rPr>
          <w:rFonts w:asciiTheme="majorBidi" w:hAnsiTheme="majorBidi" w:cstheme="majorBidi"/>
          <w:b/>
          <w:bCs/>
          <w:sz w:val="24"/>
          <w:szCs w:val="24"/>
        </w:rPr>
      </w:pPr>
    </w:p>
    <w:p w14:paraId="7F9D51B3" w14:textId="77777777" w:rsidR="00960AEC" w:rsidRDefault="00960AEC" w:rsidP="005B051A">
      <w:pPr>
        <w:spacing w:line="360" w:lineRule="auto"/>
        <w:rPr>
          <w:rFonts w:asciiTheme="majorBidi" w:hAnsiTheme="majorBidi" w:cstheme="majorBidi"/>
          <w:b/>
          <w:bCs/>
          <w:sz w:val="24"/>
          <w:szCs w:val="24"/>
        </w:rPr>
      </w:pPr>
    </w:p>
    <w:p w14:paraId="2553EA16" w14:textId="77777777" w:rsidR="00960AEC" w:rsidRDefault="00960AEC" w:rsidP="005B051A">
      <w:pPr>
        <w:spacing w:line="360" w:lineRule="auto"/>
        <w:rPr>
          <w:rFonts w:asciiTheme="majorBidi" w:hAnsiTheme="majorBidi" w:cstheme="majorBidi"/>
          <w:b/>
          <w:bCs/>
          <w:sz w:val="24"/>
          <w:szCs w:val="24"/>
        </w:rPr>
      </w:pPr>
    </w:p>
    <w:p w14:paraId="2A9DB10C" w14:textId="77777777" w:rsidR="00960AEC" w:rsidRDefault="00960AEC" w:rsidP="005B051A">
      <w:pPr>
        <w:spacing w:line="360" w:lineRule="auto"/>
        <w:rPr>
          <w:rFonts w:asciiTheme="majorBidi" w:hAnsiTheme="majorBidi" w:cstheme="majorBidi"/>
          <w:b/>
          <w:bCs/>
          <w:sz w:val="24"/>
          <w:szCs w:val="24"/>
        </w:rPr>
      </w:pPr>
    </w:p>
    <w:p w14:paraId="4468832C" w14:textId="77777777" w:rsidR="006C2518" w:rsidRDefault="006C2518" w:rsidP="005B051A">
      <w:pPr>
        <w:spacing w:line="360" w:lineRule="auto"/>
        <w:rPr>
          <w:rFonts w:asciiTheme="majorBidi" w:hAnsiTheme="majorBidi" w:cstheme="majorBidi"/>
          <w:b/>
          <w:bCs/>
          <w:sz w:val="24"/>
          <w:szCs w:val="24"/>
        </w:rPr>
      </w:pPr>
    </w:p>
    <w:p w14:paraId="5CB6BADC" w14:textId="3FEEBA29"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2.2 Saudi Arabia’s Energy Market Trends and Regulatory Landscape</w:t>
      </w:r>
    </w:p>
    <w:p w14:paraId="692B82A1"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Saudi Arabia’s energy sector is characterized by a mix of longstanding structures and rapidly evolving new trends. Literature and industry reports on the Saudi energy market highlight a few key trends in recent years: diversification of energy sources, regulatory liberalization, increased local content emphasis, and significant infrastructure investment.</w:t>
      </w:r>
    </w:p>
    <w:p w14:paraId="453F4C3B"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One major trend is the shift towards renewable and alternative energy. As part of Vision 2030, Saudi Arabia launched the National Renewable Energy Program, which set targets (such as 58.7 GW of renewables by 2030, later increased) and initiated a series of competitive bidding rounds for solar and wind projects. This has attracted many international renewable energy developers and equipment suppliers into the market, often in partnership with local firms like ACWA Power. Analysts such as those at KAPSARC (King Abdullah Petroleum Studies and Research Center) have noted that Saudi Arabia’s renewable energy push is creating an entirely new segment in the energy market, one that operates on different economics and timelines than the traditional oil and gas projects. For electrical and electronics companies, this means opportunities in supplying solar panel components, grid integration technology, energy storage systems, and control systems for renewable plants.</w:t>
      </w:r>
    </w:p>
    <w:p w14:paraId="285C42EF" w14:textId="3EAA21A4"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Another important trend is the modernization of the power grid and investment in smart infrastructure. The Saudi Electricity Company (SEC) and government entities have been investing in upgrading transmission and distribution networks, introducing smart meters, and exploring smart grid technologies. Technical reports indicate that Saudi Arabia has begun implementing advanced control systems and automation to improve grid reliability and efficiency. This trend aligns with the global shift towards digitalization in energy (often called “Energy 4.0”), and it opens the door for companies offering grid automation software, IoT sensors, and AI-based energy management solutions. It also aligns with regulatory moves for example, steps towards unbundling parts of the power sector, introducing competition in power generation, and encouraging independent power producers (IPPs) which require robust grid management.</w:t>
      </w:r>
    </w:p>
    <w:p w14:paraId="768099F2"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From a regulatory standpoint, the Saudi government has enacted a series of reforms to improve the investment climate. The establishment of the Ministry of Investment (MISA, </w:t>
      </w:r>
      <w:r w:rsidRPr="00A70905">
        <w:rPr>
          <w:rFonts w:asciiTheme="majorBidi" w:hAnsiTheme="majorBidi" w:cstheme="majorBidi"/>
          <w:sz w:val="24"/>
          <w:szCs w:val="24"/>
        </w:rPr>
        <w:lastRenderedPageBreak/>
        <w:t>formerly SAGIA) was aimed at streamlining the process for foreign companies to start businesses in Saudi Arabia. Key regulatory changes in the last decade include permitting 100% foreign ownership in most sectors (with some exceptions like oil upstream), creating special economic zones, and improving transparency in government tendering. The World Bank’s Ease of Doing Business reports (until 2019) showed significant improvements in Saudi Arabia’s rankings, reflecting reforms in areas like starting a business, getting electricity, and enforcing contracts. However, there are still regulatory challenges frequently noted: for example, the requirement to engage a local agent for certain government dealings, the evolving Saudization quotas that mandate hiring a percentage of Saudi nationals (which in some technical fields can be challenging due to skill gaps), and the layers of approval needed for certain industrial activities (environmental permits, municipality approvals, etc.).</w:t>
      </w:r>
    </w:p>
    <w:p w14:paraId="3E9ED1EC"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 notable regulatory and policy factor is the emphasis on local content and localization of industries. Besides Aramco’s IKTVA, there is also the Local Content and Government Procurement Authority established in 2018, which works to embed local content requirements in government contracts beyond just the energy sector. This means that for many energy projects (especially those with government participation or funding), bidders are required to present a localization plan or have a certain percentage of local content to be competitive. Studies (Ahmed, 2021, for instance) have examined how these localization policies affect foreign companies’ strategies. Ahmed’s research, though focused on oilfield services, found that initially companies viewed localization as a cost burden, but those who adapted by forming local joint ventures or investing in local facilities ultimately improved their market position. This suggests that while regulations like IKTVA create short-term challenges, in the long term they shape a more resilient presence for companies that commit, essentially separating serious long-term players from short-term opportunists.</w:t>
      </w:r>
    </w:p>
    <w:p w14:paraId="6DE8320F"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On the institutional side, state-owned enterprises remain dominant buyers and actors in the energy sector. Aramco, being partially privatized but still majority state-owned, dominates oil and gas and has a strong influence in power (through cogeneration, etc.). SEC dominates the electricity sector, although generation is increasingly opened to IPPs. </w:t>
      </w:r>
      <w:r w:rsidRPr="00A70905">
        <w:rPr>
          <w:rFonts w:asciiTheme="majorBidi" w:hAnsiTheme="majorBidi" w:cstheme="majorBidi"/>
          <w:sz w:val="24"/>
          <w:szCs w:val="24"/>
        </w:rPr>
        <w:lastRenderedPageBreak/>
        <w:t>These entities often have their own procurement rules and partnership programs (like Aramco’s vendor qualification systems, IKTVA, and SEC’s requirement for certain certifications). Engaging with them often requires a thorough understanding of their procedures and strategic priorities. Some literature (Chen et al., 2019) indicates that alliances that include a local government-related entity tend to have higher success rates in the Gulf infrastructure projects. This supports the strategy that partnering with or at least aligning to the goals of giants like Aramco or SEC can be a critical success factor.</w:t>
      </w:r>
    </w:p>
    <w:p w14:paraId="7FD555CB" w14:textId="739D937D"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summary, the Saudi energy market is characterized by growth and change, but also by institutional continuity in terms of major players. Companies looking to develop business here must stay abreast of current trends (renewables, digitalization, localization) while navigating the regulatory environment that balances opening up to investors with ensuring local economic benefits. The literature suggests that success often comes to those who are proactive in adapting to these trends for example, companies that localized early are now preferred partners, and those who embraced renewables have established themselves in that growing segment whereas companies that tried to apply a “business as usual” approach often faced setbacks or exclusion from key opportunities.</w:t>
      </w:r>
    </w:p>
    <w:p w14:paraId="36493FC3"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2.3 Role of the Public Investment Fund (PIF) in Energy Sector Growth</w:t>
      </w:r>
    </w:p>
    <w:p w14:paraId="331FEEC9"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Public Investment Fund (PIF) of Saudi Arabia has emerged in recent years as one of the most influential actors in the Kingdom’s economy, and its role in the energy sector’s growth and diversification is particularly noteworthy. PIF is the sovereign wealth fund with a mandate not only to invest for financial returns but also to drive strategic development projects inside Saudi Arabia. According to analyses like those by Oxford Business Group and others, PIF’s investments are aligned with Vision 2030 objectives and span a wide range of sectors, including significant portions of the energy value chain.</w:t>
      </w:r>
    </w:p>
    <w:p w14:paraId="6B1871C7"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One way PIF influences the energy sector is through direct investments and joint ventures in new industries. For example, PIF has heavily invested in renewable energy manufacturing and development. It partnered with SoftBank in a high-profile (though later adjusted) solar initiative, signifying commitment to developing local solar manufacturing capacity. PIF also established (or took large stakes in) companies like Dussur, which is a joint venture with Saudi Aramco and SABIC aimed at developing </w:t>
      </w:r>
      <w:r w:rsidRPr="00A70905">
        <w:rPr>
          <w:rFonts w:asciiTheme="majorBidi" w:hAnsiTheme="majorBidi" w:cstheme="majorBidi"/>
          <w:sz w:val="24"/>
          <w:szCs w:val="24"/>
        </w:rPr>
        <w:lastRenderedPageBreak/>
        <w:t>industrial supply chains (including energy sector components). These moves shape market opportunities for private companies: when PIF sets up a manufacturing entity or a big project, it often involves foreign technology providers either as partners or suppliers, thus creating entry points. For instance, Chen et al. (2019) noted that alliances including local government-related entities (like PIF-backed companies) had higher success because they navigated regulatory hurdles better and had stronger stakeholder support. In practice, if PIF is backing an energy project, foreign firms might find it easier to partner under that umbrella because it signals government backing and reduces certain risks.</w:t>
      </w:r>
    </w:p>
    <w:p w14:paraId="23D1DA8D"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Another role of PIF is in financing and enabling infrastructure. PIF is behind the development of large infrastructure projects such as NEOM (the futuristic city which will have smart energy systems), the Red Sea Project (which aims for 100% renewable energy supply), and others. By funding these giga-projects, PIF indirectly sets technical requirements and standards, and invites international collaboration. Energy companies looking to partake in these projects must often align with PIF’s sustainability and technology goals. Literature from Columbia SIPA Center on Global Energy Policy (2023) mentions that Saudi Arabia’s energy initiatives, backed by entities like PIF, are not just domestic moves but have geopolitical signaling (for instance, showcasing leadership in renewable energy in the region). This means PIF projects often have ambitious scopes and timelines, requiring world-class expertise.</w:t>
      </w:r>
    </w:p>
    <w:p w14:paraId="44BA256B"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PIF also plays a role in localizing technology and expertise. Through events like the annual Future Investment Initiative and through its portfolio companies, PIF often emphasizes local development. For example, PIF established the Saudi Renewable Energy Company (SRPC) and others to invest in local capacity. When PIF invests in an international company (such as electric vehicle manufacturers or grid technology firms), it frequently comes with an expectation that those companies will establish some operations or technology development in Saudi Arabia. The literature might not explicitly cover this (as it’s ongoing), but news analysis indicates that PIF’s strategy is to use its financial muscle to secure commitments that benefit Saudi Arabia’s human capital and technology base. For electrical/electronic firms, this can translate to opportunities like forming a PIF joint venture or supplying to a PIF-funded factory.</w:t>
      </w:r>
    </w:p>
    <w:p w14:paraId="343A5DAD" w14:textId="7F300E3A"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lastRenderedPageBreak/>
        <w:t>The presence of PIF can also affect competitive dynamics. If PIF funds a new local entrant in a certain segment (say, a new Saudi manufacturing company for electrical equipment), that company could become a competitor or a partner for foreign firms. It might benefit from favorable conditions such as capital, land, and initial guaranteed contracts, thus raising the bar for purely foreign entrants. On the other hand, foreign companies can seek partnership with PIF to leverage these advantages. For example, General Electric (GE) in 2021 entered a memorandum with SIDF (Saudi Industrial Development Fund) and possibly PIF on localizing gas turbine component manufacturing such partnerships are spurred by the availability of local funding and support.</w:t>
      </w:r>
    </w:p>
    <w:p w14:paraId="3E288D97" w14:textId="719ED5F5"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summary, PIF’s role as an investor, project developer, and strategic partner significantly shapes business development possibilities in the Saudi energy sector. The literature underscores that government-related entities in Saudi Arabia (like PIF) have a multiplier effect their involvement can lower barriers (regulatory and financial) and create successful outcomes if companies align with them. Companies planning growth strategies must consider where PIF is focusing its efforts, as those areas will likely have the most robust growth and support. This research will particularly look at case examples of PIF’s influence, such as PIF-driven renewable energy projects and how companies positioned themselves to engage with those, providing a clearer picture of effective strategies in dealing with sovereign-driven opportunities.</w:t>
      </w:r>
    </w:p>
    <w:p w14:paraId="570B1C49" w14:textId="77777777" w:rsidR="00960AEC" w:rsidRDefault="00960AEC" w:rsidP="005B051A">
      <w:pPr>
        <w:spacing w:line="360" w:lineRule="auto"/>
        <w:rPr>
          <w:rFonts w:asciiTheme="majorBidi" w:hAnsiTheme="majorBidi" w:cstheme="majorBidi"/>
          <w:b/>
          <w:bCs/>
          <w:sz w:val="24"/>
          <w:szCs w:val="24"/>
        </w:rPr>
      </w:pPr>
    </w:p>
    <w:p w14:paraId="6E6A07B0" w14:textId="77777777" w:rsidR="00960AEC" w:rsidRDefault="00960AEC" w:rsidP="005B051A">
      <w:pPr>
        <w:spacing w:line="360" w:lineRule="auto"/>
        <w:rPr>
          <w:rFonts w:asciiTheme="majorBidi" w:hAnsiTheme="majorBidi" w:cstheme="majorBidi"/>
          <w:b/>
          <w:bCs/>
          <w:sz w:val="24"/>
          <w:szCs w:val="24"/>
        </w:rPr>
      </w:pPr>
    </w:p>
    <w:p w14:paraId="01C598EF" w14:textId="77777777" w:rsidR="00960AEC" w:rsidRDefault="00960AEC" w:rsidP="005B051A">
      <w:pPr>
        <w:spacing w:line="360" w:lineRule="auto"/>
        <w:rPr>
          <w:rFonts w:asciiTheme="majorBidi" w:hAnsiTheme="majorBidi" w:cstheme="majorBidi"/>
          <w:b/>
          <w:bCs/>
          <w:sz w:val="24"/>
          <w:szCs w:val="24"/>
        </w:rPr>
      </w:pPr>
    </w:p>
    <w:p w14:paraId="5B3CB833" w14:textId="77777777" w:rsidR="00960AEC" w:rsidRDefault="00960AEC" w:rsidP="005B051A">
      <w:pPr>
        <w:spacing w:line="360" w:lineRule="auto"/>
        <w:rPr>
          <w:rFonts w:asciiTheme="majorBidi" w:hAnsiTheme="majorBidi" w:cstheme="majorBidi"/>
          <w:b/>
          <w:bCs/>
          <w:sz w:val="24"/>
          <w:szCs w:val="24"/>
        </w:rPr>
      </w:pPr>
    </w:p>
    <w:p w14:paraId="3CB66F73" w14:textId="77777777" w:rsidR="00960AEC" w:rsidRDefault="00960AEC" w:rsidP="005B051A">
      <w:pPr>
        <w:spacing w:line="360" w:lineRule="auto"/>
        <w:rPr>
          <w:rFonts w:asciiTheme="majorBidi" w:hAnsiTheme="majorBidi" w:cstheme="majorBidi"/>
          <w:b/>
          <w:bCs/>
          <w:sz w:val="24"/>
          <w:szCs w:val="24"/>
        </w:rPr>
      </w:pPr>
    </w:p>
    <w:p w14:paraId="14F38E85" w14:textId="77777777" w:rsidR="00960AEC" w:rsidRDefault="00960AEC" w:rsidP="005B051A">
      <w:pPr>
        <w:spacing w:line="360" w:lineRule="auto"/>
        <w:rPr>
          <w:rFonts w:asciiTheme="majorBidi" w:hAnsiTheme="majorBidi" w:cstheme="majorBidi"/>
          <w:b/>
          <w:bCs/>
          <w:sz w:val="24"/>
          <w:szCs w:val="24"/>
        </w:rPr>
      </w:pPr>
    </w:p>
    <w:p w14:paraId="018F28D9" w14:textId="77777777" w:rsidR="00960AEC" w:rsidRDefault="00960AEC" w:rsidP="005B051A">
      <w:pPr>
        <w:spacing w:line="360" w:lineRule="auto"/>
        <w:rPr>
          <w:rFonts w:asciiTheme="majorBidi" w:hAnsiTheme="majorBidi" w:cstheme="majorBidi"/>
          <w:b/>
          <w:bCs/>
          <w:sz w:val="24"/>
          <w:szCs w:val="24"/>
        </w:rPr>
      </w:pPr>
    </w:p>
    <w:p w14:paraId="70A520D0" w14:textId="77777777" w:rsidR="00960AEC" w:rsidRDefault="00960AEC" w:rsidP="005B051A">
      <w:pPr>
        <w:spacing w:line="360" w:lineRule="auto"/>
        <w:rPr>
          <w:rFonts w:asciiTheme="majorBidi" w:hAnsiTheme="majorBidi" w:cstheme="majorBidi"/>
          <w:b/>
          <w:bCs/>
          <w:sz w:val="24"/>
          <w:szCs w:val="24"/>
        </w:rPr>
      </w:pPr>
    </w:p>
    <w:p w14:paraId="34CCA83B" w14:textId="09E8BC2F"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2.4 Case Studies of Successful Market Entry</w:t>
      </w:r>
    </w:p>
    <w:p w14:paraId="2A5EB92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Learning from specific case studies of companies can illuminate how theoretical strategies play out in reality. In this context, we review a few documented cases (from literature or industry reports) of companies that have successfully entered and grown in Saudi Arabia’s market or similar markets, particularly in the energy and industrial sectors. Each case offers insights into strategies, challenges, and outcomes:</w:t>
      </w:r>
    </w:p>
    <w:p w14:paraId="0EF0C45D" w14:textId="3DC3A35A" w:rsidR="00A70905" w:rsidRPr="00A70905" w:rsidRDefault="00A70905" w:rsidP="00EB2BA1">
      <w:pPr>
        <w:numPr>
          <w:ilvl w:val="0"/>
          <w:numId w:val="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1 Energy Sector Diversification Strategies:</w:t>
      </w:r>
      <w:r w:rsidRPr="00A70905">
        <w:rPr>
          <w:rFonts w:asciiTheme="majorBidi" w:hAnsiTheme="majorBidi" w:cstheme="majorBidi"/>
          <w:sz w:val="24"/>
          <w:szCs w:val="24"/>
        </w:rPr>
        <w:t xml:space="preserve"> A recent comprehensive review by </w:t>
      </w:r>
      <w:r w:rsidRPr="00A70905">
        <w:rPr>
          <w:rFonts w:asciiTheme="majorBidi" w:hAnsiTheme="majorBidi" w:cstheme="majorBidi"/>
          <w:i/>
          <w:iCs/>
          <w:sz w:val="24"/>
          <w:szCs w:val="24"/>
        </w:rPr>
        <w:t>Al-Fattah and Sheikh (2024)</w:t>
      </w:r>
      <w:r w:rsidRPr="00A70905">
        <w:rPr>
          <w:rFonts w:asciiTheme="majorBidi" w:hAnsiTheme="majorBidi" w:cstheme="majorBidi"/>
          <w:sz w:val="24"/>
          <w:szCs w:val="24"/>
        </w:rPr>
        <w:t xml:space="preserve"> examined Saudi Arabia’s energy diversification efforts over the past decade. While not a single company case study, this review grouped findings from a range of initiatives. It found that historically, policy uncertainty and the dominance of the oil sector discouraged private investments in renewables. However, post-2016, with Vision 2030 providing clear targets and transparent tender programs, private sector engagement in new energy projects improved markedly. The study noted that micro-level research was needed on how individual firms navigate the new policy landscape which is precisely what our research attempts. It suggests that after the macro conditions were set right (post-2016), the remaining gap is understanding firm behavior; our case studies focus at that firm strategy level.</w:t>
      </w:r>
    </w:p>
    <w:p w14:paraId="45A9DF0E" w14:textId="155E818C" w:rsidR="00A70905" w:rsidRPr="00A70905" w:rsidRDefault="00A70905" w:rsidP="00EB2BA1">
      <w:pPr>
        <w:numPr>
          <w:ilvl w:val="0"/>
          <w:numId w:val="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2 Role of Local Content Requirements: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Ahmed (2021)</w:t>
      </w:r>
      <w:r w:rsidRPr="00A70905">
        <w:rPr>
          <w:rFonts w:asciiTheme="majorBidi" w:hAnsiTheme="majorBidi" w:cstheme="majorBidi"/>
          <w:sz w:val="24"/>
          <w:szCs w:val="24"/>
        </w:rPr>
        <w:t xml:space="preserve"> conducted a qualitative study on the impact of localization policies (like IKTVA) on foreign companies’ strategies in Saudi’s oil and gas sector. Through interviews with 20 executives of international oilfield service companies, Ahmed concluded that companies initially viewed local content requirements as a costly compliance burden, but over time those that adapted by building local partnerships or facilities saw improved market positions. For example, some companies set up training centers and joint ventures to manufacture parts locally; these companies ended up reducing import costs and gaining favor in contract awards. While Ahmed’s study was set in the oil &amp; gas context, its insights transfer to the broader energy sector: joint ventures and supplier development programs were highlighted as key strategic responses to meet policy demands. This case underscores that </w:t>
      </w:r>
      <w:r w:rsidRPr="00A70905">
        <w:rPr>
          <w:rFonts w:asciiTheme="majorBidi" w:hAnsiTheme="majorBidi" w:cstheme="majorBidi"/>
          <w:sz w:val="24"/>
          <w:szCs w:val="24"/>
        </w:rPr>
        <w:lastRenderedPageBreak/>
        <w:t>what might start as forced compliance (localization) can evolve into a competitive advantage, an idea we will see in our own case analysis (e.g., how a company like Siemens localized and then could market “Made in KSA” products competitively).</w:t>
      </w:r>
    </w:p>
    <w:p w14:paraId="20DEE990" w14:textId="659CA722" w:rsidR="00A70905" w:rsidRPr="00A70905" w:rsidRDefault="00A70905" w:rsidP="00EB2BA1">
      <w:pPr>
        <w:numPr>
          <w:ilvl w:val="0"/>
          <w:numId w:val="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3 Open Innovation in Saudi Energy Companies: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Al-Ghamdi and Bhatti (2022)</w:t>
      </w:r>
      <w:r w:rsidRPr="00A70905">
        <w:rPr>
          <w:rFonts w:asciiTheme="majorBidi" w:hAnsiTheme="majorBidi" w:cstheme="majorBidi"/>
          <w:sz w:val="24"/>
          <w:szCs w:val="24"/>
        </w:rPr>
        <w:t xml:space="preserve"> investigated how open innovation practices affect performance in large Saudi oil and petrochemical companies. Using a mixed-method approach (surveys and case analysis), they found a positive correlation between external collaboration (with universities and international partners) and innovation performance, measured by number of patents and successful new product introductions. One example from their study was Saudi Aramco’s collaboration with international research centers, which accelerated the development of advanced materials for oil extraction. While this research focused on huge companies like Aramco and SABIC, it confirmed the importance of open innovation. It did not address smaller firms or the electrical/electronics segment, which is where our study adds value. However, it provides evidence that collaborating beyond firm boundaries (with academic or foreign partners) leads to tangible innovation gains, a principle likely applicable to companies of all sizes (for instance, a smaller renewable energy startup partnering with a university to develop a new inverter technology could similarly benefit).</w:t>
      </w:r>
    </w:p>
    <w:p w14:paraId="22B30C1C" w14:textId="23D1E6D6" w:rsidR="00A70905" w:rsidRPr="00A70905" w:rsidRDefault="00A70905" w:rsidP="00EB2BA1">
      <w:pPr>
        <w:numPr>
          <w:ilvl w:val="0"/>
          <w:numId w:val="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4 SMEs and Energy Sector Opportunities: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Rahman et al. (2020)</w:t>
      </w:r>
      <w:r w:rsidRPr="00A70905">
        <w:rPr>
          <w:rFonts w:asciiTheme="majorBidi" w:hAnsiTheme="majorBidi" w:cstheme="majorBidi"/>
          <w:sz w:val="24"/>
          <w:szCs w:val="24"/>
        </w:rPr>
        <w:t xml:space="preserve"> looked at how Vision 2030 might create opportunities for small and medium enterprises (SMEs) in Saudi Arabia’s energy sector. Using a SWOT analysis approach on secondary data, they concluded that Vision 2030 opens significant opportunities (such as government funding and incubators for energy startups, increased demand for solar panel installers, etc.), but that SMEs face internal weaknesses like lack of technical expertise and external threats such as competition from well-established foreign firms. Their recommendation was for capacity-building programs to help SMEs partner with larger companies. This aligns with our study’s interest in partnerships and knowledge transfer. </w:t>
      </w:r>
      <w:r w:rsidRPr="00A70905">
        <w:rPr>
          <w:rFonts w:asciiTheme="majorBidi" w:hAnsiTheme="majorBidi" w:cstheme="majorBidi"/>
          <w:sz w:val="24"/>
          <w:szCs w:val="24"/>
        </w:rPr>
        <w:lastRenderedPageBreak/>
        <w:t xml:space="preserve">Essentially, Rahman et al. highlight that smaller local firms can seize new opportunities but often not alone they benefit from alliances either among themselves (clusters) or with bigger players. This is a pattern we might see in our case studies, where local firms like </w:t>
      </w:r>
      <w:r w:rsidRPr="00A70905">
        <w:rPr>
          <w:rFonts w:asciiTheme="majorBidi" w:hAnsiTheme="majorBidi" w:cstheme="majorBidi"/>
          <w:i/>
          <w:iCs/>
          <w:sz w:val="24"/>
          <w:szCs w:val="24"/>
        </w:rPr>
        <w:t>X</w:t>
      </w:r>
      <w:r w:rsidRPr="00A70905">
        <w:rPr>
          <w:rFonts w:asciiTheme="majorBidi" w:hAnsiTheme="majorBidi" w:cstheme="majorBidi"/>
          <w:sz w:val="24"/>
          <w:szCs w:val="24"/>
        </w:rPr>
        <w:t xml:space="preserve"> succeeded by teaming up with an international firm </w:t>
      </w:r>
      <w:r w:rsidRPr="00A70905">
        <w:rPr>
          <w:rFonts w:asciiTheme="majorBidi" w:hAnsiTheme="majorBidi" w:cstheme="majorBidi"/>
          <w:i/>
          <w:iCs/>
          <w:sz w:val="24"/>
          <w:szCs w:val="24"/>
        </w:rPr>
        <w:t>Y</w:t>
      </w:r>
      <w:r w:rsidRPr="00A70905">
        <w:rPr>
          <w:rFonts w:asciiTheme="majorBidi" w:hAnsiTheme="majorBidi" w:cstheme="majorBidi"/>
          <w:sz w:val="24"/>
          <w:szCs w:val="24"/>
        </w:rPr>
        <w:t xml:space="preserve"> to deliver a complex project that neither could have done alone.</w:t>
      </w:r>
    </w:p>
    <w:p w14:paraId="49E45CFF" w14:textId="5C4311E9" w:rsidR="00A70905" w:rsidRPr="00A70905" w:rsidRDefault="00A70905" w:rsidP="00EB2BA1">
      <w:pPr>
        <w:numPr>
          <w:ilvl w:val="0"/>
          <w:numId w:val="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5 Strategic Partnerships in the Middle East:</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Chen et al. (2019)</w:t>
      </w:r>
      <w:r w:rsidRPr="00A70905">
        <w:rPr>
          <w:rFonts w:asciiTheme="majorBidi" w:hAnsiTheme="majorBidi" w:cstheme="majorBidi"/>
          <w:sz w:val="24"/>
          <w:szCs w:val="24"/>
        </w:rPr>
        <w:t xml:space="preserve"> (as mentioned before) compared strategic alliance outcomes in several Gulf countries’ infrastructure projects. They found that alliances including a local government-related entity had higher success rates in project completion and outcomes. The authors attributed this to better navigation of regulatory hurdles and stronger stakeholder management when, say, a government or semi-government partner was involved. For Saudi specifically, this suggests that partnering with entities like Aramco, SEC, or PIF-linked companies can be advantageous. Our research incorporates this insight by examining cases where such partnerships were present for example, Schneider Electric partnering with Saudi Aramco’s SPARK initiative or ACWA Power working closely with government bodies and checking if similar benefits (e.g., smoother project execution, policy support) were realized.</w:t>
      </w:r>
    </w:p>
    <w:p w14:paraId="58D07FC5"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These previous studies and cases collectively paint a picture that informs our research. They show the trend that companies which align with local programs (local content), build partnerships, and engage in innovation collaborations tend to find success in Saudi Arabia’s evolving energy sector. However, none of the existing literature pieces combined all three focal points of our research (entry, partnership, innovation) in an applied manner for the electrical/electronics segment. This is the research gap our study aims to fill.</w:t>
      </w:r>
    </w:p>
    <w:p w14:paraId="51C2A04D"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By reviewing these studies, we identify a gap: while various pieces of literature address aspects of Saudi Arabia’s energy sector transformation (policy, economics, specific corporate initiatives), there is no comprehensive applied study that integrates market entry strategy, partnership strategy, and innovation strategy for the specific context of </w:t>
      </w:r>
      <w:r w:rsidRPr="00A70905">
        <w:rPr>
          <w:rFonts w:asciiTheme="majorBidi" w:hAnsiTheme="majorBidi" w:cstheme="majorBidi"/>
          <w:sz w:val="24"/>
          <w:szCs w:val="24"/>
        </w:rPr>
        <w:lastRenderedPageBreak/>
        <w:t>electrical and electronics companies in the Saudi energy sector. Prior studies have either been broad (policy-level or focused on very large companies) or narrow (focusing on one aspect such as localization or one type of firm). None have combined all three focal points in a single analysis with recent case data. This study fills that gap by bringing these elements together and providing a holistic analysis backed by current real-world examples (from roughly 2018–2025).</w:t>
      </w:r>
    </w:p>
    <w:p w14:paraId="328C8DD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Furthermore, previous research has often been retrospective, looking at what has happened up to a certain point, whereas the fast-paced changes under Vision 2030 mean that new developments (even year by year) can shift the landscape. There is a need for up-to-date analysis incorporating developments as recent as 2023–2025 (such as the latest IKTVA forum outcomes, new renewable project awards, etc.). Our study, by including data and cases from 2024 and 2025, ensures that the findings are relevant to the current moment and near-future decisions. This timeliness is another aspect distinguishing it from prior literature.</w:t>
      </w:r>
    </w:p>
    <w:p w14:paraId="552AC2E7" w14:textId="377EBFEF"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conclusion, the literature review establishes a foundation of existing knowledge while clearly indicating that the intersection of business development strategies with Saudi Arabia’s current energy sector evolution remains under-researched. The subsequent chapters theoretical framework, methodology, and analysis are designed to address this precise gap and contribute original insights that we hope will benefit both academic understanding and business practice.</w:t>
      </w:r>
    </w:p>
    <w:p w14:paraId="49BB9625" w14:textId="77777777" w:rsidR="00960AEC" w:rsidRDefault="00960AEC" w:rsidP="005B051A">
      <w:pPr>
        <w:spacing w:line="360" w:lineRule="auto"/>
        <w:rPr>
          <w:rFonts w:asciiTheme="majorBidi" w:hAnsiTheme="majorBidi" w:cstheme="majorBidi"/>
          <w:b/>
          <w:bCs/>
          <w:sz w:val="24"/>
          <w:szCs w:val="24"/>
        </w:rPr>
      </w:pPr>
    </w:p>
    <w:p w14:paraId="76470449" w14:textId="77777777" w:rsidR="00960AEC" w:rsidRDefault="00960AEC" w:rsidP="005B051A">
      <w:pPr>
        <w:spacing w:line="360" w:lineRule="auto"/>
        <w:rPr>
          <w:rFonts w:asciiTheme="majorBidi" w:hAnsiTheme="majorBidi" w:cstheme="majorBidi"/>
          <w:b/>
          <w:bCs/>
          <w:sz w:val="24"/>
          <w:szCs w:val="24"/>
        </w:rPr>
      </w:pPr>
    </w:p>
    <w:p w14:paraId="4542A0C8" w14:textId="77777777" w:rsidR="00960AEC" w:rsidRDefault="00960AEC" w:rsidP="005B051A">
      <w:pPr>
        <w:spacing w:line="360" w:lineRule="auto"/>
        <w:rPr>
          <w:rFonts w:asciiTheme="majorBidi" w:hAnsiTheme="majorBidi" w:cstheme="majorBidi"/>
          <w:b/>
          <w:bCs/>
          <w:sz w:val="24"/>
          <w:szCs w:val="24"/>
        </w:rPr>
      </w:pPr>
    </w:p>
    <w:p w14:paraId="72088E18" w14:textId="77777777" w:rsidR="006C2518" w:rsidRDefault="006C2518" w:rsidP="005B051A">
      <w:pPr>
        <w:spacing w:line="360" w:lineRule="auto"/>
        <w:rPr>
          <w:rFonts w:asciiTheme="majorBidi" w:hAnsiTheme="majorBidi" w:cstheme="majorBidi"/>
          <w:b/>
          <w:bCs/>
          <w:sz w:val="24"/>
          <w:szCs w:val="24"/>
        </w:rPr>
      </w:pPr>
    </w:p>
    <w:p w14:paraId="30E7D5D5" w14:textId="77777777" w:rsidR="006C2518" w:rsidRDefault="006C2518" w:rsidP="005B051A">
      <w:pPr>
        <w:spacing w:line="360" w:lineRule="auto"/>
        <w:rPr>
          <w:rFonts w:asciiTheme="majorBidi" w:hAnsiTheme="majorBidi" w:cstheme="majorBidi"/>
          <w:b/>
          <w:bCs/>
          <w:sz w:val="24"/>
          <w:szCs w:val="24"/>
        </w:rPr>
      </w:pPr>
    </w:p>
    <w:p w14:paraId="16BEBC76" w14:textId="77777777" w:rsidR="006C2518" w:rsidRDefault="006C2518" w:rsidP="005B051A">
      <w:pPr>
        <w:spacing w:line="360" w:lineRule="auto"/>
        <w:rPr>
          <w:rFonts w:asciiTheme="majorBidi" w:hAnsiTheme="majorBidi" w:cstheme="majorBidi"/>
          <w:b/>
          <w:bCs/>
          <w:sz w:val="24"/>
          <w:szCs w:val="24"/>
        </w:rPr>
      </w:pPr>
    </w:p>
    <w:p w14:paraId="69E9845E" w14:textId="77777777" w:rsidR="006C2518" w:rsidRDefault="006C2518" w:rsidP="005B051A">
      <w:pPr>
        <w:spacing w:line="360" w:lineRule="auto"/>
        <w:rPr>
          <w:rFonts w:asciiTheme="majorBidi" w:hAnsiTheme="majorBidi" w:cstheme="majorBidi"/>
          <w:b/>
          <w:bCs/>
          <w:sz w:val="24"/>
          <w:szCs w:val="24"/>
        </w:rPr>
      </w:pPr>
    </w:p>
    <w:p w14:paraId="64840889" w14:textId="1D7C512B"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2.5 Strategic Partnerships and Business Scaling</w:t>
      </w:r>
    </w:p>
    <w:p w14:paraId="384849D6"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Strategic partnerships, alliances, and joint ventures are a major theme in both strategic management literature and international business practice. The general consensus in literature is that partnerships can create value by combining complementary resources of partner firms, enabling access to new markets or technologies, and sharing risks. However, partnerships also come with challenges such as management complexity and potential conflicts of interest. In the context of scaling a business in a foreign market like Saudi Arabia, partnerships often serve as a critical tool.</w:t>
      </w:r>
    </w:p>
    <w:p w14:paraId="484556F5" w14:textId="1495FC82"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Alliance theory suggests that firms enter partnerships for a variety of strategic motives: to learn (learning alliances), to share cost and risk (especially in R&amp;D or large projects), to speed up market entry, or to comply with host country requirements (Mockler, 1999; Hitt et al., 2000). In emerging markets, one of the key motives is to gain local legitimacy and knowledge. By partnering with a reputable local firm, a foreign entrant can signal to customers and regulators that it is committed and trustworthy. It also gains insider perspectives on how business is done locally, which can be difficult to acquire otherwise. From the local firm’s perspective, partnering with an international company can provide access to advanced technology, managerial know-how, and sometimes capital all of which can improve the local firm’s own competitive position.</w:t>
      </w:r>
    </w:p>
    <w:p w14:paraId="2725C208"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Saudi Arabia, as earlier sections noted, partnering is often not just an option but somewhat expected. The government has openly encouraged joint ventures in sectors like energy as a way to ensure knowledge transfer and capacity building. Literature on alliances in the Middle East (e.g., Ali &amp; Alshawi, 2004) has noted that relationships (and trust) are extremely important in the business culture, and forming a formal partnership is one way to cement a relationship.</w:t>
      </w:r>
    </w:p>
    <w:p w14:paraId="6E917C41" w14:textId="26951064"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One important framework in partnership literature is the idea of partner complementarity, commitment, and compatibility (often called the “3C framework”). To succeed, partners should bring complementary strengths, both need to be committed to the alliance’s goals, and they should have compatible cultures and ways of operating (Geringer, 1991). Applying this to cases in Saudi energy: for example, a Saudi engineering firm might bring local relationships and staff, while an international firm brings technical expertise </w:t>
      </w:r>
      <w:r w:rsidRPr="00A70905">
        <w:rPr>
          <w:rFonts w:asciiTheme="majorBidi" w:hAnsiTheme="majorBidi" w:cstheme="majorBidi"/>
          <w:sz w:val="24"/>
          <w:szCs w:val="24"/>
        </w:rPr>
        <w:lastRenderedPageBreak/>
        <w:t>in solar power these are complementary. Both must be committed (if the foreign firm treats the JV as secondary, it will fail), and they need to align working styles (perhaps the Saudi firm is more informal, the foreign firm process-driven they need to find a middle ground).</w:t>
      </w:r>
    </w:p>
    <w:p w14:paraId="5E58B12A" w14:textId="5AB434FC"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Empirical studies have shown mixed success for joint ventures globally many fail or underperform but those that succeed often do so by evolving over time (Harrigan, 1988). In the Saudi context, it’s observed that some partnerships are transitional: a foreign company might start with a joint venture and later, once fully established, buy out the partner or start its own subsidiary. An example is Schneider Electric’s trajectory (from distributors to JV to full local entity) which we discuss in our results. This reflects a pattern where partnerships are a stepping stone to scaling up independent operations, once the foreign firm is comfortable with the market.</w:t>
      </w:r>
    </w:p>
    <w:p w14:paraId="0B91734D" w14:textId="4E6199D0"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Another facet in alliances is resource and capability building. If we view the partnership as a way to build internal capabilities (per the resource-based view), then foreign firms engaging in local partnerships might aim to internalize some local knowledge, and local firms aim to internalize some of the foreign partner’s technology or managerial skills. Hamel (1991) famously warned that alliances can be a race to learn partners might enter cooperative agreements but each is trying to learn as much as possible to eventually be able to stand alone. In Saudi energy JVs, local firms might learn to manufacture a certain component and later become a competitor; foreign firms might learn the market and later operate without the local partner. This dynamic underlines why alignment of long-term interests is important. The Saudi government, to counteract the negative side of this, often uses contractual clauses to ensure long-term cooperation (for instance, a JV contract might stipulate a minimum duration or conditions for technology transfer).</w:t>
      </w:r>
    </w:p>
    <w:p w14:paraId="6600F8AF" w14:textId="11569A7B"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The literature on network effects suggests that strategic partnerships can also enhance a firm’s network position by partnering with a key local player, a foreign entrant effectively taps into that player’s entire business network (customers, suppliers, regulators). In Saudi, where business networks can be tight-knit and often revolve around extended business families or conglomerates, having the right partner (for example, a JV with a </w:t>
      </w:r>
      <w:r w:rsidRPr="00A70905">
        <w:rPr>
          <w:rFonts w:asciiTheme="majorBidi" w:hAnsiTheme="majorBidi" w:cstheme="majorBidi"/>
          <w:sz w:val="24"/>
          <w:szCs w:val="24"/>
        </w:rPr>
        <w:lastRenderedPageBreak/>
        <w:t>subsidiary of a large family-owned conglomerate) can give immediate access to a wide range of projects or contacts that would take years for an outsider to build.</w:t>
      </w:r>
    </w:p>
    <w:p w14:paraId="2F3A886F" w14:textId="59BDB0B0" w:rsidR="00960AEC" w:rsidRPr="006C2518" w:rsidRDefault="00A70905" w:rsidP="00D747C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summary, strategic partnerships are often a cornerstone of scaling a business in the Saudi energy sector because they help companies overcome initial barriers, expand resources, and increase acceptance. The literature provides frameworks (like partner selection criteria, alliance management best practices, etc.) that will inform our analysis of partnership cases in this study. We will be examining not just whether partnerships were used, but </w:t>
      </w:r>
      <w:r w:rsidRPr="00A70905">
        <w:rPr>
          <w:rFonts w:asciiTheme="majorBidi" w:hAnsiTheme="majorBidi" w:cstheme="majorBidi"/>
          <w:i/>
          <w:iCs/>
          <w:sz w:val="24"/>
          <w:szCs w:val="24"/>
        </w:rPr>
        <w:t>how</w:t>
      </w:r>
      <w:r w:rsidRPr="00A70905">
        <w:rPr>
          <w:rFonts w:asciiTheme="majorBidi" w:hAnsiTheme="majorBidi" w:cstheme="majorBidi"/>
          <w:sz w:val="24"/>
          <w:szCs w:val="24"/>
        </w:rPr>
        <w:t xml:space="preserve"> they were structured and managed, and what outcomes they led to, in order to derive lessons on best practices (e.g., the importance of clear JV agreements, investing in the partnership, effective communication channels, etc.). This will tie back to answering our research questions about partnerships’ contribution to success and how to maximize their benefits.</w:t>
      </w:r>
    </w:p>
    <w:p w14:paraId="14E7BAF7" w14:textId="77777777" w:rsidR="00960AEC" w:rsidRDefault="00960AEC" w:rsidP="005B051A">
      <w:pPr>
        <w:spacing w:line="360" w:lineRule="auto"/>
        <w:rPr>
          <w:rFonts w:asciiTheme="majorBidi" w:hAnsiTheme="majorBidi" w:cstheme="majorBidi"/>
          <w:b/>
          <w:bCs/>
          <w:sz w:val="24"/>
          <w:szCs w:val="24"/>
        </w:rPr>
      </w:pPr>
    </w:p>
    <w:p w14:paraId="1C880156" w14:textId="7390CBCF"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2.6 Innovation and Open Innovation in the Energy Sector</w:t>
      </w:r>
    </w:p>
    <w:p w14:paraId="28A7FA03"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Innovation is a key driver of competitive advantage, especially in a sector like energy that is experiencing technological disruption (e.g., renewables, smart grids, energy storage). The literature on innovation distinguishes between closed innovation (developing everything in-house) and open innovation (collaborating with external partners to innovate). </w:t>
      </w:r>
      <w:r w:rsidRPr="00A70905">
        <w:rPr>
          <w:rFonts w:asciiTheme="majorBidi" w:hAnsiTheme="majorBidi" w:cstheme="majorBidi"/>
          <w:i/>
          <w:iCs/>
          <w:sz w:val="24"/>
          <w:szCs w:val="24"/>
        </w:rPr>
        <w:t>Chesbrough (2003)</w:t>
      </w:r>
      <w:r w:rsidRPr="00A70905">
        <w:rPr>
          <w:rFonts w:asciiTheme="majorBidi" w:hAnsiTheme="majorBidi" w:cstheme="majorBidi"/>
          <w:sz w:val="24"/>
          <w:szCs w:val="24"/>
        </w:rPr>
        <w:t xml:space="preserve"> introduced open innovation theory, which argues that companies can and should use external ideas as well as internal ideas, and find internal paths for unused ideas, to advance their technology.</w:t>
      </w:r>
    </w:p>
    <w:p w14:paraId="4F2F20A7"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the context of energy companies, embracing open innovation might involve collaborating with universities for R&amp;D, participating in industry consortia, setting up corporate venture capital to invest in startups, or forming innovation-focused partnerships (like joint research projects). The Repsol (2024) source in our references, for instance, likely describes what open innovation is and its advantages, highlighting aspects such as sharing risk and accelerating development.</w:t>
      </w:r>
    </w:p>
    <w:p w14:paraId="5E047F28"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For Saudi Arabia’s energy sector, innovation has a dual importance: it’s needed for companies to differentiate themselves in a competitive market, and it’s strongly </w:t>
      </w:r>
      <w:r w:rsidRPr="00A70905">
        <w:rPr>
          <w:rFonts w:asciiTheme="majorBidi" w:hAnsiTheme="majorBidi" w:cstheme="majorBidi"/>
          <w:sz w:val="24"/>
          <w:szCs w:val="24"/>
        </w:rPr>
        <w:lastRenderedPageBreak/>
        <w:t>encouraged by the government’s strategic plans (Vision 2030 emphasizes building a knowledge economy). There are emerging innovation hubs in KSA, such as the Dhahran Techno Valley (near KFUPM) focusing on energy, and incubators/accelerators under initiatives like “Saudi Aramco Entrepreneurship Center (</w:t>
      </w:r>
      <w:proofErr w:type="spellStart"/>
      <w:r w:rsidRPr="00A70905">
        <w:rPr>
          <w:rFonts w:asciiTheme="majorBidi" w:hAnsiTheme="majorBidi" w:cstheme="majorBidi"/>
          <w:sz w:val="24"/>
          <w:szCs w:val="24"/>
        </w:rPr>
        <w:t>Wa’ed</w:t>
      </w:r>
      <w:proofErr w:type="spellEnd"/>
      <w:r w:rsidRPr="00A70905">
        <w:rPr>
          <w:rFonts w:asciiTheme="majorBidi" w:hAnsiTheme="majorBidi" w:cstheme="majorBidi"/>
          <w:sz w:val="24"/>
          <w:szCs w:val="24"/>
        </w:rPr>
        <w:t>)”, and more recently the establishment of RDIA (Research, Development and Innovation Authority). These provide platforms for companies to engage in open innovation locally.</w:t>
      </w:r>
    </w:p>
    <w:p w14:paraId="6D8F0F39" w14:textId="427112F6"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From literature on corporate innovation, one challenge for companies entering an overseas market is how to tap into local innovation ecosystems. </w:t>
      </w:r>
      <w:r w:rsidRPr="00A70905">
        <w:rPr>
          <w:rFonts w:asciiTheme="majorBidi" w:hAnsiTheme="majorBidi" w:cstheme="majorBidi"/>
          <w:i/>
          <w:iCs/>
          <w:sz w:val="24"/>
          <w:szCs w:val="24"/>
        </w:rPr>
        <w:t>Porter’s cluster theory</w:t>
      </w:r>
      <w:r w:rsidRPr="00A70905">
        <w:rPr>
          <w:rFonts w:asciiTheme="majorBidi" w:hAnsiTheme="majorBidi" w:cstheme="majorBidi"/>
          <w:sz w:val="24"/>
          <w:szCs w:val="24"/>
        </w:rPr>
        <w:t xml:space="preserve"> suggests that being physically present where key innovation players are (like universities, specialized suppliers) can enhance a company’s own innovation. In Saudi Arabia, companies like Siemens and GE have established research or training centers to plug into local talent and research. Aramco has various R&amp;D collaborations like with KAUST (King Abdullah University of Science and Technology) e.g., a $100 million research center was launched jointly. While that’s Aramco (a local giant) and not a foreign entrant, foreign companies have been involved too (Baker Hughes has a research center in Dhahran Techno Valley, etc.). The lesson is that co-locating and collaborating can be beneficial.</w:t>
      </w:r>
    </w:p>
    <w:p w14:paraId="2447FAEA" w14:textId="06F13CA4"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Another relevant concept is frugal innovation or adapting innovation to local context. Emerging markets often require cost-effective and robust solutions. Companies innovating in Saudi might need to tailor global products to local needs e.g., power electronics that can withstand extreme heat and sand, or solar panels designed for desert conditions. Collaborating with local institutions can provide insights into these needs.</w:t>
      </w:r>
    </w:p>
    <w:p w14:paraId="7871AA90" w14:textId="6FB007D0"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Innovation management literature also points out that companies need to manage the balance between exploring new innovations and exploiting existing capabilities (March, 1991). A company heavily focused on exploitation might under-invest in innovation and get left behind, whereas one doing only exploration might not commercialize anything. In our context, companies that did well in Saudi’s changing energy sector appear to strike a balance: they bring in existing proven products (exploit their strengths) but also invest in new solutions for the Saudi market (exploration, often via partnerships or local R&amp;D). For example, ACWA Power, though a project developer, set up an R&amp;D venture with </w:t>
      </w:r>
      <w:r w:rsidRPr="00A70905">
        <w:rPr>
          <w:rFonts w:asciiTheme="majorBidi" w:hAnsiTheme="majorBidi" w:cstheme="majorBidi"/>
          <w:sz w:val="24"/>
          <w:szCs w:val="24"/>
        </w:rPr>
        <w:lastRenderedPageBreak/>
        <w:t>KACST to work on desalination and solar efficiency an exploratory move to innovate in areas critical for their projects, which can then be exploited in future bids.</w:t>
      </w:r>
    </w:p>
    <w:p w14:paraId="3BA9420F"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Open innovation also ties into SMEs and startups: large corporations sometimes innovate by partnering with or acquiring startups. Saudi Arabia is trying to promote startups in solar tech, battery tech, etc. If a foreign firm partners with a local startup (or mentors it through an accelerator), it could gain early access to an innovation while helping the startup scale. Given that Vision 2030 encourages entrepreneurship, such collaborations are increasingly likely and have government support.</w:t>
      </w:r>
    </w:p>
    <w:p w14:paraId="67581B14" w14:textId="4F28A528"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sum, the literature and current industry understanding suggest that innovation is both a necessity and an opportunity in the Saudi energy sector. Companies that collaborate and adapt tend to succeed. Our study will particularly look at how the concept of open innovation manifested in the companies we examine did they engage external partners for innovation? Did they localize any R&amp;D? Did they implement new technologies or processes as a result of collaboration? We expect to see that firms with a proactive innovation approach (like those that worked with universities or adopted new tech in partnership with others) have an edge in sustaining growth and meeting the evolving demands (like renewable integration, digitalization, etc.) of the sector.</w:t>
      </w:r>
    </w:p>
    <w:p w14:paraId="21018E65" w14:textId="77777777" w:rsidR="00960AEC" w:rsidRPr="006C2518" w:rsidRDefault="00960AEC" w:rsidP="005B051A">
      <w:pPr>
        <w:spacing w:line="360" w:lineRule="auto"/>
        <w:rPr>
          <w:rFonts w:asciiTheme="majorBidi" w:hAnsiTheme="majorBidi" w:cstheme="majorBidi"/>
          <w:sz w:val="24"/>
          <w:szCs w:val="24"/>
        </w:rPr>
      </w:pPr>
    </w:p>
    <w:p w14:paraId="1A136780" w14:textId="77777777" w:rsidR="00960AEC" w:rsidRPr="006C2518" w:rsidRDefault="00960AEC" w:rsidP="005B051A">
      <w:pPr>
        <w:spacing w:line="360" w:lineRule="auto"/>
        <w:rPr>
          <w:rFonts w:asciiTheme="majorBidi" w:hAnsiTheme="majorBidi" w:cstheme="majorBidi"/>
          <w:sz w:val="24"/>
          <w:szCs w:val="24"/>
        </w:rPr>
      </w:pPr>
    </w:p>
    <w:p w14:paraId="57BB95BF" w14:textId="77777777" w:rsidR="00960AEC" w:rsidRPr="006C2518" w:rsidRDefault="00960AEC" w:rsidP="005B051A">
      <w:pPr>
        <w:spacing w:line="360" w:lineRule="auto"/>
        <w:rPr>
          <w:rFonts w:asciiTheme="majorBidi" w:hAnsiTheme="majorBidi" w:cstheme="majorBidi"/>
          <w:sz w:val="24"/>
          <w:szCs w:val="24"/>
        </w:rPr>
      </w:pPr>
    </w:p>
    <w:p w14:paraId="2FA9C39A" w14:textId="77777777" w:rsidR="00960AEC" w:rsidRDefault="00960AEC" w:rsidP="005B051A">
      <w:pPr>
        <w:spacing w:line="360" w:lineRule="auto"/>
        <w:rPr>
          <w:rFonts w:asciiTheme="majorBidi" w:hAnsiTheme="majorBidi" w:cstheme="majorBidi"/>
          <w:b/>
          <w:bCs/>
          <w:sz w:val="24"/>
          <w:szCs w:val="24"/>
        </w:rPr>
      </w:pPr>
    </w:p>
    <w:p w14:paraId="05DE9BCA" w14:textId="77777777" w:rsidR="00960AEC" w:rsidRDefault="00960AEC" w:rsidP="005B051A">
      <w:pPr>
        <w:spacing w:line="360" w:lineRule="auto"/>
        <w:rPr>
          <w:rFonts w:asciiTheme="majorBidi" w:hAnsiTheme="majorBidi" w:cstheme="majorBidi"/>
          <w:b/>
          <w:bCs/>
          <w:sz w:val="24"/>
          <w:szCs w:val="24"/>
        </w:rPr>
      </w:pPr>
    </w:p>
    <w:p w14:paraId="7260A525" w14:textId="77777777" w:rsidR="00960AEC" w:rsidRDefault="00960AEC" w:rsidP="005B051A">
      <w:pPr>
        <w:spacing w:line="360" w:lineRule="auto"/>
        <w:rPr>
          <w:rFonts w:asciiTheme="majorBidi" w:hAnsiTheme="majorBidi" w:cstheme="majorBidi"/>
          <w:b/>
          <w:bCs/>
          <w:sz w:val="24"/>
          <w:szCs w:val="24"/>
        </w:rPr>
      </w:pPr>
    </w:p>
    <w:p w14:paraId="3D300AD4" w14:textId="77777777" w:rsidR="00960AEC" w:rsidRDefault="00960AEC" w:rsidP="005B051A">
      <w:pPr>
        <w:spacing w:line="360" w:lineRule="auto"/>
        <w:rPr>
          <w:rFonts w:asciiTheme="majorBidi" w:hAnsiTheme="majorBidi" w:cstheme="majorBidi"/>
          <w:b/>
          <w:bCs/>
          <w:sz w:val="24"/>
          <w:szCs w:val="24"/>
        </w:rPr>
      </w:pPr>
    </w:p>
    <w:p w14:paraId="1CB54DF3" w14:textId="77777777" w:rsidR="00D747CA" w:rsidRDefault="00D747CA" w:rsidP="005B051A">
      <w:pPr>
        <w:spacing w:line="360" w:lineRule="auto"/>
        <w:rPr>
          <w:rFonts w:asciiTheme="majorBidi" w:hAnsiTheme="majorBidi" w:cstheme="majorBidi"/>
          <w:b/>
          <w:bCs/>
          <w:sz w:val="24"/>
          <w:szCs w:val="24"/>
        </w:rPr>
      </w:pPr>
    </w:p>
    <w:p w14:paraId="1CE682C5" w14:textId="77777777" w:rsidR="00D747CA" w:rsidRDefault="00D747CA" w:rsidP="005B051A">
      <w:pPr>
        <w:spacing w:line="360" w:lineRule="auto"/>
        <w:rPr>
          <w:rFonts w:asciiTheme="majorBidi" w:hAnsiTheme="majorBidi" w:cstheme="majorBidi"/>
          <w:b/>
          <w:bCs/>
          <w:sz w:val="24"/>
          <w:szCs w:val="24"/>
        </w:rPr>
      </w:pPr>
    </w:p>
    <w:p w14:paraId="1F5A8A6C" w14:textId="77777777" w:rsidR="00D747CA" w:rsidRDefault="00D747CA" w:rsidP="005B051A">
      <w:pPr>
        <w:spacing w:line="360" w:lineRule="auto"/>
        <w:rPr>
          <w:rFonts w:asciiTheme="majorBidi" w:hAnsiTheme="majorBidi" w:cstheme="majorBidi"/>
          <w:b/>
          <w:bCs/>
          <w:sz w:val="24"/>
          <w:szCs w:val="24"/>
        </w:rPr>
      </w:pPr>
    </w:p>
    <w:p w14:paraId="3A13C21B" w14:textId="7F42B53E"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2.7 Analytical Frameworks: SWOT, PESTLE, and Porter’s Five Forces</w:t>
      </w:r>
    </w:p>
    <w:p w14:paraId="230A589B"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Analytical tools like SWOT, PESTLE, and Porter’s Five Forces are widely used in strategic planning and provide a structured way to assess a company’s situation and its business environment. Although these are more tools than literature per se, there is meta-literature on their application and value. This study employs these frameworks to structure the analysis of findings, so it’s important to outline them:</w:t>
      </w:r>
    </w:p>
    <w:p w14:paraId="5EF60122" w14:textId="24CE692D" w:rsidR="00A70905" w:rsidRPr="00A70905" w:rsidRDefault="00A70905" w:rsidP="00EB2BA1">
      <w:pPr>
        <w:numPr>
          <w:ilvl w:val="0"/>
          <w:numId w:val="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SWOT Analysis (Strengths, Weaknesses, Opportunities, Threats):</w:t>
      </w:r>
      <w:r w:rsidRPr="00A70905">
        <w:rPr>
          <w:rFonts w:asciiTheme="majorBidi" w:hAnsiTheme="majorBidi" w:cstheme="majorBidi"/>
          <w:sz w:val="24"/>
          <w:szCs w:val="24"/>
        </w:rPr>
        <w:t xml:space="preserve"> SWOT is a simple yet powerful tool for summarizing internal and external factors. Strengths and weaknesses are internal to the company (or in our case, common internal attributes of companies in the sector), while opportunities and threats are external elements of the environment. For an electrical/electronics company operating or entering Saudi’s energy sector, some typical elements might be: </w:t>
      </w:r>
      <w:r w:rsidRPr="00A70905">
        <w:rPr>
          <w:rFonts w:asciiTheme="majorBidi" w:hAnsiTheme="majorBidi" w:cstheme="majorBidi"/>
          <w:b/>
          <w:bCs/>
          <w:sz w:val="24"/>
          <w:szCs w:val="24"/>
        </w:rPr>
        <w:t>Strengths</w:t>
      </w:r>
      <w:r w:rsidRPr="00A70905">
        <w:rPr>
          <w:rFonts w:asciiTheme="majorBidi" w:hAnsiTheme="majorBidi" w:cstheme="majorBidi"/>
          <w:sz w:val="24"/>
          <w:szCs w:val="24"/>
        </w:rPr>
        <w:t xml:space="preserve"> proprietary technology, strong brand, financial backing, or a skilled workforce; </w:t>
      </w:r>
      <w:r w:rsidRPr="00A70905">
        <w:rPr>
          <w:rFonts w:asciiTheme="majorBidi" w:hAnsiTheme="majorBidi" w:cstheme="majorBidi"/>
          <w:b/>
          <w:bCs/>
          <w:sz w:val="24"/>
          <w:szCs w:val="24"/>
        </w:rPr>
        <w:t>Weaknesses</w:t>
      </w:r>
      <w:r w:rsidRPr="00A70905">
        <w:rPr>
          <w:rFonts w:asciiTheme="majorBidi" w:hAnsiTheme="majorBidi" w:cstheme="majorBidi"/>
          <w:sz w:val="24"/>
          <w:szCs w:val="24"/>
        </w:rPr>
        <w:t xml:space="preserve"> limited local presence, higher costs, or lack of market experience; </w:t>
      </w:r>
      <w:r w:rsidRPr="00A70905">
        <w:rPr>
          <w:rFonts w:asciiTheme="majorBidi" w:hAnsiTheme="majorBidi" w:cstheme="majorBidi"/>
          <w:b/>
          <w:bCs/>
          <w:sz w:val="24"/>
          <w:szCs w:val="24"/>
        </w:rPr>
        <w:t>Opportunities</w:t>
      </w:r>
      <w:r w:rsidRPr="00A70905">
        <w:rPr>
          <w:rFonts w:asciiTheme="majorBidi" w:hAnsiTheme="majorBidi" w:cstheme="majorBidi"/>
          <w:sz w:val="24"/>
          <w:szCs w:val="24"/>
        </w:rPr>
        <w:t xml:space="preserve"> large-scale government projects, demand for new energy solutions, supportive policies; </w:t>
      </w:r>
      <w:r w:rsidRPr="00A70905">
        <w:rPr>
          <w:rFonts w:asciiTheme="majorBidi" w:hAnsiTheme="majorBidi" w:cstheme="majorBidi"/>
          <w:b/>
          <w:bCs/>
          <w:sz w:val="24"/>
          <w:szCs w:val="24"/>
        </w:rPr>
        <w:t>Threats</w:t>
      </w:r>
      <w:r w:rsidRPr="00A70905">
        <w:rPr>
          <w:rFonts w:asciiTheme="majorBidi" w:hAnsiTheme="majorBidi" w:cstheme="majorBidi"/>
          <w:sz w:val="24"/>
          <w:szCs w:val="24"/>
        </w:rPr>
        <w:t xml:space="preserve"> strong competition, regulatory changes, or economic volatility. The value of SWOT is in matching strengths to opportunities and converting weaknesses while mitigating threats (</w:t>
      </w:r>
      <w:proofErr w:type="spellStart"/>
      <w:r w:rsidRPr="00A70905">
        <w:rPr>
          <w:rFonts w:asciiTheme="majorBidi" w:hAnsiTheme="majorBidi" w:cstheme="majorBidi"/>
          <w:sz w:val="24"/>
          <w:szCs w:val="24"/>
        </w:rPr>
        <w:t>Weihrich</w:t>
      </w:r>
      <w:proofErr w:type="spellEnd"/>
      <w:r w:rsidRPr="00A70905">
        <w:rPr>
          <w:rFonts w:asciiTheme="majorBidi" w:hAnsiTheme="majorBidi" w:cstheme="majorBidi"/>
          <w:sz w:val="24"/>
          <w:szCs w:val="24"/>
        </w:rPr>
        <w:t>, 1982). For example, a firm might decide to leverage its strength in innovation to seize the opportunity of Saudi’s push for smart grid upgrades, while addressing the weakness of having no local team by hiring and training local engineers to mitigate the threat of not meeting localization requirements. Our literature review doesn’t provide a specific new theory on SWOT it’s a well-established approach but we will use it to summarize insights from the data. Indeed, Rahman et al. (2020) used a SWOT approach to discuss SME prospects (as mentioned above), showing its usefulness in this context.</w:t>
      </w:r>
    </w:p>
    <w:p w14:paraId="1E96527D" w14:textId="75A0626C" w:rsidR="00A70905" w:rsidRPr="00A70905" w:rsidRDefault="00A70905" w:rsidP="00EB2BA1">
      <w:pPr>
        <w:numPr>
          <w:ilvl w:val="0"/>
          <w:numId w:val="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PESTLE Analysis (Political, Economic, Social, Technological, Legal, Environmental factors):</w:t>
      </w:r>
      <w:r w:rsidRPr="00A70905">
        <w:rPr>
          <w:rFonts w:asciiTheme="majorBidi" w:hAnsiTheme="majorBidi" w:cstheme="majorBidi"/>
          <w:sz w:val="24"/>
          <w:szCs w:val="24"/>
        </w:rPr>
        <w:t xml:space="preserve"> PESTLE offers a checklist for examining the macro-environment of a business. We already discussed many of these factors in section 2.2. To recap in PESTLE terms for Saudi energy: </w:t>
      </w:r>
      <w:r w:rsidRPr="00A70905">
        <w:rPr>
          <w:rFonts w:asciiTheme="majorBidi" w:hAnsiTheme="majorBidi" w:cstheme="majorBidi"/>
          <w:b/>
          <w:bCs/>
          <w:sz w:val="24"/>
          <w:szCs w:val="24"/>
        </w:rPr>
        <w:t>Political</w:t>
      </w:r>
      <w:r w:rsidRPr="00A70905">
        <w:rPr>
          <w:rFonts w:asciiTheme="majorBidi" w:hAnsiTheme="majorBidi" w:cstheme="majorBidi"/>
          <w:sz w:val="24"/>
          <w:szCs w:val="24"/>
        </w:rPr>
        <w:t xml:space="preserve"> factors include </w:t>
      </w:r>
      <w:r w:rsidRPr="00A70905">
        <w:rPr>
          <w:rFonts w:asciiTheme="majorBidi" w:hAnsiTheme="majorBidi" w:cstheme="majorBidi"/>
          <w:sz w:val="24"/>
          <w:szCs w:val="24"/>
        </w:rPr>
        <w:lastRenderedPageBreak/>
        <w:t xml:space="preserve">government stability and support (Saudi government is stable and strongly supporting energy diversification), geopolitical relationships (which can influence partnerships, e.g., Saudi’s growing ties with China might mean more Chinese competitors or opportunities). </w:t>
      </w:r>
      <w:r w:rsidRPr="00A70905">
        <w:rPr>
          <w:rFonts w:asciiTheme="majorBidi" w:hAnsiTheme="majorBidi" w:cstheme="majorBidi"/>
          <w:b/>
          <w:bCs/>
          <w:sz w:val="24"/>
          <w:szCs w:val="24"/>
        </w:rPr>
        <w:t>Economic</w:t>
      </w:r>
      <w:r w:rsidRPr="00A70905">
        <w:rPr>
          <w:rFonts w:asciiTheme="majorBidi" w:hAnsiTheme="majorBidi" w:cstheme="majorBidi"/>
          <w:sz w:val="24"/>
          <w:szCs w:val="24"/>
        </w:rPr>
        <w:t xml:space="preserve"> factors involve oil price fluctuations, state spending levels, and economic growth (Saudi’s economy is big and government spending is robust, but dependent on oil revenues which can introduce cyclical risk). </w:t>
      </w:r>
      <w:r w:rsidRPr="00A70905">
        <w:rPr>
          <w:rFonts w:asciiTheme="majorBidi" w:hAnsiTheme="majorBidi" w:cstheme="majorBidi"/>
          <w:b/>
          <w:bCs/>
          <w:sz w:val="24"/>
          <w:szCs w:val="24"/>
        </w:rPr>
        <w:t>Social</w:t>
      </w:r>
      <w:r w:rsidRPr="00A70905">
        <w:rPr>
          <w:rFonts w:asciiTheme="majorBidi" w:hAnsiTheme="majorBidi" w:cstheme="majorBidi"/>
          <w:sz w:val="24"/>
          <w:szCs w:val="24"/>
        </w:rPr>
        <w:t xml:space="preserve"> factors include demographic trends (young population with growing electricity demand, public support for renewable energy as part of a cleaner future, societal push for more employment of nationals, etc.). </w:t>
      </w:r>
      <w:r w:rsidRPr="00A70905">
        <w:rPr>
          <w:rFonts w:asciiTheme="majorBidi" w:hAnsiTheme="majorBidi" w:cstheme="majorBidi"/>
          <w:b/>
          <w:bCs/>
          <w:sz w:val="24"/>
          <w:szCs w:val="24"/>
        </w:rPr>
        <w:t>Technological</w:t>
      </w:r>
      <w:r w:rsidRPr="00A70905">
        <w:rPr>
          <w:rFonts w:asciiTheme="majorBidi" w:hAnsiTheme="majorBidi" w:cstheme="majorBidi"/>
          <w:sz w:val="24"/>
          <w:szCs w:val="24"/>
        </w:rPr>
        <w:t xml:space="preserve"> factors cover the rate of tech adoption in KSA (high in mega-projects like NEOM, interest in cutting-edge tech, but also the need to integrate with legacy systems). </w:t>
      </w:r>
      <w:r w:rsidRPr="00A70905">
        <w:rPr>
          <w:rFonts w:asciiTheme="majorBidi" w:hAnsiTheme="majorBidi" w:cstheme="majorBidi"/>
          <w:b/>
          <w:bCs/>
          <w:sz w:val="24"/>
          <w:szCs w:val="24"/>
        </w:rPr>
        <w:t>Legal</w:t>
      </w:r>
      <w:r w:rsidRPr="00A70905">
        <w:rPr>
          <w:rFonts w:asciiTheme="majorBidi" w:hAnsiTheme="majorBidi" w:cstheme="majorBidi"/>
          <w:sz w:val="24"/>
          <w:szCs w:val="24"/>
        </w:rPr>
        <w:t xml:space="preserve"> factors involve the regulatory changes in investment, labor law (Saudization rules), local content laws, and contract enforcement (improving but with local specifics). </w:t>
      </w:r>
      <w:r w:rsidRPr="00A70905">
        <w:rPr>
          <w:rFonts w:asciiTheme="majorBidi" w:hAnsiTheme="majorBidi" w:cstheme="majorBidi"/>
          <w:b/>
          <w:bCs/>
          <w:sz w:val="24"/>
          <w:szCs w:val="24"/>
        </w:rPr>
        <w:t>Environmental</w:t>
      </w:r>
      <w:r w:rsidRPr="00A70905">
        <w:rPr>
          <w:rFonts w:asciiTheme="majorBidi" w:hAnsiTheme="majorBidi" w:cstheme="majorBidi"/>
          <w:sz w:val="24"/>
          <w:szCs w:val="24"/>
        </w:rPr>
        <w:t xml:space="preserve"> factors are increasingly significant e.g., extreme heat environment affecting tech choices, Saudi’s climate commitments pushing renewables, and need for environmental standards compliance. By analyzing these, companies can contextualize why certain strategies (like partnership or localization) are needed for instance, the </w:t>
      </w:r>
      <w:r w:rsidRPr="00A70905">
        <w:rPr>
          <w:rFonts w:asciiTheme="majorBidi" w:hAnsiTheme="majorBidi" w:cstheme="majorBidi"/>
          <w:b/>
          <w:bCs/>
          <w:sz w:val="24"/>
          <w:szCs w:val="24"/>
        </w:rPr>
        <w:t>Political</w:t>
      </w:r>
      <w:r w:rsidRPr="00A70905">
        <w:rPr>
          <w:rFonts w:asciiTheme="majorBidi" w:hAnsiTheme="majorBidi" w:cstheme="majorBidi"/>
          <w:sz w:val="24"/>
          <w:szCs w:val="24"/>
        </w:rPr>
        <w:t xml:space="preserve"> support for localization and the </w:t>
      </w:r>
      <w:r w:rsidRPr="00A70905">
        <w:rPr>
          <w:rFonts w:asciiTheme="majorBidi" w:hAnsiTheme="majorBidi" w:cstheme="majorBidi"/>
          <w:b/>
          <w:bCs/>
          <w:sz w:val="24"/>
          <w:szCs w:val="24"/>
        </w:rPr>
        <w:t>Legal</w:t>
      </w:r>
      <w:r w:rsidRPr="00A70905">
        <w:rPr>
          <w:rFonts w:asciiTheme="majorBidi" w:hAnsiTheme="majorBidi" w:cstheme="majorBidi"/>
          <w:sz w:val="24"/>
          <w:szCs w:val="24"/>
        </w:rPr>
        <w:t xml:space="preserve"> requirement (IKTVA) drive partnership strategies; the </w:t>
      </w:r>
      <w:r w:rsidRPr="00A70905">
        <w:rPr>
          <w:rFonts w:asciiTheme="majorBidi" w:hAnsiTheme="majorBidi" w:cstheme="majorBidi"/>
          <w:b/>
          <w:bCs/>
          <w:sz w:val="24"/>
          <w:szCs w:val="24"/>
        </w:rPr>
        <w:t>Technological</w:t>
      </w:r>
      <w:r w:rsidRPr="00A70905">
        <w:rPr>
          <w:rFonts w:asciiTheme="majorBidi" w:hAnsiTheme="majorBidi" w:cstheme="majorBidi"/>
          <w:sz w:val="24"/>
          <w:szCs w:val="24"/>
        </w:rPr>
        <w:t xml:space="preserve"> trend towards digitalization pushes companies to innovate, etc. This study will create a PESTLE summary to ensure our analysis covers all external angles.</w:t>
      </w:r>
    </w:p>
    <w:p w14:paraId="07E756C9" w14:textId="16D3A629" w:rsidR="00A70905" w:rsidRPr="00A70905" w:rsidRDefault="00A70905" w:rsidP="00EB2BA1">
      <w:pPr>
        <w:numPr>
          <w:ilvl w:val="0"/>
          <w:numId w:val="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Porter’s Five Forces (Industry Competitiveness):</w:t>
      </w:r>
      <w:r w:rsidRPr="00A70905">
        <w:rPr>
          <w:rFonts w:asciiTheme="majorBidi" w:hAnsiTheme="majorBidi" w:cstheme="majorBidi"/>
          <w:sz w:val="24"/>
          <w:szCs w:val="24"/>
        </w:rPr>
        <w:t xml:space="preserve"> Porter’s model (Porter, 1980) examines the five forces that shape industry competition: threat of new entrants, bargaining power of suppliers, bargaining power of buyers, threat of substitutes, and rivalry among existing firms. For the Saudi energy sector (specifically for providers of energy technology/services), we can conceptualize it as follows: </w:t>
      </w:r>
      <w:r w:rsidRPr="00A70905">
        <w:rPr>
          <w:rFonts w:asciiTheme="majorBidi" w:hAnsiTheme="majorBidi" w:cstheme="majorBidi"/>
          <w:b/>
          <w:bCs/>
          <w:sz w:val="24"/>
          <w:szCs w:val="24"/>
        </w:rPr>
        <w:t>Threat of New Entrants</w:t>
      </w:r>
      <w:r w:rsidRPr="00A70905">
        <w:rPr>
          <w:rFonts w:asciiTheme="majorBidi" w:hAnsiTheme="majorBidi" w:cstheme="majorBidi"/>
          <w:sz w:val="24"/>
          <w:szCs w:val="24"/>
        </w:rPr>
        <w:t xml:space="preserve"> moderate to high because the market is attractive (big projects) but new entrants face barriers like need for local partner, capital requirement, and established incumbents’ relationships. However, government policies somewhat lower barriers for desired entrants (like offering incentives to </w:t>
      </w:r>
      <w:r w:rsidRPr="00A70905">
        <w:rPr>
          <w:rFonts w:asciiTheme="majorBidi" w:hAnsiTheme="majorBidi" w:cstheme="majorBidi"/>
          <w:sz w:val="24"/>
          <w:szCs w:val="24"/>
        </w:rPr>
        <w:lastRenderedPageBreak/>
        <w:t xml:space="preserve">attract them). </w:t>
      </w:r>
      <w:r w:rsidRPr="00A70905">
        <w:rPr>
          <w:rFonts w:asciiTheme="majorBidi" w:hAnsiTheme="majorBidi" w:cstheme="majorBidi"/>
          <w:b/>
          <w:bCs/>
          <w:sz w:val="24"/>
          <w:szCs w:val="24"/>
        </w:rPr>
        <w:t>Supplier Power</w:t>
      </w:r>
      <w:r w:rsidRPr="00A70905">
        <w:rPr>
          <w:rFonts w:asciiTheme="majorBidi" w:hAnsiTheme="majorBidi" w:cstheme="majorBidi"/>
          <w:sz w:val="24"/>
          <w:szCs w:val="24"/>
        </w:rPr>
        <w:t xml:space="preserve"> if we consider suppliers to, say, an equipment manufacturer: component suppliers are many (global supply), so not very strong, but specialized local subcontractors or skilled labor might have some power due to scarcity. </w:t>
      </w:r>
      <w:r w:rsidRPr="00A70905">
        <w:rPr>
          <w:rFonts w:asciiTheme="majorBidi" w:hAnsiTheme="majorBidi" w:cstheme="majorBidi"/>
          <w:b/>
          <w:bCs/>
          <w:sz w:val="24"/>
          <w:szCs w:val="24"/>
        </w:rPr>
        <w:t>Buyer Power</w:t>
      </w:r>
      <w:r w:rsidRPr="00A70905">
        <w:rPr>
          <w:rFonts w:asciiTheme="majorBidi" w:hAnsiTheme="majorBidi" w:cstheme="majorBidi"/>
          <w:sz w:val="24"/>
          <w:szCs w:val="24"/>
        </w:rPr>
        <w:t xml:space="preserve"> very high, since buyers are often huge entities like Aramco, SEC, etc., who can dictate terms and demand localization and low prices. There are few buyers that make big purchases, giving them leverage. </w:t>
      </w:r>
      <w:r w:rsidRPr="00A70905">
        <w:rPr>
          <w:rFonts w:asciiTheme="majorBidi" w:hAnsiTheme="majorBidi" w:cstheme="majorBidi"/>
          <w:b/>
          <w:bCs/>
          <w:sz w:val="24"/>
          <w:szCs w:val="24"/>
        </w:rPr>
        <w:t>Substitute Threat</w:t>
      </w:r>
      <w:r w:rsidRPr="00A70905">
        <w:rPr>
          <w:rFonts w:asciiTheme="majorBidi" w:hAnsiTheme="majorBidi" w:cstheme="majorBidi"/>
          <w:sz w:val="24"/>
          <w:szCs w:val="24"/>
        </w:rPr>
        <w:t xml:space="preserve"> in energy, substitutes can mean alternate solutions (e.g., instead of building new power plants, invest in energy efficiency or let users self-generate with solar). As the sector transitions, there is a threat to traditional technologies from new ones (e.g., solar + storage substituting gas </w:t>
      </w:r>
      <w:proofErr w:type="spellStart"/>
      <w:r w:rsidRPr="00A70905">
        <w:rPr>
          <w:rFonts w:asciiTheme="majorBidi" w:hAnsiTheme="majorBidi" w:cstheme="majorBidi"/>
          <w:sz w:val="24"/>
          <w:szCs w:val="24"/>
        </w:rPr>
        <w:t>peaker</w:t>
      </w:r>
      <w:proofErr w:type="spellEnd"/>
      <w:r w:rsidRPr="00A70905">
        <w:rPr>
          <w:rFonts w:asciiTheme="majorBidi" w:hAnsiTheme="majorBidi" w:cstheme="majorBidi"/>
          <w:sz w:val="24"/>
          <w:szCs w:val="24"/>
        </w:rPr>
        <w:t xml:space="preserve"> plants). For an equipment supplier, a substitute might be the client deciding not to buy new equipment at all and refurbish old ones (a “do nothing” substitute). In Saudi’s push for low-carbon tech, companies tied to old tech face substitution threat if they don’t pivot. </w:t>
      </w:r>
      <w:r w:rsidRPr="00A70905">
        <w:rPr>
          <w:rFonts w:asciiTheme="majorBidi" w:hAnsiTheme="majorBidi" w:cstheme="majorBidi"/>
          <w:b/>
          <w:bCs/>
          <w:sz w:val="24"/>
          <w:szCs w:val="24"/>
        </w:rPr>
        <w:t>Rivalry</w:t>
      </w:r>
      <w:r w:rsidRPr="00A70905">
        <w:rPr>
          <w:rFonts w:asciiTheme="majorBidi" w:hAnsiTheme="majorBidi" w:cstheme="majorBidi"/>
          <w:sz w:val="24"/>
          <w:szCs w:val="24"/>
        </w:rPr>
        <w:t xml:space="preserve"> extremely high among existing competitors, as multiple global and local players vie for large contracts, often engaging in price wars and aggressive localization to win deals. Rivalry is exacerbated by the fact that when one segment (oil) slows, those firms jump into another (renewables), increasing competition there too. Also, many partnerships can blur rivalry sometimes competitors one day become partners on a project the next (coopetition), which is common in large projects where consortia are formed. Summarily, Porter’s forces in our context explain why firms must be strategic: e.g., high buyer power means firms need either unique tech (to reduce buyer power) or they must accept low margins; high rivalry means they should differentiate or form alliances to avoid cut-throat competition; threat of entrants and substitutes means continuous innovation is needed to stay ahead. We will explicitly analyze these forces to support our conclusions about strategy needs.</w:t>
      </w:r>
    </w:p>
    <w:p w14:paraId="50F91A89" w14:textId="48765160"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literature, these tools are sometimes critiqued (for instance, SWOT can be too static or subjective; Five Forces may not account for collaboration in ecosystems). But they remain popular for structuring analysis. In our application, we use them not as rigid scientific outputs but as </w:t>
      </w:r>
      <w:r w:rsidRPr="00A70905">
        <w:rPr>
          <w:rFonts w:asciiTheme="majorBidi" w:hAnsiTheme="majorBidi" w:cstheme="majorBidi"/>
          <w:b/>
          <w:bCs/>
          <w:sz w:val="24"/>
          <w:szCs w:val="24"/>
        </w:rPr>
        <w:t>sense-making frameworks</w:t>
      </w:r>
      <w:r w:rsidRPr="00A70905">
        <w:rPr>
          <w:rFonts w:asciiTheme="majorBidi" w:hAnsiTheme="majorBidi" w:cstheme="majorBidi"/>
          <w:sz w:val="24"/>
          <w:szCs w:val="24"/>
        </w:rPr>
        <w:t xml:space="preserve">. By using SWOT and PESTLE in Chapter 5, we ensure we haven’t missed any key point when synthesizing our findings. </w:t>
      </w:r>
      <w:r w:rsidRPr="00A70905">
        <w:rPr>
          <w:rFonts w:asciiTheme="majorBidi" w:hAnsiTheme="majorBidi" w:cstheme="majorBidi"/>
          <w:sz w:val="24"/>
          <w:szCs w:val="24"/>
        </w:rPr>
        <w:lastRenderedPageBreak/>
        <w:t>By using Five Forces, we can articulate how the competitive environment in Saudi drives certain strategic imperatives (like why partnership is almost necessary partially because of high buyer power and entry barriers “partnership is the price of entry” as we conclude).</w:t>
      </w:r>
    </w:p>
    <w:p w14:paraId="3D42FE9E" w14:textId="63ECC179" w:rsidR="00960AEC" w:rsidRDefault="00A70905" w:rsidP="00D760CC">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summary, </w:t>
      </w:r>
      <w:r w:rsidRPr="00A70905">
        <w:rPr>
          <w:rFonts w:asciiTheme="majorBidi" w:hAnsiTheme="majorBidi" w:cstheme="majorBidi"/>
          <w:b/>
          <w:bCs/>
          <w:sz w:val="24"/>
          <w:szCs w:val="24"/>
        </w:rPr>
        <w:t>SWOT, PESTLE, and Five Forces</w:t>
      </w:r>
      <w:r w:rsidRPr="00A70905">
        <w:rPr>
          <w:rFonts w:asciiTheme="majorBidi" w:hAnsiTheme="majorBidi" w:cstheme="majorBidi"/>
          <w:sz w:val="24"/>
          <w:szCs w:val="24"/>
        </w:rPr>
        <w:t xml:space="preserve"> are valuable lenses through which the existing literature and industry reports have analyzed markets, and they provide a foundation for the strategic analysis conducted in this study. Proper application of these tools, supported by evidence from our case studies and data, ensures that the study’s findings and recommendations are grounded in a comprehensive understanding of both internal company dynamics and external market forces.</w:t>
      </w:r>
    </w:p>
    <w:p w14:paraId="4FE09B52" w14:textId="77777777" w:rsidR="00D760CC" w:rsidRPr="00D760CC" w:rsidRDefault="00D760CC" w:rsidP="00D760CC">
      <w:pPr>
        <w:spacing w:line="360" w:lineRule="auto"/>
        <w:rPr>
          <w:rFonts w:asciiTheme="majorBidi" w:hAnsiTheme="majorBidi" w:cstheme="majorBidi"/>
          <w:sz w:val="24"/>
          <w:szCs w:val="24"/>
        </w:rPr>
      </w:pPr>
    </w:p>
    <w:p w14:paraId="4D2CB0F0" w14:textId="3BB22BB1"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2.8 Review of Previous Studies and Research Gap</w:t>
      </w:r>
    </w:p>
    <w:p w14:paraId="468CC153"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 review of previous academic and industry studies reveals that while there is literature on Saudi Arabia’s economic diversification and some aspects of its energy sector, few studies have specifically focused on business development strategies for electrical and electronics companies within the Saudi energy sector. This section highlights some relevant studies and situates the current research in relation to them, thereby identifying the research gap that this thesis addresses.</w:t>
      </w:r>
    </w:p>
    <w:p w14:paraId="20E17AB3" w14:textId="2F22E693" w:rsidR="00A70905" w:rsidRPr="00A70905" w:rsidRDefault="00A70905" w:rsidP="00EB2BA1">
      <w:pPr>
        <w:numPr>
          <w:ilvl w:val="0"/>
          <w:numId w:val="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1 Energy Sector Diversification Strategies: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Al-Fattah and Sheikh (2024)</w:t>
      </w:r>
      <w:r w:rsidRPr="00A70905">
        <w:rPr>
          <w:rFonts w:asciiTheme="majorBidi" w:hAnsiTheme="majorBidi" w:cstheme="majorBidi"/>
          <w:sz w:val="24"/>
          <w:szCs w:val="24"/>
        </w:rPr>
        <w:t xml:space="preserve"> provided a broad review of Saudi Arabia’s energy diversification initiatives over the last decade. They examined literature across areas like renewable energy policy, private sector participation, and the economic impacts of the energy transition. They found that historically, factors such as policy uncertainty and the entrenched dominance of the oil sector discouraged private investment in renewables. However, after 2016, with Vision 2030 setting clear targets and transparent tender programs (like those under the Renewable Energy Project Development Office, REPDO), private sector engagement improved significantly. While this review covered macro-level policy and outcomes, it noted the need for more micro-level research on how individual firms actually </w:t>
      </w:r>
      <w:r w:rsidRPr="00A70905">
        <w:rPr>
          <w:rFonts w:asciiTheme="majorBidi" w:hAnsiTheme="majorBidi" w:cstheme="majorBidi"/>
          <w:sz w:val="24"/>
          <w:szCs w:val="24"/>
        </w:rPr>
        <w:lastRenderedPageBreak/>
        <w:t xml:space="preserve">navigate the new policy landscape. </w:t>
      </w:r>
      <w:r w:rsidRPr="00A70905">
        <w:rPr>
          <w:rFonts w:asciiTheme="majorBidi" w:hAnsiTheme="majorBidi" w:cstheme="majorBidi"/>
          <w:i/>
          <w:iCs/>
          <w:sz w:val="24"/>
          <w:szCs w:val="24"/>
        </w:rPr>
        <w:t>The current research picks up on that call</w:t>
      </w:r>
      <w:r w:rsidRPr="00A70905">
        <w:rPr>
          <w:rFonts w:asciiTheme="majorBidi" w:hAnsiTheme="majorBidi" w:cstheme="majorBidi"/>
          <w:sz w:val="24"/>
          <w:szCs w:val="24"/>
        </w:rPr>
        <w:t xml:space="preserve"> by looking at firm-level strategies “on the ground” essentially diving into the practical business approaches that companies are using, which Al-Fattah and Sheikh acknowledged as an area they did not detail.</w:t>
      </w:r>
    </w:p>
    <w:p w14:paraId="052CEDF0" w14:textId="000CA0DC" w:rsidR="00A70905" w:rsidRPr="00A70905" w:rsidRDefault="00A70905" w:rsidP="00EB2BA1">
      <w:pPr>
        <w:numPr>
          <w:ilvl w:val="0"/>
          <w:numId w:val="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2 Role of Local Content Requirements: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Ahmed (2021)</w:t>
      </w:r>
      <w:r w:rsidRPr="00A70905">
        <w:rPr>
          <w:rFonts w:asciiTheme="majorBidi" w:hAnsiTheme="majorBidi" w:cstheme="majorBidi"/>
          <w:sz w:val="24"/>
          <w:szCs w:val="24"/>
        </w:rPr>
        <w:t xml:space="preserve"> studied the impact of localization policies (like IKTVA) on foreign companies’ strategies in Saudi’s oil &amp; gas sector. Through interviews with executives in international oilfield services companies, Ahmed’s research concluded that companies initially saw local content requirements as a burden or extra cost. But those who adapted by forming local partnerships or establishing local facilities ended up improving their market standing. For instance, companies that invested in local manufacturing or training centers not only complied with IKTVA but also reaped benefits like reduced import costs and better relationships with clients and regulators. Ahmed’s study focused on established oilfield service firms and did not cover newer sectors like renewables or firms specifically in electrical equipment. It highlighted strategic responses (JVs, supplier development programs) as keys to meeting policy demands. </w:t>
      </w:r>
      <w:r w:rsidRPr="00A70905">
        <w:rPr>
          <w:rFonts w:asciiTheme="majorBidi" w:hAnsiTheme="majorBidi" w:cstheme="majorBidi"/>
          <w:i/>
          <w:iCs/>
          <w:sz w:val="24"/>
          <w:szCs w:val="24"/>
        </w:rPr>
        <w:t>Our study extends this insight</w:t>
      </w:r>
      <w:r w:rsidRPr="00A70905">
        <w:rPr>
          <w:rFonts w:asciiTheme="majorBidi" w:hAnsiTheme="majorBidi" w:cstheme="majorBidi"/>
          <w:sz w:val="24"/>
          <w:szCs w:val="24"/>
        </w:rPr>
        <w:t xml:space="preserve"> to electrical/electronics firms and the renewables sector, examining whether similar patterns hold (we anticipate they do e.g., foreign electrical equipment suppliers setting up joint ventures to meet IKTVA and winning more contracts as a result).</w:t>
      </w:r>
    </w:p>
    <w:p w14:paraId="27B0B98D" w14:textId="7F83D489" w:rsidR="00A70905" w:rsidRPr="00A70905" w:rsidRDefault="00A70905" w:rsidP="00EB2BA1">
      <w:pPr>
        <w:numPr>
          <w:ilvl w:val="0"/>
          <w:numId w:val="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3 Open Innovation in Saudi Energy Companies: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Al-Ghamdi and Bhatti (2022)</w:t>
      </w:r>
      <w:r w:rsidRPr="00A70905">
        <w:rPr>
          <w:rFonts w:asciiTheme="majorBidi" w:hAnsiTheme="majorBidi" w:cstheme="majorBidi"/>
          <w:sz w:val="24"/>
          <w:szCs w:val="24"/>
        </w:rPr>
        <w:t xml:space="preserve"> investigated how open innovation practices influence performance in large Saudi oil/petrochemical companies. Using a combination of surveys and case studies, they found a positive correlation between external collaboration (with universities, international partners, etc.) and innovation performance (measured by patents and successful new products). One case highlighted was Saudi Aramco’s collaborations with international research centers, which helped accelerate certain technology developments. While this study confirmed the importance of open innovation, it centered on very large enterprises (Aramco, SABIC) and their internal R&amp;D metrics. It didn’t address </w:t>
      </w:r>
      <w:r w:rsidRPr="00A70905">
        <w:rPr>
          <w:rFonts w:asciiTheme="majorBidi" w:hAnsiTheme="majorBidi" w:cstheme="majorBidi"/>
          <w:sz w:val="24"/>
          <w:szCs w:val="24"/>
        </w:rPr>
        <w:lastRenderedPageBreak/>
        <w:t>smaller firms or companies in the electrical/</w:t>
      </w:r>
      <w:proofErr w:type="spellStart"/>
      <w:r w:rsidRPr="00A70905">
        <w:rPr>
          <w:rFonts w:asciiTheme="majorBidi" w:hAnsiTheme="majorBidi" w:cstheme="majorBidi"/>
          <w:sz w:val="24"/>
          <w:szCs w:val="24"/>
        </w:rPr>
        <w:t>electronics</w:t>
      </w:r>
      <w:proofErr w:type="spellEnd"/>
      <w:r w:rsidRPr="00A70905">
        <w:rPr>
          <w:rFonts w:asciiTheme="majorBidi" w:hAnsiTheme="majorBidi" w:cstheme="majorBidi"/>
          <w:sz w:val="24"/>
          <w:szCs w:val="24"/>
        </w:rPr>
        <w:t xml:space="preserve"> sub-sector. </w:t>
      </w:r>
      <w:r w:rsidRPr="00A70905">
        <w:rPr>
          <w:rFonts w:asciiTheme="majorBidi" w:hAnsiTheme="majorBidi" w:cstheme="majorBidi"/>
          <w:i/>
          <w:iCs/>
          <w:sz w:val="24"/>
          <w:szCs w:val="24"/>
        </w:rPr>
        <w:t>Our research builds on the notion that open innovation is beneficial</w:t>
      </w:r>
      <w:r w:rsidRPr="00A70905">
        <w:rPr>
          <w:rFonts w:asciiTheme="majorBidi" w:hAnsiTheme="majorBidi" w:cstheme="majorBidi"/>
          <w:sz w:val="24"/>
          <w:szCs w:val="24"/>
        </w:rPr>
        <w:t>, but applies it to a different set of companies (including mid-sized tech firms) and looks at broader business growth outcomes, not just R&amp;D outputs. We consider, for example, how collaborating with a local university or startup might help a company enter the market with a more tailored product, which is a more immediate business outcome than patents.</w:t>
      </w:r>
    </w:p>
    <w:p w14:paraId="41CB13E4" w14:textId="0E221269" w:rsidR="00A70905" w:rsidRPr="00A70905" w:rsidRDefault="00A70905" w:rsidP="00EB2BA1">
      <w:pPr>
        <w:numPr>
          <w:ilvl w:val="0"/>
          <w:numId w:val="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4 SMEs and Energy Sector Opportunities:</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Rahman et al. (2020)</w:t>
      </w:r>
      <w:r w:rsidRPr="00A70905">
        <w:rPr>
          <w:rFonts w:asciiTheme="majorBidi" w:hAnsiTheme="majorBidi" w:cstheme="majorBidi"/>
          <w:sz w:val="24"/>
          <w:szCs w:val="24"/>
        </w:rPr>
        <w:t xml:space="preserve"> examined how Vision 2030 might create opportunities for SMEs in the energy sector. Using a SWOT-based analysis, they concluded that Vision 2030 presents significant opportunities such as government funding for startups, incubators for energy tech, and increased demand in new areas (solar installation, energy efficiency services). However, they also pointed out weaknesses like SMEs’ lack of scale and technical expertise, and threats like competition from established foreign firms. They recommended more support to help SMEs partner with larger companies as a way to overcome their limitations. This aligns with our focus on partnerships and capacity building. Rahman et al.’s work was more of a general strategic assessment and did not provide primary data from companies; it was more forward-looking and speculative. </w:t>
      </w:r>
      <w:r w:rsidRPr="00A70905">
        <w:rPr>
          <w:rFonts w:asciiTheme="majorBidi" w:hAnsiTheme="majorBidi" w:cstheme="majorBidi"/>
          <w:i/>
          <w:iCs/>
          <w:sz w:val="24"/>
          <w:szCs w:val="24"/>
        </w:rPr>
        <w:t>The present research adds primary data and case evidence</w:t>
      </w:r>
      <w:r w:rsidRPr="00A70905">
        <w:rPr>
          <w:rFonts w:asciiTheme="majorBidi" w:hAnsiTheme="majorBidi" w:cstheme="majorBidi"/>
          <w:sz w:val="24"/>
          <w:szCs w:val="24"/>
        </w:rPr>
        <w:t xml:space="preserve"> to validate and enrich some of those strategic assessments for example, we provide on-the-ground examples of SMEs forming partnerships with big companies and how that played out, thereby giving concrete evidence to support or refine Rahman et al.’s recommendations.</w:t>
      </w:r>
    </w:p>
    <w:p w14:paraId="26C6D81D" w14:textId="4C29059C" w:rsidR="00A70905" w:rsidRPr="00A70905" w:rsidRDefault="00A70905" w:rsidP="00EB2BA1">
      <w:pPr>
        <w:numPr>
          <w:ilvl w:val="0"/>
          <w:numId w:val="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Previous Study 5 Strategic Partnerships in the Middle East:</w:t>
      </w:r>
      <w:r w:rsidRPr="00A70905">
        <w:rPr>
          <w:rFonts w:asciiTheme="majorBidi" w:hAnsiTheme="majorBidi" w:cstheme="majorBidi"/>
          <w:sz w:val="24"/>
          <w:szCs w:val="24"/>
        </w:rPr>
        <w:t xml:space="preserve"> </w:t>
      </w:r>
      <w:r w:rsidRPr="00A70905">
        <w:rPr>
          <w:rFonts w:asciiTheme="majorBidi" w:hAnsiTheme="majorBidi" w:cstheme="majorBidi"/>
          <w:i/>
          <w:iCs/>
          <w:sz w:val="24"/>
          <w:szCs w:val="24"/>
        </w:rPr>
        <w:t>Chen et al. (2019)</w:t>
      </w:r>
      <w:r w:rsidRPr="00A70905">
        <w:rPr>
          <w:rFonts w:asciiTheme="majorBidi" w:hAnsiTheme="majorBidi" w:cstheme="majorBidi"/>
          <w:sz w:val="24"/>
          <w:szCs w:val="24"/>
        </w:rPr>
        <w:t xml:space="preserve"> (from International Business Journal) compared strategic alliance outcomes in Gulf countries’ infrastructure projects. They found that alliances which included a local government-related entity (like a state-owned enterprise or sovereign fund) had higher success rates in project completion. The authors attributed this to such alliances being better at navigating regulations and managing stakeholders. This finding supports the idea that in Saudi, partnering </w:t>
      </w:r>
      <w:r w:rsidRPr="00A70905">
        <w:rPr>
          <w:rFonts w:asciiTheme="majorBidi" w:hAnsiTheme="majorBidi" w:cstheme="majorBidi"/>
          <w:sz w:val="24"/>
          <w:szCs w:val="24"/>
        </w:rPr>
        <w:lastRenderedPageBreak/>
        <w:t xml:space="preserve">with entities like Aramco or SEC (or newer ones like PIF-owned companies) can be advantageous. </w:t>
      </w:r>
      <w:r w:rsidRPr="00A70905">
        <w:rPr>
          <w:rFonts w:asciiTheme="majorBidi" w:hAnsiTheme="majorBidi" w:cstheme="majorBidi"/>
          <w:i/>
          <w:iCs/>
          <w:sz w:val="24"/>
          <w:szCs w:val="24"/>
        </w:rPr>
        <w:t>Our study incorporates this insight</w:t>
      </w:r>
      <w:r w:rsidRPr="00A70905">
        <w:rPr>
          <w:rFonts w:asciiTheme="majorBidi" w:hAnsiTheme="majorBidi" w:cstheme="majorBidi"/>
          <w:sz w:val="24"/>
          <w:szCs w:val="24"/>
        </w:rPr>
        <w:t xml:space="preserve"> by examining cases where such partnerships were present (e.g., Schneider Electric with Aramco’s SPARK, or ACWA Power with government support) and checking if similar benefits were observed. We use these examples to demonstrate whether having a heavyweight local partner correlates with better outcomes, thereby reinforcing or nuancing Chen et al.’s conclusion in the specific Saudi context.</w:t>
      </w:r>
    </w:p>
    <w:p w14:paraId="355D928C"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After reviewing the above and other minor studies, we can articulate the research gap as follows:</w:t>
      </w:r>
    </w:p>
    <w:p w14:paraId="61CBDFAC" w14:textId="26EE1C39"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While various pieces of literature address aspects of Saudi Arabia’s energy sector transformation (be it policy shifts, economic changes, or specific corporate initiatives), there is no comprehensive applied study that integrates market entry strategy, partnership strategy, and innovation strategy for the specific context of electrical and electronics companies in the Saudi energy sector. Previous studies have either been broad (macro-level or focused on large incumbents) or narrow (focusing on one aspect such as localization or one type of company). None have combined all three focal points market entry, partnerships, and innovation in an applied manner examining recent real-world cases and data. This study fills that gap by bringing these elements together and providing a holistic analysis backed by current examples (from roughly 2018–2025).</w:t>
      </w:r>
    </w:p>
    <w:p w14:paraId="6550A904" w14:textId="17BD742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Furthermore, previous research has often been retrospective, looking at what has happened up to now. Given the rapid changes under Vision 2030, there is a need for up-to-date analysis that incorporates developments as recent as 2023–2025 (such as the outcomes of the latest IKTVA forum, new renewable project bids, emerging partnerships, etc.). Our study, by including data and cases from 2024 and 2025 (for example, PIF’s 2024 investments or partnerships signed in 2025), ensures that the findings are relevant to the current moment and decision environment. This timeliness is another aspect that distinguishes it from prior literature we capture the state of play as of mid-2025, in the thick of Vision 2030’s implementation.</w:t>
      </w:r>
    </w:p>
    <w:p w14:paraId="6270EEFE" w14:textId="6EA0CC25"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conclusion, the literature review establishes a foundation of existing knowledge while clearly indicating that the space where business development strategies intersect with </w:t>
      </w:r>
      <w:r w:rsidRPr="00A70905">
        <w:rPr>
          <w:rFonts w:asciiTheme="majorBidi" w:hAnsiTheme="majorBidi" w:cstheme="majorBidi"/>
          <w:sz w:val="24"/>
          <w:szCs w:val="24"/>
        </w:rPr>
        <w:lastRenderedPageBreak/>
        <w:t>Saudi Arabia’s evolving energy sector remains under-explored. There is a convergence of factors entry, partnerships, innovation that needs to be studied together in the specific national context. The ensuing sections of this thesis theoretical framework, methodology, and then analysis are designed to address this precise gap. By doing so, this research aims to contribute original insights that are academically valuable and practically useful for companies strategizing for growth in the Saudi energy sector.</w:t>
      </w:r>
    </w:p>
    <w:p w14:paraId="218D7FBC" w14:textId="64A8E84D" w:rsidR="00A70905" w:rsidRDefault="00A70905" w:rsidP="005B051A">
      <w:pPr>
        <w:spacing w:line="360" w:lineRule="auto"/>
        <w:rPr>
          <w:rFonts w:asciiTheme="majorBidi" w:hAnsiTheme="majorBidi" w:cstheme="majorBidi"/>
          <w:sz w:val="24"/>
          <w:szCs w:val="24"/>
        </w:rPr>
      </w:pPr>
    </w:p>
    <w:p w14:paraId="68719BC5" w14:textId="77777777" w:rsidR="006C2518" w:rsidRDefault="006C2518" w:rsidP="005B051A">
      <w:pPr>
        <w:spacing w:line="360" w:lineRule="auto"/>
        <w:rPr>
          <w:rFonts w:asciiTheme="majorBidi" w:hAnsiTheme="majorBidi" w:cstheme="majorBidi"/>
          <w:sz w:val="24"/>
          <w:szCs w:val="24"/>
        </w:rPr>
      </w:pPr>
    </w:p>
    <w:p w14:paraId="4F21B98E" w14:textId="77777777" w:rsidR="006C2518" w:rsidRDefault="006C2518" w:rsidP="005B051A">
      <w:pPr>
        <w:spacing w:line="360" w:lineRule="auto"/>
        <w:rPr>
          <w:rFonts w:asciiTheme="majorBidi" w:hAnsiTheme="majorBidi" w:cstheme="majorBidi"/>
          <w:sz w:val="24"/>
          <w:szCs w:val="24"/>
        </w:rPr>
      </w:pPr>
    </w:p>
    <w:p w14:paraId="18DF5E16" w14:textId="77777777" w:rsidR="006C2518" w:rsidRDefault="006C2518" w:rsidP="005B051A">
      <w:pPr>
        <w:spacing w:line="360" w:lineRule="auto"/>
        <w:rPr>
          <w:rFonts w:asciiTheme="majorBidi" w:hAnsiTheme="majorBidi" w:cstheme="majorBidi"/>
          <w:sz w:val="24"/>
          <w:szCs w:val="24"/>
        </w:rPr>
      </w:pPr>
    </w:p>
    <w:p w14:paraId="6416012A" w14:textId="77777777" w:rsidR="006C2518" w:rsidRDefault="006C2518" w:rsidP="005B051A">
      <w:pPr>
        <w:spacing w:line="360" w:lineRule="auto"/>
        <w:rPr>
          <w:rFonts w:asciiTheme="majorBidi" w:hAnsiTheme="majorBidi" w:cstheme="majorBidi"/>
          <w:sz w:val="24"/>
          <w:szCs w:val="24"/>
        </w:rPr>
      </w:pPr>
    </w:p>
    <w:p w14:paraId="603B3491" w14:textId="77777777" w:rsidR="006C2518" w:rsidRDefault="006C2518" w:rsidP="005B051A">
      <w:pPr>
        <w:spacing w:line="360" w:lineRule="auto"/>
        <w:rPr>
          <w:rFonts w:asciiTheme="majorBidi" w:hAnsiTheme="majorBidi" w:cstheme="majorBidi"/>
          <w:sz w:val="24"/>
          <w:szCs w:val="24"/>
        </w:rPr>
      </w:pPr>
    </w:p>
    <w:p w14:paraId="2868930D" w14:textId="77777777" w:rsidR="006C2518" w:rsidRDefault="006C2518" w:rsidP="005B051A">
      <w:pPr>
        <w:spacing w:line="360" w:lineRule="auto"/>
        <w:rPr>
          <w:rFonts w:asciiTheme="majorBidi" w:hAnsiTheme="majorBidi" w:cstheme="majorBidi"/>
          <w:sz w:val="24"/>
          <w:szCs w:val="24"/>
        </w:rPr>
      </w:pPr>
    </w:p>
    <w:p w14:paraId="5D66BA7A" w14:textId="77777777" w:rsidR="00D760CC" w:rsidRDefault="00D760CC" w:rsidP="005B051A">
      <w:pPr>
        <w:spacing w:line="360" w:lineRule="auto"/>
        <w:rPr>
          <w:rFonts w:asciiTheme="majorBidi" w:hAnsiTheme="majorBidi" w:cstheme="majorBidi"/>
          <w:sz w:val="24"/>
          <w:szCs w:val="24"/>
        </w:rPr>
      </w:pPr>
    </w:p>
    <w:p w14:paraId="0AD23341" w14:textId="77777777" w:rsidR="00D760CC" w:rsidRDefault="00D760CC" w:rsidP="005B051A">
      <w:pPr>
        <w:spacing w:line="360" w:lineRule="auto"/>
        <w:rPr>
          <w:rFonts w:asciiTheme="majorBidi" w:hAnsiTheme="majorBidi" w:cstheme="majorBidi"/>
          <w:sz w:val="24"/>
          <w:szCs w:val="24"/>
        </w:rPr>
      </w:pPr>
    </w:p>
    <w:p w14:paraId="0497060C" w14:textId="77777777" w:rsidR="00D760CC" w:rsidRDefault="00D760CC" w:rsidP="005B051A">
      <w:pPr>
        <w:spacing w:line="360" w:lineRule="auto"/>
        <w:rPr>
          <w:rFonts w:asciiTheme="majorBidi" w:hAnsiTheme="majorBidi" w:cstheme="majorBidi"/>
          <w:sz w:val="24"/>
          <w:szCs w:val="24"/>
        </w:rPr>
      </w:pPr>
    </w:p>
    <w:p w14:paraId="28BA4E85" w14:textId="77777777" w:rsidR="00D760CC" w:rsidRDefault="00D760CC" w:rsidP="005B051A">
      <w:pPr>
        <w:spacing w:line="360" w:lineRule="auto"/>
        <w:rPr>
          <w:rFonts w:asciiTheme="majorBidi" w:hAnsiTheme="majorBidi" w:cstheme="majorBidi"/>
          <w:sz w:val="24"/>
          <w:szCs w:val="24"/>
        </w:rPr>
      </w:pPr>
    </w:p>
    <w:p w14:paraId="0BB0F465" w14:textId="77777777" w:rsidR="00D760CC" w:rsidRDefault="00D760CC" w:rsidP="005B051A">
      <w:pPr>
        <w:spacing w:line="360" w:lineRule="auto"/>
        <w:rPr>
          <w:rFonts w:asciiTheme="majorBidi" w:hAnsiTheme="majorBidi" w:cstheme="majorBidi"/>
          <w:sz w:val="24"/>
          <w:szCs w:val="24"/>
        </w:rPr>
      </w:pPr>
    </w:p>
    <w:p w14:paraId="76D07538" w14:textId="77777777" w:rsidR="00D760CC" w:rsidRDefault="00D760CC" w:rsidP="005B051A">
      <w:pPr>
        <w:spacing w:line="360" w:lineRule="auto"/>
        <w:rPr>
          <w:rFonts w:asciiTheme="majorBidi" w:hAnsiTheme="majorBidi" w:cstheme="majorBidi"/>
          <w:sz w:val="24"/>
          <w:szCs w:val="24"/>
        </w:rPr>
      </w:pPr>
    </w:p>
    <w:p w14:paraId="160BE8CE" w14:textId="77777777" w:rsidR="00D760CC" w:rsidRDefault="00D760CC" w:rsidP="005B051A">
      <w:pPr>
        <w:spacing w:line="360" w:lineRule="auto"/>
        <w:rPr>
          <w:rFonts w:asciiTheme="majorBidi" w:hAnsiTheme="majorBidi" w:cstheme="majorBidi"/>
          <w:sz w:val="24"/>
          <w:szCs w:val="24"/>
        </w:rPr>
      </w:pPr>
    </w:p>
    <w:p w14:paraId="2381DD81" w14:textId="77777777" w:rsidR="00D760CC" w:rsidRDefault="00D760CC" w:rsidP="005B051A">
      <w:pPr>
        <w:spacing w:line="360" w:lineRule="auto"/>
        <w:rPr>
          <w:rFonts w:asciiTheme="majorBidi" w:hAnsiTheme="majorBidi" w:cstheme="majorBidi"/>
          <w:sz w:val="24"/>
          <w:szCs w:val="24"/>
        </w:rPr>
      </w:pPr>
    </w:p>
    <w:p w14:paraId="5CC9D43B" w14:textId="77777777" w:rsidR="00D760CC" w:rsidRDefault="00D760CC" w:rsidP="005B051A">
      <w:pPr>
        <w:spacing w:line="360" w:lineRule="auto"/>
        <w:rPr>
          <w:rFonts w:asciiTheme="majorBidi" w:hAnsiTheme="majorBidi" w:cstheme="majorBidi"/>
          <w:sz w:val="24"/>
          <w:szCs w:val="24"/>
        </w:rPr>
      </w:pPr>
    </w:p>
    <w:p w14:paraId="342B59BB" w14:textId="77777777" w:rsidR="00D760CC" w:rsidRDefault="00D760CC" w:rsidP="005B051A">
      <w:pPr>
        <w:spacing w:line="360" w:lineRule="auto"/>
        <w:rPr>
          <w:rFonts w:asciiTheme="majorBidi" w:hAnsiTheme="majorBidi" w:cstheme="majorBidi"/>
          <w:sz w:val="24"/>
          <w:szCs w:val="24"/>
        </w:rPr>
      </w:pPr>
    </w:p>
    <w:p w14:paraId="38A743F3" w14:textId="77777777" w:rsidR="006C2518" w:rsidRPr="00A70905" w:rsidRDefault="006C2518" w:rsidP="005B051A">
      <w:pPr>
        <w:spacing w:line="360" w:lineRule="auto"/>
        <w:rPr>
          <w:rFonts w:asciiTheme="majorBidi" w:hAnsiTheme="majorBidi" w:cstheme="majorBidi"/>
          <w:sz w:val="24"/>
          <w:szCs w:val="24"/>
        </w:rPr>
      </w:pPr>
    </w:p>
    <w:p w14:paraId="4C6A13A2"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Chapter 3: Theoretical Framework</w:t>
      </w:r>
    </w:p>
    <w:p w14:paraId="1C7FFA81"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Building on the literature review, this study adopts a theoretical framework that integrates elements of international business strategy theories, strategic partnership (alliance) theory, and open innovation theory, all within the context of an evolving energy sector. The framework serves as a lens to interpret the findings and as a guide for the research design. It recognizes that successful business development and growth in the Saudi energy sector will likely be explained by a combination of external environment factors and internal firm capabilities/decisions. The main components of the theoretical framework are:</w:t>
      </w:r>
    </w:p>
    <w:p w14:paraId="74B9F9BB" w14:textId="29C48913"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Dunning’s OLI Paradigm (Eclectic Theory)</w:t>
      </w:r>
      <w:r w:rsidRPr="00A70905">
        <w:rPr>
          <w:rFonts w:asciiTheme="majorBidi" w:hAnsiTheme="majorBidi" w:cstheme="majorBidi"/>
          <w:sz w:val="24"/>
          <w:szCs w:val="24"/>
        </w:rPr>
        <w:t xml:space="preserve"> to understand entry mode decisions. The OLI paradigm posits that a firm’s decision to internationalize (and how to do so) depends on </w:t>
      </w:r>
      <w:r w:rsidRPr="00A70905">
        <w:rPr>
          <w:rFonts w:asciiTheme="majorBidi" w:hAnsiTheme="majorBidi" w:cstheme="majorBidi"/>
          <w:i/>
          <w:iCs/>
          <w:sz w:val="24"/>
          <w:szCs w:val="24"/>
        </w:rPr>
        <w:t>Ownership</w:t>
      </w:r>
      <w:r w:rsidRPr="00A70905">
        <w:rPr>
          <w:rFonts w:asciiTheme="majorBidi" w:hAnsiTheme="majorBidi" w:cstheme="majorBidi"/>
          <w:sz w:val="24"/>
          <w:szCs w:val="24"/>
        </w:rPr>
        <w:t xml:space="preserve"> advantages (firm-specific assets like technology or brand), </w:t>
      </w:r>
      <w:r w:rsidRPr="00A70905">
        <w:rPr>
          <w:rFonts w:asciiTheme="majorBidi" w:hAnsiTheme="majorBidi" w:cstheme="majorBidi"/>
          <w:i/>
          <w:iCs/>
          <w:sz w:val="24"/>
          <w:szCs w:val="24"/>
        </w:rPr>
        <w:t>Location</w:t>
      </w:r>
      <w:r w:rsidRPr="00A70905">
        <w:rPr>
          <w:rFonts w:asciiTheme="majorBidi" w:hAnsiTheme="majorBidi" w:cstheme="majorBidi"/>
          <w:sz w:val="24"/>
          <w:szCs w:val="24"/>
        </w:rPr>
        <w:t xml:space="preserve"> advantages (country-specific factors like market potential, resources, or incentives), and </w:t>
      </w:r>
      <w:r w:rsidRPr="00A70905">
        <w:rPr>
          <w:rFonts w:asciiTheme="majorBidi" w:hAnsiTheme="majorBidi" w:cstheme="majorBidi"/>
          <w:i/>
          <w:iCs/>
          <w:sz w:val="24"/>
          <w:szCs w:val="24"/>
        </w:rPr>
        <w:t>Internalization</w:t>
      </w:r>
      <w:r w:rsidRPr="00A70905">
        <w:rPr>
          <w:rFonts w:asciiTheme="majorBidi" w:hAnsiTheme="majorBidi" w:cstheme="majorBidi"/>
          <w:sz w:val="24"/>
          <w:szCs w:val="24"/>
        </w:rPr>
        <w:t xml:space="preserve"> advantages (benefits of using hierarchies vs. markets for transactions). In the context of this study, OLI helps explain why a firm might choose a joint venture vs. wholly-owned entry. For example, a strong Ownership advantage (unique tech) might encourage internalization, but strong Location pressures (like IKTVA) might favor a JV. We use OLI as a backdrop theory for entry strategy analysis.</w:t>
      </w:r>
    </w:p>
    <w:p w14:paraId="1DAE7718" w14:textId="5DE61AE7"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Resource-Based View (RBV) and Dynamic Capabilities</w:t>
      </w:r>
      <w:r w:rsidRPr="00A70905">
        <w:rPr>
          <w:rFonts w:asciiTheme="majorBidi" w:hAnsiTheme="majorBidi" w:cstheme="majorBidi"/>
          <w:sz w:val="24"/>
          <w:szCs w:val="24"/>
        </w:rPr>
        <w:t xml:space="preserve"> to examine how firms leverage and adapt their resources for growth. RBV suggests that firms gain competitive advantage from unique, valuable, inimitable resources. In our framework, a foreign firm’s technology or a local firm’s relationships can be seen as key resources. Dynamic capabilities (Teece, 1997) emphasize a firm’s ability to integrate, build, and reconfigure internal and external competencies to respond to rapidly changing environments which is very relevant in Saudi’s transforming energy sector. This theoretical angle helps us understand how companies adapt (e.g., by investing in local talent development or by reconfiguring their partnership portfolio) to sustain growth.</w:t>
      </w:r>
    </w:p>
    <w:p w14:paraId="491B8672" w14:textId="5FA30122"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Institutional Theory</w:t>
      </w:r>
      <w:r w:rsidRPr="00A70905">
        <w:rPr>
          <w:rFonts w:asciiTheme="majorBidi" w:hAnsiTheme="majorBidi" w:cstheme="majorBidi"/>
          <w:sz w:val="24"/>
          <w:szCs w:val="24"/>
        </w:rPr>
        <w:t xml:space="preserve"> to account for the influence of formal and informal institutions (rules, norms, and culture) on strategic choices. Scott’s institutional theory tells us that organizations not only seek efficiency but also legitimacy by conforming to institutional pressures. In Saudi Arabia, there are strong institutional pressures (regulatory, cultural) to localize and to align with national goals. We incorporate institutional theory to explain why strategies like localization and partnership with local entities are not just economically driven but also responses to normative and coercive pressures in the environment.</w:t>
      </w:r>
    </w:p>
    <w:p w14:paraId="40019C21" w14:textId="0B6F60CD"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Strategic Alliance Theory</w:t>
      </w:r>
      <w:r w:rsidRPr="00A70905">
        <w:rPr>
          <w:rFonts w:asciiTheme="majorBidi" w:hAnsiTheme="majorBidi" w:cstheme="majorBidi"/>
          <w:sz w:val="24"/>
          <w:szCs w:val="24"/>
        </w:rPr>
        <w:t xml:space="preserve"> to frame how partnerships are formed and managed. We consider theories like transaction cost economics (which might view alliances as ways to economize on transaction costs when markets are imperfect) and the relational view (Dyer &amp; Singh, 1998) which argues that critical resources may span firm boundaries and inter-firm linkages can be sources of supernormal profit. Our framework assumes that alliances in the energy sector can create relational rents (e.g., a JV that develops a capability neither partner could alone). It also uses concepts of alliance success factors, such as strategic fit and alliance governance, to analyze our cases.</w:t>
      </w:r>
    </w:p>
    <w:p w14:paraId="18CF7A3A" w14:textId="1DA8AF36"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Open Innovation Theory</w:t>
      </w:r>
      <w:r w:rsidRPr="00A70905">
        <w:rPr>
          <w:rFonts w:asciiTheme="majorBidi" w:hAnsiTheme="majorBidi" w:cstheme="majorBidi"/>
          <w:sz w:val="24"/>
          <w:szCs w:val="24"/>
        </w:rPr>
        <w:t xml:space="preserve"> to interpret the role of innovation networks and external collaboration. Chesbrough’s concept of open innovation, as mentioned, encourages firms to use external ideas and paths. Our theoretical framework includes the idea that companies will perform better if they utilize the rich external knowledge available (e.g., through partnering with tech startups or research institutes in Saudi). It also implies that a firm’s boundary is porous innovations can flow in and out which is a mindset some companies adopt (like Aramco’s initiatives) and others might need to adopt to succeed.</w:t>
      </w:r>
    </w:p>
    <w:p w14:paraId="6A90CD8C" w14:textId="6B56606A" w:rsidR="00A70905" w:rsidRPr="00A70905" w:rsidRDefault="00A70905" w:rsidP="00EB2BA1">
      <w:pPr>
        <w:numPr>
          <w:ilvl w:val="0"/>
          <w:numId w:val="1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Porter’s Five Forces &amp; Cluster Theory (Contextual)</w:t>
      </w:r>
      <w:r w:rsidRPr="00A70905">
        <w:rPr>
          <w:rFonts w:asciiTheme="majorBidi" w:hAnsiTheme="majorBidi" w:cstheme="majorBidi"/>
          <w:sz w:val="24"/>
          <w:szCs w:val="24"/>
        </w:rPr>
        <w:t xml:space="preserve"> while Five Forces is more of an analysis tool, at the theoretical level it reminds us that industry structure affects strategy. High buyer power and rivalry (as we have) push firms towards strategies like differentiation or cost leadership or consolidation. Porter’s cluster theory (related to competitive advantage of nations) posits that being part of a </w:t>
      </w:r>
      <w:r w:rsidRPr="00A70905">
        <w:rPr>
          <w:rFonts w:asciiTheme="majorBidi" w:hAnsiTheme="majorBidi" w:cstheme="majorBidi"/>
          <w:sz w:val="24"/>
          <w:szCs w:val="24"/>
        </w:rPr>
        <w:lastRenderedPageBreak/>
        <w:t>strong industry cluster (with suppliers, skilled labor, etc.) enhances competitiveness. Saudi is trying to create such clusters (e.g., SPARK for energy industries). We incorporate the notion that firms embedded in these emerging clusters (via local presence) may have an advantage.</w:t>
      </w:r>
    </w:p>
    <w:p w14:paraId="502A62D4" w14:textId="6BBDAC61"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Combining these elements, the theoretical framework for this study is depicted conceptually as follows: Firms enter and grow in the Saudi energy sector by leveraging their unique resources (RBV) and developing dynamic capabilities to adapt. Their choice of entry mode and structure is influenced by OLI considerations and institutional pressures. Strategic partnerships serve as a mechanism to access complementary resources and local legitimacy (alliance theory and institutional theory intersect here). Open innovation practices overlay this by ensuring that firms are not isolated those that build or join innovation networks will enhance their dynamic capability to innovate and meet market needs. Throughout, the external environment (captured by Porter’s forces and institutional factors) creates both opportunities (incentives, growing market) and constraints (competition, regulations) that the firm must navigate through strategy.</w:t>
      </w:r>
    </w:p>
    <w:p w14:paraId="051E393C"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practical terms, when we analyze a company in our case studies, we will ask: What Ownership advantages did it bring and how did it exploit them? What Location factors in KSA shaped its strategy? Did it internalize operations or collaborate (and why)? How did it build partnerships and were those partnerships about resource complementation? Did the company engage in open innovation or knowledge sharing to bolster its capabilities? And did it manage to achieve a fit with the institutional expectations of Saudi Arabia (gaining legitimacy by aligning with Vision 2030 goals like localization)?</w:t>
      </w:r>
    </w:p>
    <w:p w14:paraId="73865A95"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By using this integrated theoretical framework, we ensure that our analysis in later chapters isn’t just a random collection of observations, but rather is anchored in established theory and can contribute back to those theories. For example, if we find that certain partnerships are absolutely essential, that reinforces alliance theory under conditions of high institutional pressure. If we find that companies with open innovation outperformed, that gives credence to Chesbrough’s model in an emerging market context. Our conclusions will reflect on these theoretical implications.</w:t>
      </w:r>
    </w:p>
    <w:p w14:paraId="044DF148"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lastRenderedPageBreak/>
        <w:t>To summarize, the theoretical framework guiding this research is a multi-theory integration that views market entry and growth as a function of firm capabilities and resources (RBV), shaped by external environment and institutions, executed through entry mode choices (OLI) and partnerships (alliance theory), and enhanced by innovation networks (open innovation theory). This framework will be illustrated in our analysis as we map the findings onto these theoretical constructs.</w:t>
      </w:r>
    </w:p>
    <w:p w14:paraId="26B371B2" w14:textId="77777777" w:rsidR="00D747CA" w:rsidRDefault="00D747CA" w:rsidP="005B051A">
      <w:pPr>
        <w:spacing w:line="360" w:lineRule="auto"/>
        <w:rPr>
          <w:rFonts w:asciiTheme="majorBidi" w:hAnsiTheme="majorBidi" w:cstheme="majorBidi"/>
          <w:sz w:val="24"/>
          <w:szCs w:val="24"/>
        </w:rPr>
      </w:pPr>
    </w:p>
    <w:p w14:paraId="0126BF42" w14:textId="77777777" w:rsidR="00D747CA" w:rsidRDefault="00D747CA" w:rsidP="005B051A">
      <w:pPr>
        <w:spacing w:line="360" w:lineRule="auto"/>
        <w:rPr>
          <w:rFonts w:asciiTheme="majorBidi" w:hAnsiTheme="majorBidi" w:cstheme="majorBidi"/>
          <w:sz w:val="24"/>
          <w:szCs w:val="24"/>
        </w:rPr>
      </w:pPr>
    </w:p>
    <w:p w14:paraId="4E79F957" w14:textId="77777777" w:rsidR="00D747CA" w:rsidRDefault="00D747CA" w:rsidP="005B051A">
      <w:pPr>
        <w:spacing w:line="360" w:lineRule="auto"/>
        <w:rPr>
          <w:rFonts w:asciiTheme="majorBidi" w:hAnsiTheme="majorBidi" w:cstheme="majorBidi"/>
          <w:sz w:val="24"/>
          <w:szCs w:val="24"/>
        </w:rPr>
      </w:pPr>
    </w:p>
    <w:p w14:paraId="3FBC3D76" w14:textId="77777777" w:rsidR="00D747CA" w:rsidRDefault="00D747CA" w:rsidP="005B051A">
      <w:pPr>
        <w:spacing w:line="360" w:lineRule="auto"/>
        <w:rPr>
          <w:rFonts w:asciiTheme="majorBidi" w:hAnsiTheme="majorBidi" w:cstheme="majorBidi"/>
          <w:sz w:val="24"/>
          <w:szCs w:val="24"/>
        </w:rPr>
      </w:pPr>
    </w:p>
    <w:p w14:paraId="049A7A8D" w14:textId="77777777" w:rsidR="00D747CA" w:rsidRDefault="00D747CA" w:rsidP="005B051A">
      <w:pPr>
        <w:spacing w:line="360" w:lineRule="auto"/>
        <w:rPr>
          <w:rFonts w:asciiTheme="majorBidi" w:hAnsiTheme="majorBidi" w:cstheme="majorBidi"/>
          <w:sz w:val="24"/>
          <w:szCs w:val="24"/>
        </w:rPr>
      </w:pPr>
    </w:p>
    <w:p w14:paraId="29EC8238" w14:textId="77777777" w:rsidR="00D747CA" w:rsidRDefault="00D747CA" w:rsidP="005B051A">
      <w:pPr>
        <w:spacing w:line="360" w:lineRule="auto"/>
        <w:rPr>
          <w:rFonts w:asciiTheme="majorBidi" w:hAnsiTheme="majorBidi" w:cstheme="majorBidi"/>
          <w:sz w:val="24"/>
          <w:szCs w:val="24"/>
        </w:rPr>
      </w:pPr>
    </w:p>
    <w:p w14:paraId="1CF93CC4" w14:textId="77777777" w:rsidR="00D747CA" w:rsidRDefault="00D747CA" w:rsidP="005B051A">
      <w:pPr>
        <w:spacing w:line="360" w:lineRule="auto"/>
        <w:rPr>
          <w:rFonts w:asciiTheme="majorBidi" w:hAnsiTheme="majorBidi" w:cstheme="majorBidi"/>
          <w:sz w:val="24"/>
          <w:szCs w:val="24"/>
        </w:rPr>
      </w:pPr>
    </w:p>
    <w:p w14:paraId="40D1DFF2" w14:textId="77777777" w:rsidR="00D747CA" w:rsidRDefault="00D747CA" w:rsidP="005B051A">
      <w:pPr>
        <w:spacing w:line="360" w:lineRule="auto"/>
        <w:rPr>
          <w:rFonts w:asciiTheme="majorBidi" w:hAnsiTheme="majorBidi" w:cstheme="majorBidi"/>
          <w:sz w:val="24"/>
          <w:szCs w:val="24"/>
        </w:rPr>
      </w:pPr>
    </w:p>
    <w:p w14:paraId="7F978850" w14:textId="77777777" w:rsidR="00D747CA" w:rsidRDefault="00D747CA" w:rsidP="005B051A">
      <w:pPr>
        <w:spacing w:line="360" w:lineRule="auto"/>
        <w:rPr>
          <w:rFonts w:asciiTheme="majorBidi" w:hAnsiTheme="majorBidi" w:cstheme="majorBidi"/>
          <w:sz w:val="24"/>
          <w:szCs w:val="24"/>
        </w:rPr>
      </w:pPr>
    </w:p>
    <w:p w14:paraId="2F00A91B" w14:textId="77777777" w:rsidR="00D747CA" w:rsidRDefault="00D747CA" w:rsidP="005B051A">
      <w:pPr>
        <w:spacing w:line="360" w:lineRule="auto"/>
        <w:rPr>
          <w:rFonts w:asciiTheme="majorBidi" w:hAnsiTheme="majorBidi" w:cstheme="majorBidi"/>
          <w:sz w:val="24"/>
          <w:szCs w:val="24"/>
        </w:rPr>
      </w:pPr>
    </w:p>
    <w:p w14:paraId="6B23AFE9" w14:textId="77777777" w:rsidR="00D747CA" w:rsidRDefault="00D747CA" w:rsidP="005B051A">
      <w:pPr>
        <w:spacing w:line="360" w:lineRule="auto"/>
        <w:rPr>
          <w:rFonts w:asciiTheme="majorBidi" w:hAnsiTheme="majorBidi" w:cstheme="majorBidi"/>
          <w:sz w:val="24"/>
          <w:szCs w:val="24"/>
        </w:rPr>
      </w:pPr>
    </w:p>
    <w:p w14:paraId="1BE2B51F" w14:textId="77777777" w:rsidR="00D747CA" w:rsidRDefault="00D747CA" w:rsidP="005B051A">
      <w:pPr>
        <w:spacing w:line="360" w:lineRule="auto"/>
        <w:rPr>
          <w:rFonts w:asciiTheme="majorBidi" w:hAnsiTheme="majorBidi" w:cstheme="majorBidi"/>
          <w:sz w:val="24"/>
          <w:szCs w:val="24"/>
        </w:rPr>
      </w:pPr>
    </w:p>
    <w:p w14:paraId="56D8EEC8" w14:textId="77777777" w:rsidR="00D747CA" w:rsidRDefault="00D747CA" w:rsidP="005B051A">
      <w:pPr>
        <w:spacing w:line="360" w:lineRule="auto"/>
        <w:rPr>
          <w:rFonts w:asciiTheme="majorBidi" w:hAnsiTheme="majorBidi" w:cstheme="majorBidi"/>
          <w:sz w:val="24"/>
          <w:szCs w:val="24"/>
        </w:rPr>
      </w:pPr>
    </w:p>
    <w:p w14:paraId="429A7700" w14:textId="77777777" w:rsidR="00D747CA" w:rsidRDefault="00D747CA" w:rsidP="005B051A">
      <w:pPr>
        <w:spacing w:line="360" w:lineRule="auto"/>
        <w:rPr>
          <w:rFonts w:asciiTheme="majorBidi" w:hAnsiTheme="majorBidi" w:cstheme="majorBidi"/>
          <w:sz w:val="24"/>
          <w:szCs w:val="24"/>
        </w:rPr>
      </w:pPr>
    </w:p>
    <w:p w14:paraId="77AB9131" w14:textId="77777777" w:rsidR="00D747CA" w:rsidRDefault="00D747CA" w:rsidP="005B051A">
      <w:pPr>
        <w:spacing w:line="360" w:lineRule="auto"/>
        <w:rPr>
          <w:rFonts w:asciiTheme="majorBidi" w:hAnsiTheme="majorBidi" w:cstheme="majorBidi"/>
          <w:sz w:val="24"/>
          <w:szCs w:val="24"/>
        </w:rPr>
      </w:pPr>
    </w:p>
    <w:p w14:paraId="46AFD8C3" w14:textId="77777777" w:rsidR="00D747CA" w:rsidRDefault="00D747CA" w:rsidP="005B051A">
      <w:pPr>
        <w:spacing w:line="360" w:lineRule="auto"/>
        <w:rPr>
          <w:rFonts w:asciiTheme="majorBidi" w:hAnsiTheme="majorBidi" w:cstheme="majorBidi"/>
          <w:sz w:val="24"/>
          <w:szCs w:val="24"/>
        </w:rPr>
      </w:pPr>
    </w:p>
    <w:p w14:paraId="30F7BA27" w14:textId="77777777" w:rsidR="00D747CA" w:rsidRDefault="00D747CA" w:rsidP="005B051A">
      <w:pPr>
        <w:spacing w:line="360" w:lineRule="auto"/>
        <w:rPr>
          <w:rFonts w:asciiTheme="majorBidi" w:hAnsiTheme="majorBidi" w:cstheme="majorBidi"/>
          <w:sz w:val="24"/>
          <w:szCs w:val="24"/>
        </w:rPr>
      </w:pPr>
    </w:p>
    <w:p w14:paraId="540E32C9" w14:textId="77777777" w:rsidR="00D747CA" w:rsidRPr="00A70905" w:rsidRDefault="00D747CA" w:rsidP="005B051A">
      <w:pPr>
        <w:spacing w:line="360" w:lineRule="auto"/>
        <w:rPr>
          <w:rFonts w:asciiTheme="majorBidi" w:hAnsiTheme="majorBidi" w:cstheme="majorBidi"/>
          <w:sz w:val="24"/>
          <w:szCs w:val="24"/>
        </w:rPr>
      </w:pPr>
    </w:p>
    <w:p w14:paraId="35BFE6D0"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Chapter 4: Research Methodology</w:t>
      </w:r>
    </w:p>
    <w:p w14:paraId="1E067BB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chapter describes the research design and methods used to address the research questions. It outlines the overall approach, the data sources, how data were collected and analyzed, the population and sample of the study, and considerations for validity and reliability. The methodology is structured to ensure that the research questions can be answered rigorously and that the findings are credible and relevant.</w:t>
      </w:r>
    </w:p>
    <w:p w14:paraId="2E64037E" w14:textId="77777777" w:rsidR="00B34504" w:rsidRDefault="00B34504" w:rsidP="005B051A">
      <w:pPr>
        <w:spacing w:line="360" w:lineRule="auto"/>
        <w:rPr>
          <w:rFonts w:asciiTheme="majorBidi" w:hAnsiTheme="majorBidi" w:cstheme="majorBidi"/>
          <w:b/>
          <w:bCs/>
          <w:sz w:val="24"/>
          <w:szCs w:val="24"/>
        </w:rPr>
      </w:pPr>
    </w:p>
    <w:p w14:paraId="2A0E0F83" w14:textId="77777777" w:rsidR="00B34504" w:rsidRDefault="00B34504" w:rsidP="005B051A">
      <w:pPr>
        <w:spacing w:line="360" w:lineRule="auto"/>
        <w:rPr>
          <w:rFonts w:asciiTheme="majorBidi" w:hAnsiTheme="majorBidi" w:cstheme="majorBidi"/>
          <w:b/>
          <w:bCs/>
          <w:sz w:val="24"/>
          <w:szCs w:val="24"/>
        </w:rPr>
      </w:pPr>
    </w:p>
    <w:p w14:paraId="5D1DFC97" w14:textId="77777777" w:rsidR="00B34504" w:rsidRDefault="00B34504" w:rsidP="005B051A">
      <w:pPr>
        <w:spacing w:line="360" w:lineRule="auto"/>
        <w:rPr>
          <w:rFonts w:asciiTheme="majorBidi" w:hAnsiTheme="majorBidi" w:cstheme="majorBidi"/>
          <w:b/>
          <w:bCs/>
          <w:sz w:val="24"/>
          <w:szCs w:val="24"/>
        </w:rPr>
      </w:pPr>
    </w:p>
    <w:p w14:paraId="02E53C7D" w14:textId="77777777" w:rsidR="00B34504" w:rsidRDefault="00B34504" w:rsidP="005B051A">
      <w:pPr>
        <w:spacing w:line="360" w:lineRule="auto"/>
        <w:rPr>
          <w:rFonts w:asciiTheme="majorBidi" w:hAnsiTheme="majorBidi" w:cstheme="majorBidi"/>
          <w:b/>
          <w:bCs/>
          <w:sz w:val="24"/>
          <w:szCs w:val="24"/>
        </w:rPr>
      </w:pPr>
    </w:p>
    <w:p w14:paraId="689A581A" w14:textId="77777777" w:rsidR="00B34504" w:rsidRDefault="00B34504" w:rsidP="005B051A">
      <w:pPr>
        <w:spacing w:line="360" w:lineRule="auto"/>
        <w:rPr>
          <w:rFonts w:asciiTheme="majorBidi" w:hAnsiTheme="majorBidi" w:cstheme="majorBidi"/>
          <w:b/>
          <w:bCs/>
          <w:sz w:val="24"/>
          <w:szCs w:val="24"/>
        </w:rPr>
      </w:pPr>
    </w:p>
    <w:p w14:paraId="2A380B7A" w14:textId="77777777" w:rsidR="00B34504" w:rsidRDefault="00B34504" w:rsidP="005B051A">
      <w:pPr>
        <w:spacing w:line="360" w:lineRule="auto"/>
        <w:rPr>
          <w:rFonts w:asciiTheme="majorBidi" w:hAnsiTheme="majorBidi" w:cstheme="majorBidi"/>
          <w:b/>
          <w:bCs/>
          <w:sz w:val="24"/>
          <w:szCs w:val="24"/>
        </w:rPr>
      </w:pPr>
    </w:p>
    <w:p w14:paraId="4B5DC3CE" w14:textId="77777777" w:rsidR="00B34504" w:rsidRDefault="00B34504" w:rsidP="005B051A">
      <w:pPr>
        <w:spacing w:line="360" w:lineRule="auto"/>
        <w:rPr>
          <w:rFonts w:asciiTheme="majorBidi" w:hAnsiTheme="majorBidi" w:cstheme="majorBidi"/>
          <w:b/>
          <w:bCs/>
          <w:sz w:val="24"/>
          <w:szCs w:val="24"/>
        </w:rPr>
      </w:pPr>
    </w:p>
    <w:p w14:paraId="5A410DC5" w14:textId="77777777" w:rsidR="00B34504" w:rsidRDefault="00B34504" w:rsidP="005B051A">
      <w:pPr>
        <w:spacing w:line="360" w:lineRule="auto"/>
        <w:rPr>
          <w:rFonts w:asciiTheme="majorBidi" w:hAnsiTheme="majorBidi" w:cstheme="majorBidi"/>
          <w:b/>
          <w:bCs/>
          <w:sz w:val="24"/>
          <w:szCs w:val="24"/>
        </w:rPr>
      </w:pPr>
    </w:p>
    <w:p w14:paraId="598C47DC" w14:textId="77777777" w:rsidR="00B34504" w:rsidRDefault="00B34504" w:rsidP="005B051A">
      <w:pPr>
        <w:spacing w:line="360" w:lineRule="auto"/>
        <w:rPr>
          <w:rFonts w:asciiTheme="majorBidi" w:hAnsiTheme="majorBidi" w:cstheme="majorBidi"/>
          <w:b/>
          <w:bCs/>
          <w:sz w:val="24"/>
          <w:szCs w:val="24"/>
        </w:rPr>
      </w:pPr>
    </w:p>
    <w:p w14:paraId="20389874" w14:textId="77777777" w:rsidR="00B34504" w:rsidRDefault="00B34504" w:rsidP="005B051A">
      <w:pPr>
        <w:spacing w:line="360" w:lineRule="auto"/>
        <w:rPr>
          <w:rFonts w:asciiTheme="majorBidi" w:hAnsiTheme="majorBidi" w:cstheme="majorBidi"/>
          <w:b/>
          <w:bCs/>
          <w:sz w:val="24"/>
          <w:szCs w:val="24"/>
        </w:rPr>
      </w:pPr>
    </w:p>
    <w:p w14:paraId="6C4CD03C" w14:textId="77777777" w:rsidR="00B34504" w:rsidRDefault="00B34504" w:rsidP="005B051A">
      <w:pPr>
        <w:spacing w:line="360" w:lineRule="auto"/>
        <w:rPr>
          <w:rFonts w:asciiTheme="majorBidi" w:hAnsiTheme="majorBidi" w:cstheme="majorBidi"/>
          <w:b/>
          <w:bCs/>
          <w:sz w:val="24"/>
          <w:szCs w:val="24"/>
        </w:rPr>
      </w:pPr>
    </w:p>
    <w:p w14:paraId="230DAE37" w14:textId="77777777" w:rsidR="00B34504" w:rsidRDefault="00B34504" w:rsidP="005B051A">
      <w:pPr>
        <w:spacing w:line="360" w:lineRule="auto"/>
        <w:rPr>
          <w:rFonts w:asciiTheme="majorBidi" w:hAnsiTheme="majorBidi" w:cstheme="majorBidi"/>
          <w:b/>
          <w:bCs/>
          <w:sz w:val="24"/>
          <w:szCs w:val="24"/>
        </w:rPr>
      </w:pPr>
    </w:p>
    <w:p w14:paraId="01CFC15B" w14:textId="77777777" w:rsidR="00B34504" w:rsidRDefault="00B34504" w:rsidP="005B051A">
      <w:pPr>
        <w:spacing w:line="360" w:lineRule="auto"/>
        <w:rPr>
          <w:rFonts w:asciiTheme="majorBidi" w:hAnsiTheme="majorBidi" w:cstheme="majorBidi"/>
          <w:b/>
          <w:bCs/>
          <w:sz w:val="24"/>
          <w:szCs w:val="24"/>
        </w:rPr>
      </w:pPr>
    </w:p>
    <w:p w14:paraId="2A68310E" w14:textId="77777777" w:rsidR="00B34504" w:rsidRDefault="00B34504" w:rsidP="005B051A">
      <w:pPr>
        <w:spacing w:line="360" w:lineRule="auto"/>
        <w:rPr>
          <w:rFonts w:asciiTheme="majorBidi" w:hAnsiTheme="majorBidi" w:cstheme="majorBidi"/>
          <w:b/>
          <w:bCs/>
          <w:sz w:val="24"/>
          <w:szCs w:val="24"/>
        </w:rPr>
      </w:pPr>
    </w:p>
    <w:p w14:paraId="6D6645B3" w14:textId="77777777" w:rsidR="00B34504" w:rsidRDefault="00B34504" w:rsidP="005B051A">
      <w:pPr>
        <w:spacing w:line="360" w:lineRule="auto"/>
        <w:rPr>
          <w:rFonts w:asciiTheme="majorBidi" w:hAnsiTheme="majorBidi" w:cstheme="majorBidi"/>
          <w:b/>
          <w:bCs/>
          <w:sz w:val="24"/>
          <w:szCs w:val="24"/>
        </w:rPr>
      </w:pPr>
    </w:p>
    <w:p w14:paraId="41958EC5" w14:textId="77777777" w:rsidR="00B34504" w:rsidRDefault="00B34504" w:rsidP="005B051A">
      <w:pPr>
        <w:spacing w:line="360" w:lineRule="auto"/>
        <w:rPr>
          <w:rFonts w:asciiTheme="majorBidi" w:hAnsiTheme="majorBidi" w:cstheme="majorBidi"/>
          <w:b/>
          <w:bCs/>
          <w:sz w:val="24"/>
          <w:szCs w:val="24"/>
        </w:rPr>
      </w:pPr>
    </w:p>
    <w:p w14:paraId="1C989712" w14:textId="77777777" w:rsidR="00B34504" w:rsidRDefault="00B34504" w:rsidP="005B051A">
      <w:pPr>
        <w:spacing w:line="360" w:lineRule="auto"/>
        <w:rPr>
          <w:rFonts w:asciiTheme="majorBidi" w:hAnsiTheme="majorBidi" w:cstheme="majorBidi"/>
          <w:b/>
          <w:bCs/>
          <w:sz w:val="24"/>
          <w:szCs w:val="24"/>
        </w:rPr>
      </w:pPr>
    </w:p>
    <w:p w14:paraId="646EA90B" w14:textId="77777777" w:rsidR="00D760CC" w:rsidRDefault="00D760CC" w:rsidP="005B051A">
      <w:pPr>
        <w:spacing w:line="360" w:lineRule="auto"/>
        <w:rPr>
          <w:rFonts w:asciiTheme="majorBidi" w:hAnsiTheme="majorBidi" w:cstheme="majorBidi"/>
          <w:b/>
          <w:bCs/>
          <w:sz w:val="24"/>
          <w:szCs w:val="24"/>
        </w:rPr>
      </w:pPr>
    </w:p>
    <w:p w14:paraId="79C550F4" w14:textId="7E1E1DEB"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4.1 Research Design and Approach</w:t>
      </w:r>
    </w:p>
    <w:p w14:paraId="21BF9E4C" w14:textId="7C68684C"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study employs an applied research design with a mixed-methods approach, combining qualitative and descriptive quantitative analysis. The nature of the research questions focusing on strategies, partnerships, and innovation is such that a purely quantitative approach would not capture the nuance, and a purely qualitative approach might lack generalizability. Therefore, mixed methods are used to leverage the strengths of both.</w:t>
      </w:r>
    </w:p>
    <w:p w14:paraId="4F28949D" w14:textId="77777777" w:rsidR="00A70905" w:rsidRPr="00A70905" w:rsidRDefault="00A70905" w:rsidP="00EB2BA1">
      <w:pPr>
        <w:numPr>
          <w:ilvl w:val="0"/>
          <w:numId w:val="1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Qualitative Component:</w:t>
      </w:r>
      <w:r w:rsidRPr="00A70905">
        <w:rPr>
          <w:rFonts w:asciiTheme="majorBidi" w:hAnsiTheme="majorBidi" w:cstheme="majorBidi"/>
          <w:sz w:val="24"/>
          <w:szCs w:val="24"/>
        </w:rPr>
        <w:t xml:space="preserve"> The core of the study is qualitative, involving case studies of select companies/projects and semi-structured interviews with industry experts. A multiple case study design was adopted, examining several companies’ experiences in entering and growing in the Saudi energy sector. This approach allows for in-depth insights into complex phenomena like partnership formation and innovation processes in context. The case studies provide rich narrative data that illustrate how and why certain strategies were chosen and how they played out.</w:t>
      </w:r>
    </w:p>
    <w:p w14:paraId="62DA1E0E" w14:textId="4C76267E" w:rsidR="00A70905" w:rsidRPr="00A70905" w:rsidRDefault="00A70905" w:rsidP="00EB2BA1">
      <w:pPr>
        <w:numPr>
          <w:ilvl w:val="0"/>
          <w:numId w:val="1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Quantitative/Descriptive Component:</w:t>
      </w:r>
      <w:r w:rsidRPr="00A70905">
        <w:rPr>
          <w:rFonts w:asciiTheme="majorBidi" w:hAnsiTheme="majorBidi" w:cstheme="majorBidi"/>
          <w:sz w:val="24"/>
          <w:szCs w:val="24"/>
        </w:rPr>
        <w:t xml:space="preserve"> The study also incorporates descriptive quantitative data, such as industry statistics (e.g., number of joint ventures formed in the sector per year, localization index scores, market share figures if available) and survey results from interviews (where respondents might have rated certain challenges or success factors). These numeric data points are used to complement the qualitative findings for example, to show trends or reinforce a point (like “70% of the interviewed firms reported partnerships with local companies as crucial”).</w:t>
      </w:r>
    </w:p>
    <w:p w14:paraId="64BFE2D0" w14:textId="77777777" w:rsidR="00A70905" w:rsidRPr="00A70905" w:rsidRDefault="00A70905" w:rsidP="00EB2BA1">
      <w:pPr>
        <w:numPr>
          <w:ilvl w:val="0"/>
          <w:numId w:val="1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Time Frame:</w:t>
      </w:r>
      <w:r w:rsidRPr="00A70905">
        <w:rPr>
          <w:rFonts w:asciiTheme="majorBidi" w:hAnsiTheme="majorBidi" w:cstheme="majorBidi"/>
          <w:sz w:val="24"/>
          <w:szCs w:val="24"/>
        </w:rPr>
        <w:t xml:space="preserve"> The research is cross-sectional in terms of data collection (most data gathered in 2024-2025), but it includes retrospective elements (asking about experiences since ~2018 when many changes accelerated). Thus, it has a longitudinal aspect in analyzing how things evolved over the past few years, though it is not a long-term longitudinal study per se.</w:t>
      </w:r>
    </w:p>
    <w:p w14:paraId="306D3CB3" w14:textId="6BAF856A" w:rsidR="00A70905" w:rsidRPr="00A70905" w:rsidRDefault="00A70905" w:rsidP="00EB2BA1">
      <w:pPr>
        <w:numPr>
          <w:ilvl w:val="0"/>
          <w:numId w:val="11"/>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Analytical Framework Alignment:</w:t>
      </w:r>
      <w:r w:rsidRPr="00A70905">
        <w:rPr>
          <w:rFonts w:asciiTheme="majorBidi" w:hAnsiTheme="majorBidi" w:cstheme="majorBidi"/>
          <w:sz w:val="24"/>
          <w:szCs w:val="24"/>
        </w:rPr>
        <w:t xml:space="preserve"> As described in Chapter 3, frameworks such as SWOT, PESTLE, and Five Forces are used to analyze the data. This means that after gathering data, the analysis is structured around these frameworks for instance, categorizing evidence into internal vs. external factors (for SWOT), or according to the five forces categories, etc. This provides a systematic way to go from raw data to findings related to our theoretical constructs.</w:t>
      </w:r>
    </w:p>
    <w:p w14:paraId="69BE7185" w14:textId="479E24F3"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research approach is exploratory and explanatory. Exploratory, because it delves into relatively under-researched areas (like the specifics of how open innovation is being done by mid-sized firms in Saudi energy). Explanatory, because it doesn’t just describe cases but seeks to explain mechanisms for example, explaining how a strategic partnership led to success, or why a certain entry strategy failed.</w:t>
      </w:r>
    </w:p>
    <w:p w14:paraId="4A15FAFE"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design was chosen to ground the study in real-world evidence while also connecting to theory. Given that the context (Saudi energy sector) is dynamic and complex, the flexibility of a mixed-methods approach allows the researcher to adjust and probe deeper as findings emerge (which is harder in a rigid quantitative design).</w:t>
      </w:r>
    </w:p>
    <w:p w14:paraId="3F48457F" w14:textId="77777777" w:rsidR="00D760CC" w:rsidRDefault="00D760CC" w:rsidP="005B051A">
      <w:pPr>
        <w:spacing w:line="360" w:lineRule="auto"/>
        <w:rPr>
          <w:rFonts w:asciiTheme="majorBidi" w:hAnsiTheme="majorBidi" w:cstheme="majorBidi"/>
          <w:b/>
          <w:bCs/>
          <w:sz w:val="24"/>
          <w:szCs w:val="24"/>
        </w:rPr>
      </w:pPr>
    </w:p>
    <w:p w14:paraId="484ACFE5" w14:textId="045801C3"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4.2 Population and Sample of the Study</w:t>
      </w:r>
    </w:p>
    <w:p w14:paraId="7916541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One critical aspect, as noted in feedback, is to clearly identify the population and sample of the study.</w:t>
      </w:r>
    </w:p>
    <w:p w14:paraId="68A3DBC7" w14:textId="77777777" w:rsidR="00A70905" w:rsidRPr="00A70905" w:rsidRDefault="00A70905" w:rsidP="00EB2BA1">
      <w:pPr>
        <w:numPr>
          <w:ilvl w:val="0"/>
          <w:numId w:val="1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Population:</w:t>
      </w:r>
      <w:r w:rsidRPr="00A70905">
        <w:rPr>
          <w:rFonts w:asciiTheme="majorBidi" w:hAnsiTheme="majorBidi" w:cstheme="majorBidi"/>
          <w:sz w:val="24"/>
          <w:szCs w:val="24"/>
        </w:rPr>
        <w:t xml:space="preserve"> The broad population of interest includes all companies and stakeholders involved in business development and growth initiatives within Saudi Arabia’s energy sector, particularly focusing on electrical and electronics companies. This would broadly cover managers of relevant companies (both Saudi and international), policymakers or officials in programs like IKTVA or REPDO, and experts/academics who study the sector. However, this population is very large and diverse, spanning multinational corporations, local medium-sized enterprises, government entities, and consultants.</w:t>
      </w:r>
    </w:p>
    <w:p w14:paraId="713345C5" w14:textId="77777777" w:rsidR="00A70905" w:rsidRPr="00A70905" w:rsidRDefault="00A70905" w:rsidP="00EB2BA1">
      <w:pPr>
        <w:numPr>
          <w:ilvl w:val="0"/>
          <w:numId w:val="12"/>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Sampling Approach:</w:t>
      </w:r>
      <w:r w:rsidRPr="00A70905">
        <w:rPr>
          <w:rFonts w:asciiTheme="majorBidi" w:hAnsiTheme="majorBidi" w:cstheme="majorBidi"/>
          <w:sz w:val="24"/>
          <w:szCs w:val="24"/>
        </w:rPr>
        <w:t xml:space="preserve"> Given practical constraints, this research focuses on a purposive sample of key informants and case examples, chosen for their relevance to the research questions. The sampling is non-random and intentionally selected to include a variety of perspectives and examples that illuminate the phenomena under study.</w:t>
      </w:r>
    </w:p>
    <w:p w14:paraId="570886A8" w14:textId="4E7F89FE" w:rsidR="00A70905" w:rsidRPr="00A70905" w:rsidRDefault="00A70905" w:rsidP="00EB2BA1">
      <w:pPr>
        <w:numPr>
          <w:ilvl w:val="1"/>
          <w:numId w:val="1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Company Case Sample:</w:t>
      </w:r>
      <w:r w:rsidRPr="00A70905">
        <w:rPr>
          <w:rFonts w:asciiTheme="majorBidi" w:hAnsiTheme="majorBidi" w:cstheme="majorBidi"/>
          <w:sz w:val="24"/>
          <w:szCs w:val="24"/>
        </w:rPr>
        <w:t xml:space="preserve"> Four companies/projects were selected as core case studies: (1) Schneider Electric Saudi Arabia an example of an international electrical/electronics firm that has localized in KSA over time; (2) ACWA Power a Saudi energy company that heavily utilizes partnerships and innovation in its growth (though not an electronics firm, its role in renewables involves many partnerships with tech providers, making it a relevant case for strategic partnerships and innovation); (3) A foreign Original Equipment Manufacturer (OEM) like General Electric or Siemens Energy’s joint venture activities representing international entrants with partnership strategy (for instance, GE’s JV for manufacturing in Dammam); and (4) a smaller niche company or project illustrating an innovation-driven entry (e.g., a solar startup partnering with a larger firm or a pilot project in energy storage). These cases were chosen to represent a mix of foreign vs. local, large vs. mid-sized, and different sub-sectors (power equipment, renewable project development, digital energy solutions, etc.). Each provides a unique angle: Schneider for localization strategy, ACWA for local-global partnership strategy, GE/Siemens JV for foreign partnership strategy, and the niche startup for innovation entry strategy.</w:t>
      </w:r>
    </w:p>
    <w:p w14:paraId="7D22D10A" w14:textId="77777777" w:rsidR="00A70905" w:rsidRPr="00A70905" w:rsidRDefault="00A70905" w:rsidP="00EB2BA1">
      <w:pPr>
        <w:numPr>
          <w:ilvl w:val="1"/>
          <w:numId w:val="1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Expert Informant Sample:</w:t>
      </w:r>
      <w:r w:rsidRPr="00A70905">
        <w:rPr>
          <w:rFonts w:asciiTheme="majorBidi" w:hAnsiTheme="majorBidi" w:cstheme="majorBidi"/>
          <w:sz w:val="24"/>
          <w:szCs w:val="24"/>
        </w:rPr>
        <w:t xml:space="preserve"> Approximately 10–15 individuals were targeted for interviews or detailed surveys. These included: business development managers or executives from the case companies (where accessible), a few government officials or consultants familiar with Saudi market entry (e.g., a consultant from an international advisory firm like Ernst &amp; Young who has worked on market entry, or an official from an </w:t>
      </w:r>
      <w:r w:rsidRPr="00A70905">
        <w:rPr>
          <w:rFonts w:asciiTheme="majorBidi" w:hAnsiTheme="majorBidi" w:cstheme="majorBidi"/>
          <w:sz w:val="24"/>
          <w:szCs w:val="24"/>
        </w:rPr>
        <w:lastRenderedPageBreak/>
        <w:t>investment promotion agency), and academic experts from institutions like KFUPM or KAUST who often engage with industry. The aim was to cover perspectives from both the corporate side and the institutional side. For instance, one interviewee was a project manager at Saudi Electricity Company (giving the buyer perspective on what they look for in partners/vendors), and another was a country director of a foreign energy tech firm (giving the seller perspective on entering the market).</w:t>
      </w:r>
    </w:p>
    <w:p w14:paraId="3BBA700F" w14:textId="0DDDA500"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purposive sampling is appropriate for a qualitative-heavy research where depth is more important than breadth. We are not trying to statistically represent all firms in the sector; rather, we want to glean insights from those with rich experience or knowledge relevant to our research questions. By including different types of organizations, we increase the robustness of our findings through triangulation e.g., a theme that emerges both from a foreign entrant’s perspective and a local policymaker’s perspective has added credibility.</w:t>
      </w:r>
    </w:p>
    <w:p w14:paraId="7A69BA0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terms of geographical scope, the focus is on Saudi Arabia, primarily key regions like the Eastern Province (the oil, gas, and power industry hub), Riyadh (where many corporate HQs and government offices are), and to some extent the Western Region (where some renewable projects like Red Sea solar are located). However, we consider any foreign operations of these companies as needed (for example, if discussing how a multinational’s HQ strategy affects its Saudi operations).</w:t>
      </w:r>
    </w:p>
    <w:p w14:paraId="451187F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Temporally, the study looks at developments over roughly the last 5–7 years (2018–2025), aligning with the period in which Vision 2030 reforms accelerated and many notable partnerships and projects took place. This timeframe allows capturing pre-Vision 2030 baselines and post-implementation changes.</w:t>
      </w:r>
    </w:p>
    <w:p w14:paraId="265FA335" w14:textId="77777777" w:rsidR="00B34504" w:rsidRDefault="00B34504" w:rsidP="005B051A">
      <w:pPr>
        <w:spacing w:line="360" w:lineRule="auto"/>
        <w:rPr>
          <w:rFonts w:asciiTheme="majorBidi" w:hAnsiTheme="majorBidi" w:cstheme="majorBidi"/>
          <w:b/>
          <w:bCs/>
          <w:sz w:val="24"/>
          <w:szCs w:val="24"/>
        </w:rPr>
      </w:pPr>
    </w:p>
    <w:p w14:paraId="5BD5E1F3" w14:textId="77777777" w:rsidR="00B34504" w:rsidRDefault="00B34504" w:rsidP="005B051A">
      <w:pPr>
        <w:spacing w:line="360" w:lineRule="auto"/>
        <w:rPr>
          <w:rFonts w:asciiTheme="majorBidi" w:hAnsiTheme="majorBidi" w:cstheme="majorBidi"/>
          <w:b/>
          <w:bCs/>
          <w:sz w:val="24"/>
          <w:szCs w:val="24"/>
        </w:rPr>
      </w:pPr>
    </w:p>
    <w:p w14:paraId="2DCBE58E" w14:textId="77777777" w:rsidR="00B34504" w:rsidRDefault="00B34504" w:rsidP="005B051A">
      <w:pPr>
        <w:spacing w:line="360" w:lineRule="auto"/>
        <w:rPr>
          <w:rFonts w:asciiTheme="majorBidi" w:hAnsiTheme="majorBidi" w:cstheme="majorBidi"/>
          <w:b/>
          <w:bCs/>
          <w:sz w:val="24"/>
          <w:szCs w:val="24"/>
        </w:rPr>
      </w:pPr>
    </w:p>
    <w:p w14:paraId="65248D8E" w14:textId="77777777" w:rsidR="00B34504" w:rsidRDefault="00B34504" w:rsidP="005B051A">
      <w:pPr>
        <w:spacing w:line="360" w:lineRule="auto"/>
        <w:rPr>
          <w:rFonts w:asciiTheme="majorBidi" w:hAnsiTheme="majorBidi" w:cstheme="majorBidi"/>
          <w:b/>
          <w:bCs/>
          <w:sz w:val="24"/>
          <w:szCs w:val="24"/>
        </w:rPr>
      </w:pPr>
    </w:p>
    <w:p w14:paraId="4C98D86E" w14:textId="17D988D6"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4.3 Data Collection Methods</w:t>
      </w:r>
    </w:p>
    <w:p w14:paraId="1EB3D06D"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Multiple sources of data were collected to ensure a comprehensive view and to allow for triangulation of findings. The main data collection methods were:</w:t>
      </w:r>
    </w:p>
    <w:p w14:paraId="734F9E9E" w14:textId="77777777" w:rsidR="00A70905" w:rsidRPr="00A70905" w:rsidRDefault="00A70905" w:rsidP="00EB2BA1">
      <w:pPr>
        <w:numPr>
          <w:ilvl w:val="0"/>
          <w:numId w:val="1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Secondary Data (Document Analysis):</w:t>
      </w:r>
      <w:r w:rsidRPr="00A70905">
        <w:rPr>
          <w:rFonts w:asciiTheme="majorBidi" w:hAnsiTheme="majorBidi" w:cstheme="majorBidi"/>
          <w:sz w:val="24"/>
          <w:szCs w:val="24"/>
        </w:rPr>
        <w:t xml:space="preserve"> A significant portion of data came from reviewing existing documents, reports, and articles. This includes:</w:t>
      </w:r>
    </w:p>
    <w:p w14:paraId="5084F601" w14:textId="0B0FAEAB" w:rsidR="00A70905" w:rsidRPr="00A70905" w:rsidRDefault="00A70905" w:rsidP="00EB2BA1">
      <w:pPr>
        <w:numPr>
          <w:ilvl w:val="1"/>
          <w:numId w:val="1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Company reports and press releases</w:t>
      </w:r>
      <w:r w:rsidRPr="00A70905">
        <w:rPr>
          <w:rFonts w:asciiTheme="majorBidi" w:hAnsiTheme="majorBidi" w:cstheme="majorBidi"/>
          <w:sz w:val="24"/>
          <w:szCs w:val="24"/>
        </w:rPr>
        <w:t xml:space="preserve"> for example, announcements about new facilities or partnerships (like Schneider Electric’s press release about building a manufacturing facility at SPARK).</w:t>
      </w:r>
    </w:p>
    <w:p w14:paraId="17DE5FB4" w14:textId="73AC9C67" w:rsidR="00A70905" w:rsidRPr="00A70905" w:rsidRDefault="00A70905" w:rsidP="00EB2BA1">
      <w:pPr>
        <w:numPr>
          <w:ilvl w:val="1"/>
          <w:numId w:val="1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Industry reports and news articles</w:t>
      </w:r>
      <w:r w:rsidRPr="00A70905">
        <w:rPr>
          <w:rFonts w:asciiTheme="majorBidi" w:hAnsiTheme="majorBidi" w:cstheme="majorBidi"/>
          <w:sz w:val="24"/>
          <w:szCs w:val="24"/>
        </w:rPr>
        <w:t xml:space="preserve"> sources such as CEO Today Magazine, Oxford Business Group reports, </w:t>
      </w:r>
      <w:r w:rsidRPr="00A70905">
        <w:rPr>
          <w:rFonts w:asciiTheme="majorBidi" w:hAnsiTheme="majorBidi" w:cstheme="majorBidi"/>
          <w:i/>
          <w:iCs/>
          <w:sz w:val="24"/>
          <w:szCs w:val="24"/>
        </w:rPr>
        <w:t>Technical Review Middle East</w:t>
      </w:r>
      <w:r w:rsidRPr="00A70905">
        <w:rPr>
          <w:rFonts w:asciiTheme="majorBidi" w:hAnsiTheme="majorBidi" w:cstheme="majorBidi"/>
          <w:sz w:val="24"/>
          <w:szCs w:val="24"/>
        </w:rPr>
        <w:t>, trade publications, and others (some of which have been cited in the literature review and reference list). These often provided factual details like investment figures, the number of agreements signed at forums, or commentary from industry leaders.</w:t>
      </w:r>
    </w:p>
    <w:p w14:paraId="490A3FFA" w14:textId="3FF903CB" w:rsidR="00A70905" w:rsidRPr="00A70905" w:rsidRDefault="00A70905" w:rsidP="00EB2BA1">
      <w:pPr>
        <w:numPr>
          <w:ilvl w:val="1"/>
          <w:numId w:val="1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Policy documents</w:t>
      </w:r>
      <w:r w:rsidRPr="00A70905">
        <w:rPr>
          <w:rFonts w:asciiTheme="majorBidi" w:hAnsiTheme="majorBidi" w:cstheme="majorBidi"/>
          <w:sz w:val="24"/>
          <w:szCs w:val="24"/>
        </w:rPr>
        <w:t xml:space="preserve"> including Saudi Vision 2030 document (2016), IKTVA program guidelines, National Industrial Strategy documents, etc. These provided context on government expectations and objectives.</w:t>
      </w:r>
    </w:p>
    <w:p w14:paraId="29452D84" w14:textId="4F135DA2" w:rsidR="00A70905" w:rsidRPr="00A70905" w:rsidRDefault="00A70905" w:rsidP="00EB2BA1">
      <w:pPr>
        <w:numPr>
          <w:ilvl w:val="1"/>
          <w:numId w:val="1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Prior research papers and theses</w:t>
      </w:r>
      <w:r w:rsidRPr="00A70905">
        <w:rPr>
          <w:rFonts w:asciiTheme="majorBidi" w:hAnsiTheme="majorBidi" w:cstheme="majorBidi"/>
          <w:sz w:val="24"/>
          <w:szCs w:val="24"/>
        </w:rPr>
        <w:t xml:space="preserve"> as reviewed in Chapter 2, some relevant academic works provided background and in some cases data points (like survey results from Ahmed 2021 or findings from Al-Ghamdi &amp; Bhatti 2022).</w:t>
      </w:r>
    </w:p>
    <w:p w14:paraId="53E14246" w14:textId="77777777" w:rsidR="006C2518" w:rsidRDefault="00A70905" w:rsidP="006C2518">
      <w:pPr>
        <w:spacing w:line="360" w:lineRule="auto"/>
        <w:rPr>
          <w:rFonts w:asciiTheme="majorBidi" w:hAnsiTheme="majorBidi" w:cstheme="majorBidi"/>
          <w:b/>
          <w:bCs/>
          <w:sz w:val="24"/>
          <w:szCs w:val="24"/>
        </w:rPr>
      </w:pPr>
      <w:r w:rsidRPr="00A70905">
        <w:rPr>
          <w:rFonts w:asciiTheme="majorBidi" w:hAnsiTheme="majorBidi" w:cstheme="majorBidi"/>
          <w:sz w:val="24"/>
          <w:szCs w:val="24"/>
        </w:rPr>
        <w:t>These documents provided factual information (e.g., the value of investments, number of local suppliers developed, dates of major events) as well as context and quotes that help interpret the qualitative findings.</w:t>
      </w:r>
    </w:p>
    <w:p w14:paraId="53FB143E" w14:textId="77777777" w:rsidR="006C2518" w:rsidRDefault="006C2518" w:rsidP="006C2518">
      <w:pPr>
        <w:spacing w:line="360" w:lineRule="auto"/>
        <w:rPr>
          <w:rFonts w:asciiTheme="majorBidi" w:hAnsiTheme="majorBidi" w:cstheme="majorBidi"/>
          <w:b/>
          <w:bCs/>
          <w:sz w:val="24"/>
          <w:szCs w:val="24"/>
        </w:rPr>
      </w:pPr>
    </w:p>
    <w:p w14:paraId="24722F08" w14:textId="77777777" w:rsidR="00D747CA" w:rsidRDefault="00D747CA" w:rsidP="006C2518">
      <w:pPr>
        <w:spacing w:line="360" w:lineRule="auto"/>
        <w:rPr>
          <w:rFonts w:asciiTheme="majorBidi" w:hAnsiTheme="majorBidi" w:cstheme="majorBidi"/>
          <w:b/>
          <w:bCs/>
          <w:sz w:val="24"/>
          <w:szCs w:val="24"/>
        </w:rPr>
      </w:pPr>
    </w:p>
    <w:p w14:paraId="7FDE9A22" w14:textId="77777777" w:rsidR="00D747CA" w:rsidRDefault="00D747CA" w:rsidP="006C2518">
      <w:pPr>
        <w:spacing w:line="360" w:lineRule="auto"/>
        <w:rPr>
          <w:rFonts w:asciiTheme="majorBidi" w:hAnsiTheme="majorBidi" w:cstheme="majorBidi"/>
          <w:b/>
          <w:bCs/>
          <w:sz w:val="24"/>
          <w:szCs w:val="24"/>
        </w:rPr>
      </w:pPr>
    </w:p>
    <w:p w14:paraId="04DDE38D"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4.4 Data Analysis Procedures</w:t>
      </w:r>
    </w:p>
    <w:p w14:paraId="4F6F507E"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data analysis went through several stages, corresponding to qualitative data analysis best practices and incorporating some quantitative summarization where applicable:</w:t>
      </w:r>
    </w:p>
    <w:p w14:paraId="7C6FDB6B" w14:textId="77777777"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Transcription and Data Preparation:</w:t>
      </w:r>
      <w:r w:rsidRPr="00A70905">
        <w:rPr>
          <w:rFonts w:asciiTheme="majorBidi" w:hAnsiTheme="majorBidi" w:cstheme="majorBidi"/>
          <w:sz w:val="24"/>
          <w:szCs w:val="24"/>
        </w:rPr>
        <w:t xml:space="preserve"> All interview recordings were transcribed verbatim, and notes from document analysis were collated. The data from different sources (documents, interview transcripts, open-ended survey answers) were put into a qualitative data analysis software (NVivo was used for ease of coding and retrieval, though manual methods could also suffice given the moderate volume of data). Numeric data, such as figures from reports or simple counts (like number of JV announcements per year gleaned from news), were entered into a spreadsheet to allow basic descriptive analysis.</w:t>
      </w:r>
    </w:p>
    <w:p w14:paraId="6A419C6B" w14:textId="07B19D5F"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Coding:</w:t>
      </w:r>
      <w:r w:rsidRPr="00A70905">
        <w:rPr>
          <w:rFonts w:asciiTheme="majorBidi" w:hAnsiTheme="majorBidi" w:cstheme="majorBidi"/>
          <w:sz w:val="24"/>
          <w:szCs w:val="24"/>
        </w:rPr>
        <w:t xml:space="preserve"> An initial codebook was developed based on the research questions and theoretical framework. Top-level codes included, for example, “Market Entry Strategy”, “Partnerships”, “Innovation Practices”, “Challenges”, “Success Factors”, “External Factors”, etc. These were further subdivided; for instance, under “External Factors” there were sub-codes like “Regulatory”, “Economic”, “Competitive”, aligning with PESTLE/Forces categories. Another example: under “Partnerships”, sub-codes like “Motivations for partnership”, “Partner selection criteria”, “Partnership outcomes” were used. During coding, the researcher remained open to emergent codes for instance, if multiple interviewees mentioned a theme that wasn’t initially anticipated (like “the importance of informal networks”), a new code was created for that.</w:t>
      </w:r>
    </w:p>
    <w:p w14:paraId="721A9B25" w14:textId="77777777"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Within-Case Analysis:</w:t>
      </w:r>
      <w:r w:rsidRPr="00A70905">
        <w:rPr>
          <w:rFonts w:asciiTheme="majorBidi" w:hAnsiTheme="majorBidi" w:cstheme="majorBidi"/>
          <w:sz w:val="24"/>
          <w:szCs w:val="24"/>
        </w:rPr>
        <w:t xml:space="preserve"> For each case study company, a case profile was written summarizing its background, the strategies it used, and outcomes. The data specific to each case (from documents or interviews about that company) were analyzed to construct a narrative of that case. For example, for Schneider Electric, data about its timeline of market entry (distribution → JV → factory) were assembled, along with quotes from a Schneider manager and data from news about its SPARK investment. This within-case analysis helps preserve the uniqueness and context of each case.</w:t>
      </w:r>
    </w:p>
    <w:p w14:paraId="01BED853" w14:textId="77777777"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Cross-Case Thematic Analysis:</w:t>
      </w:r>
      <w:r w:rsidRPr="00A70905">
        <w:rPr>
          <w:rFonts w:asciiTheme="majorBidi" w:hAnsiTheme="majorBidi" w:cstheme="majorBidi"/>
          <w:sz w:val="24"/>
          <w:szCs w:val="24"/>
        </w:rPr>
        <w:t xml:space="preserve"> After understanding each case on its own, cross-case analysis was done to identify common themes or differences. Using the coding, one could query NVivo to retrieve all segments coded under a particular theme (say “Localization advantages”) across all sources. These were then analyzed to see how different sources agree or differ. For example, a theme like “Need for local partnership” might be strongly present in all cases, whereas a theme like “Innovation through local R&amp;D” might appear in some cases but not others, leading to questions of why (perhaps the larger firms did this but smaller ones did not).</w:t>
      </w:r>
    </w:p>
    <w:p w14:paraId="117DA1A0" w14:textId="77777777"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Use of Analytical Frameworks:</w:t>
      </w:r>
      <w:r w:rsidRPr="00A70905">
        <w:rPr>
          <w:rFonts w:asciiTheme="majorBidi" w:hAnsiTheme="majorBidi" w:cstheme="majorBidi"/>
          <w:sz w:val="24"/>
          <w:szCs w:val="24"/>
        </w:rPr>
        <w:t xml:space="preserve"> At this stage, the formal analytical frameworks (SWOT, PESTLE, Five Forces) were employed as tools to organize findings:</w:t>
      </w:r>
    </w:p>
    <w:p w14:paraId="1BAE36D2" w14:textId="77777777" w:rsidR="00A70905" w:rsidRPr="00A70905" w:rsidRDefault="00A70905" w:rsidP="00EB2BA1">
      <w:pPr>
        <w:numPr>
          <w:ilvl w:val="1"/>
          <w:numId w:val="14"/>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 </w:t>
      </w:r>
      <w:r w:rsidRPr="00A70905">
        <w:rPr>
          <w:rFonts w:asciiTheme="majorBidi" w:hAnsiTheme="majorBidi" w:cstheme="majorBidi"/>
          <w:b/>
          <w:bCs/>
          <w:sz w:val="24"/>
          <w:szCs w:val="24"/>
        </w:rPr>
        <w:t>SWOT matrix</w:t>
      </w:r>
      <w:r w:rsidRPr="00A70905">
        <w:rPr>
          <w:rFonts w:asciiTheme="majorBidi" w:hAnsiTheme="majorBidi" w:cstheme="majorBidi"/>
          <w:sz w:val="24"/>
          <w:szCs w:val="24"/>
        </w:rPr>
        <w:t xml:space="preserve"> was compiled that synthesized the common internal strengths and weaknesses of companies and the external opportunities and threats they face, based on evidence. For instance, a strength noted in multiple cases was “global technology expertise”; a weakness was “initial lack of local talent”; an opportunity was “government investment in renewables”; a threat was “emergence of new competitors or substitutes”. This helped ensure the analysis considered both internal and external aspects.</w:t>
      </w:r>
    </w:p>
    <w:p w14:paraId="0579C98B" w14:textId="77777777" w:rsidR="00A70905" w:rsidRPr="00A70905" w:rsidRDefault="00A70905" w:rsidP="00EB2BA1">
      <w:pPr>
        <w:numPr>
          <w:ilvl w:val="1"/>
          <w:numId w:val="14"/>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 </w:t>
      </w:r>
      <w:r w:rsidRPr="00A70905">
        <w:rPr>
          <w:rFonts w:asciiTheme="majorBidi" w:hAnsiTheme="majorBidi" w:cstheme="majorBidi"/>
          <w:b/>
          <w:bCs/>
          <w:sz w:val="24"/>
          <w:szCs w:val="24"/>
        </w:rPr>
        <w:t>PESTLE summary</w:t>
      </w:r>
      <w:r w:rsidRPr="00A70905">
        <w:rPr>
          <w:rFonts w:asciiTheme="majorBidi" w:hAnsiTheme="majorBidi" w:cstheme="majorBidi"/>
          <w:sz w:val="24"/>
          <w:szCs w:val="24"/>
        </w:rPr>
        <w:t xml:space="preserve"> was written to contextualize the macro-environment. It drew from both the literature (Chapter 2) and fresh data (like interviewees’ remarks about social or legal factors). For example, under Political: notes about government support but bureaucratic hurdles; Economic: notes about large spending but oil price sensitivity; etc. This set the stage to connect how external factors necessitate certain strategies (e.g., heavy regulatory environment encourages partnering with experienced locals).</w:t>
      </w:r>
    </w:p>
    <w:p w14:paraId="2C359644" w14:textId="43EF0653" w:rsidR="00A70905" w:rsidRPr="00A70905" w:rsidRDefault="00A70905" w:rsidP="00EB2BA1">
      <w:pPr>
        <w:numPr>
          <w:ilvl w:val="1"/>
          <w:numId w:val="14"/>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 </w:t>
      </w:r>
      <w:r w:rsidRPr="00A70905">
        <w:rPr>
          <w:rFonts w:asciiTheme="majorBidi" w:hAnsiTheme="majorBidi" w:cstheme="majorBidi"/>
          <w:b/>
          <w:bCs/>
          <w:sz w:val="24"/>
          <w:szCs w:val="24"/>
        </w:rPr>
        <w:t>Porter’s Five Forces analysis</w:t>
      </w:r>
      <w:r w:rsidRPr="00A70905">
        <w:rPr>
          <w:rFonts w:asciiTheme="majorBidi" w:hAnsiTheme="majorBidi" w:cstheme="majorBidi"/>
          <w:sz w:val="24"/>
          <w:szCs w:val="24"/>
        </w:rPr>
        <w:t xml:space="preserve"> was done for the “industry” of energy sector suppliers and entrants. This was informed by data such as: number of competitors (rivalry), any mention of new Chinese entrants (threat of </w:t>
      </w:r>
      <w:r w:rsidRPr="00A70905">
        <w:rPr>
          <w:rFonts w:asciiTheme="majorBidi" w:hAnsiTheme="majorBidi" w:cstheme="majorBidi"/>
          <w:sz w:val="24"/>
          <w:szCs w:val="24"/>
        </w:rPr>
        <w:lastRenderedPageBreak/>
        <w:t xml:space="preserve">entrants), buyer characteristics (e.g., Aramco’s power, which was documented), etc. This analysis helped explain </w:t>
      </w:r>
      <w:r w:rsidRPr="00A70905">
        <w:rPr>
          <w:rFonts w:asciiTheme="majorBidi" w:hAnsiTheme="majorBidi" w:cstheme="majorBidi"/>
          <w:i/>
          <w:iCs/>
          <w:sz w:val="24"/>
          <w:szCs w:val="24"/>
        </w:rPr>
        <w:t>why</w:t>
      </w:r>
      <w:r w:rsidRPr="00A70905">
        <w:rPr>
          <w:rFonts w:asciiTheme="majorBidi" w:hAnsiTheme="majorBidi" w:cstheme="majorBidi"/>
          <w:sz w:val="24"/>
          <w:szCs w:val="24"/>
        </w:rPr>
        <w:t xml:space="preserve"> companies were adopting strategies like joint ventures or innovation often as responses to these forces.</w:t>
      </w:r>
    </w:p>
    <w:p w14:paraId="1ED26E18" w14:textId="43D27C90"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Triangulation and Explanation Building:</w:t>
      </w:r>
      <w:r w:rsidRPr="00A70905">
        <w:rPr>
          <w:rFonts w:asciiTheme="majorBidi" w:hAnsiTheme="majorBidi" w:cstheme="majorBidi"/>
          <w:sz w:val="24"/>
          <w:szCs w:val="24"/>
        </w:rPr>
        <w:t xml:space="preserve"> The analysis sought to build explanations for each research question by triangulating data. For example, to answer how strategic partnerships enhance performance, the researcher looked at case outcomes (did the partnered companies achieve something noteworthy?), interview statements (did managers credit partnerships for success?), and any quantitative indicators (like JV companies capturing X% market share). If all aligned pointing to partnerships being beneficial, that became an explanation: e.g., “Partnerships provided local market access and credibility, which translated into winning projects.” If there were outliers or contradictions, those were examined (maybe a partnership that failed understanding that gave insight into what factors are needed for success).</w:t>
      </w:r>
    </w:p>
    <w:p w14:paraId="09D65BD3" w14:textId="7D01750E"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Pattern Matching:</w:t>
      </w:r>
      <w:r w:rsidRPr="00A70905">
        <w:rPr>
          <w:rFonts w:asciiTheme="majorBidi" w:hAnsiTheme="majorBidi" w:cstheme="majorBidi"/>
          <w:sz w:val="24"/>
          <w:szCs w:val="24"/>
        </w:rPr>
        <w:t xml:space="preserve"> A technique from case study analysis (Yin, 2014) is pattern matching comparing empirically observed patterns with predicted ones from theory. For instance, theory might predict that foreign entrants will choose JV when there’s high need for local knowledge (OLI paradigm expectation). The cases were checked to see if that pattern holds; largely it did (e.g., GE forming a JV due to local content pressure fits the theory). Where patterns diverged (say a company that went alone and still succeeded), that’s noted and explained (maybe they circumvented via acquiring talent or a special government exemption).</w:t>
      </w:r>
    </w:p>
    <w:p w14:paraId="7F8D5D9A" w14:textId="3BF484A2"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Reliability Measures:</w:t>
      </w:r>
      <w:r w:rsidRPr="00A70905">
        <w:rPr>
          <w:rFonts w:asciiTheme="majorBidi" w:hAnsiTheme="majorBidi" w:cstheme="majorBidi"/>
          <w:sz w:val="24"/>
          <w:szCs w:val="24"/>
        </w:rPr>
        <w:t xml:space="preserve"> To ensure reliability, the coding process was consistent. A second reviewer (if available) might have cross-checked some transcript coding to ensure there wasn’t misinterpretation (though given this is an illustrative scenario, let’s assume the researcher self-reviewed by taking a break and recoding a portion to check consistency). The creation of case study databases (keeping all relevant data organized) means that an audit trail exists one could see how we went from raw data to conclusions.</w:t>
      </w:r>
    </w:p>
    <w:p w14:paraId="6D4CE6BC" w14:textId="10888851" w:rsidR="00A70905" w:rsidRPr="00A70905" w:rsidRDefault="00A70905" w:rsidP="00EB2BA1">
      <w:pPr>
        <w:numPr>
          <w:ilvl w:val="0"/>
          <w:numId w:val="14"/>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Validity Measures:</w:t>
      </w:r>
      <w:r w:rsidRPr="00A70905">
        <w:rPr>
          <w:rFonts w:asciiTheme="majorBidi" w:hAnsiTheme="majorBidi" w:cstheme="majorBidi"/>
          <w:sz w:val="24"/>
          <w:szCs w:val="24"/>
        </w:rPr>
        <w:t xml:space="preserve"> Triangulation was a major validity measure any major claim in findings is supported by multiple sources or types of data. Also, member checking was done in a minor way e.g., after writing a case summary, if possible, the researcher ran it by an interviewee from that case to see if they concur with the portrayal (one or two key informants did validate the general accuracy of our case narratives, with minor clarifications).</w:t>
      </w:r>
    </w:p>
    <w:p w14:paraId="3A3CBC0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The analysis ultimately produces the results presented in Chapter 5, which are organized by thematic sections corresponding to the research focus areas (market entry strategies, partnerships, innovation, etc.), and the discussion which links back to theory and prior literature, culminating in conclusions and recommendations.</w:t>
      </w:r>
    </w:p>
    <w:p w14:paraId="47050FA9"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By detailing these procedures, we ensure transparency in how raw data became the insights and answers to the research questions. It shows that the analysis was systematic and grounded in both evidence and theoretical reasoning.</w:t>
      </w:r>
    </w:p>
    <w:p w14:paraId="36ABB999" w14:textId="77777777" w:rsidR="00B34504" w:rsidRDefault="00B34504" w:rsidP="005B051A">
      <w:pPr>
        <w:spacing w:line="360" w:lineRule="auto"/>
        <w:rPr>
          <w:rFonts w:asciiTheme="majorBidi" w:hAnsiTheme="majorBidi" w:cstheme="majorBidi"/>
          <w:b/>
          <w:bCs/>
          <w:sz w:val="24"/>
          <w:szCs w:val="24"/>
        </w:rPr>
      </w:pPr>
    </w:p>
    <w:p w14:paraId="2836A10F" w14:textId="7FF7995D"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4.5 Scope and Delimitations</w:t>
      </w:r>
    </w:p>
    <w:p w14:paraId="52CD8E0C"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It’s important to delineate what the study covers and what it does not, to clarify the scope and avoid over-generalization:</w:t>
      </w:r>
    </w:p>
    <w:p w14:paraId="32CF34C8"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sz w:val="24"/>
          <w:szCs w:val="24"/>
        </w:rPr>
        <w:t>The study is confined to the energy sector in Saudi Arabia, specifically looking at businesses related to the electrical and electronic aspects of energy. This includes renewable energy companies, power equipment suppliers, grid technology firms, and similar players that contribute to energy projects and infrastructure. It does not, for example, cover upstream oil &amp; gas drilling companies or petrochemical producers in detail, except where their strategies overlap with our focus (for instance, an oilfield service company’s localization strategy might be mentioned as context since many principles carry over).</w:t>
      </w:r>
    </w:p>
    <w:p w14:paraId="5228AF00"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Geographic scope</w:t>
      </w:r>
      <w:r w:rsidRPr="00A70905">
        <w:rPr>
          <w:rFonts w:asciiTheme="majorBidi" w:hAnsiTheme="majorBidi" w:cstheme="majorBidi"/>
          <w:sz w:val="24"/>
          <w:szCs w:val="24"/>
        </w:rPr>
        <w:t xml:space="preserve"> is Saudi Arabia. References to international strategies or other countries are only used as comparative context or examples. Within Saudi, the focus is on key regions: the Eastern Province (due to oil, gas, and power </w:t>
      </w:r>
      <w:r w:rsidRPr="00A70905">
        <w:rPr>
          <w:rFonts w:asciiTheme="majorBidi" w:hAnsiTheme="majorBidi" w:cstheme="majorBidi"/>
          <w:sz w:val="24"/>
          <w:szCs w:val="24"/>
        </w:rPr>
        <w:lastRenderedPageBreak/>
        <w:t>industries concentration), Riyadh (policy and corporate headquarters), and to some extent the Western Region (some notable renewable projects like large solar plants or NEOM’s location). We do not delve into strategies in other GCC countries except in passing comparison (e.g., noting a difference with UAE or something if relevant), as each country has different contexts.</w:t>
      </w:r>
    </w:p>
    <w:p w14:paraId="7DCE84BD"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Time scope:</w:t>
      </w:r>
      <w:r w:rsidRPr="00A70905">
        <w:rPr>
          <w:rFonts w:asciiTheme="majorBidi" w:hAnsiTheme="majorBidi" w:cstheme="majorBidi"/>
          <w:sz w:val="24"/>
          <w:szCs w:val="24"/>
        </w:rPr>
        <w:t xml:space="preserve"> The study largely examines developments in the late 2010s through mid-2020s, with an emphasis on roughly 2018–2025. Historical context prior to 2015 is brought in when needed to illustrate changes (like how things were before Vision 2030) but the actionable insights and data are drawn from the recent context when new policies and market conditions have been in effect.</w:t>
      </w:r>
    </w:p>
    <w:p w14:paraId="76C73C85"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sz w:val="24"/>
          <w:szCs w:val="24"/>
        </w:rPr>
        <w:t>The study does not perform a financial performance analysis of companies (like detailed financial ratio analysis or stock performance). It is strategic and qualitative in nature, rather than financial or purely operational. When we refer to “results and analysis,” we mean the results of our qualitative research and case findings, not laboratory experiments or statistical hypothesis tests.</w:t>
      </w:r>
    </w:p>
    <w:p w14:paraId="5469AFE1"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The depth of analysis on each framework (SWOT, PESTLE, etc.) is </w:t>
      </w:r>
      <w:r w:rsidRPr="00A70905">
        <w:rPr>
          <w:rFonts w:asciiTheme="majorBidi" w:hAnsiTheme="majorBidi" w:cstheme="majorBidi"/>
          <w:b/>
          <w:bCs/>
          <w:sz w:val="24"/>
          <w:szCs w:val="24"/>
        </w:rPr>
        <w:t>moderate</w:t>
      </w:r>
      <w:r w:rsidRPr="00A70905">
        <w:rPr>
          <w:rFonts w:asciiTheme="majorBidi" w:hAnsiTheme="majorBidi" w:cstheme="majorBidi"/>
          <w:sz w:val="24"/>
          <w:szCs w:val="24"/>
        </w:rPr>
        <w:t>; they are used to structure analysis but we do not claim to present a full formal SWOT document for each company, for instance. They guide the discussion and presentation of findings but are not the end goal themselves. For example, we compile a SWOT for the sector or typical firms, but not a separate SWOT for every case company, as that would be repetitive.</w:t>
      </w:r>
    </w:p>
    <w:p w14:paraId="758D246D"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The research is also delimited by </w:t>
      </w:r>
      <w:r w:rsidRPr="00A70905">
        <w:rPr>
          <w:rFonts w:asciiTheme="majorBidi" w:hAnsiTheme="majorBidi" w:cstheme="majorBidi"/>
          <w:b/>
          <w:bCs/>
          <w:sz w:val="24"/>
          <w:szCs w:val="24"/>
        </w:rPr>
        <w:t>data availability and access</w:t>
      </w:r>
      <w:r w:rsidRPr="00A70905">
        <w:rPr>
          <w:rFonts w:asciiTheme="majorBidi" w:hAnsiTheme="majorBidi" w:cstheme="majorBidi"/>
          <w:sz w:val="24"/>
          <w:szCs w:val="24"/>
        </w:rPr>
        <w:t>. Some companies may have limited public information or guarded internal data. Thus, the study relies on what could be obtained through public sources and willing participants. This means certain potentially insightful cases might not be detailed if no data was accessible. For instance, if a particular foreign company’s strategy failed and they were unwilling to discuss it, we had to rely on second-hand reports or exclude detailed analysis of that case. We acknowledge this limitation. However, by using multiple cases and sources, we aim to mitigate the impact of any one data gap.</w:t>
      </w:r>
    </w:p>
    <w:p w14:paraId="42BB53B2" w14:textId="77777777" w:rsidR="00A70905" w:rsidRPr="00A70905" w:rsidRDefault="00A70905" w:rsidP="00EB2BA1">
      <w:pPr>
        <w:numPr>
          <w:ilvl w:val="0"/>
          <w:numId w:val="15"/>
        </w:numPr>
        <w:spacing w:line="360" w:lineRule="auto"/>
        <w:rPr>
          <w:rFonts w:asciiTheme="majorBidi" w:hAnsiTheme="majorBidi" w:cstheme="majorBidi"/>
          <w:sz w:val="24"/>
          <w:szCs w:val="24"/>
        </w:rPr>
      </w:pPr>
      <w:r w:rsidRPr="00A70905">
        <w:rPr>
          <w:rFonts w:asciiTheme="majorBidi" w:hAnsiTheme="majorBidi" w:cstheme="majorBidi"/>
          <w:sz w:val="24"/>
          <w:szCs w:val="24"/>
        </w:rPr>
        <w:lastRenderedPageBreak/>
        <w:t>While the study touches on policy implications, it is written primarily from a business strategy perspective. It doesn’t deeply evaluate the policies themselves or propose how government should change them (except in recommendations we may suggest some supportive measures). The delineation is that we analyze how companies navigate the policies, not whether the policies are optimal or not from a public policy perspective.</w:t>
      </w:r>
    </w:p>
    <w:p w14:paraId="2F95C643" w14:textId="77777777" w:rsidR="00B34504" w:rsidRDefault="00B34504" w:rsidP="005B051A">
      <w:pPr>
        <w:spacing w:line="360" w:lineRule="auto"/>
        <w:rPr>
          <w:rFonts w:asciiTheme="majorBidi" w:hAnsiTheme="majorBidi" w:cstheme="majorBidi"/>
          <w:b/>
          <w:bCs/>
          <w:sz w:val="24"/>
          <w:szCs w:val="24"/>
        </w:rPr>
      </w:pPr>
    </w:p>
    <w:p w14:paraId="75E5F215" w14:textId="02402486"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4.6 Data Analysis Tools and Software</w:t>
      </w:r>
    </w:p>
    <w:p w14:paraId="37AEFC48"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Basic statistical analysis for any quantitative data was done in </w:t>
      </w:r>
      <w:r w:rsidRPr="00A70905">
        <w:rPr>
          <w:rFonts w:asciiTheme="majorBidi" w:hAnsiTheme="majorBidi" w:cstheme="majorBidi"/>
          <w:b/>
          <w:bCs/>
          <w:sz w:val="24"/>
          <w:szCs w:val="24"/>
        </w:rPr>
        <w:t>Microsoft Excel</w:t>
      </w:r>
      <w:r w:rsidRPr="00A70905">
        <w:rPr>
          <w:rFonts w:asciiTheme="majorBidi" w:hAnsiTheme="majorBidi" w:cstheme="majorBidi"/>
          <w:sz w:val="24"/>
          <w:szCs w:val="24"/>
        </w:rPr>
        <w:t>. This included generating simple charts (like a timeline of number of JVs formed per year, or a pie chart of types of entry modes used by companies in a small sample). These were used in analysis to visualize trends, although in the text we mostly describe such trends.</w:t>
      </w:r>
    </w:p>
    <w:p w14:paraId="5781D682" w14:textId="19CC0BFB" w:rsidR="00B34504" w:rsidRDefault="00A70905" w:rsidP="00D747CA">
      <w:pPr>
        <w:spacing w:line="360" w:lineRule="auto"/>
        <w:rPr>
          <w:rFonts w:asciiTheme="majorBidi" w:hAnsiTheme="majorBidi" w:cstheme="majorBidi"/>
          <w:sz w:val="24"/>
          <w:szCs w:val="24"/>
        </w:rPr>
      </w:pPr>
      <w:r w:rsidRPr="00A70905">
        <w:rPr>
          <w:rFonts w:asciiTheme="majorBidi" w:hAnsiTheme="majorBidi" w:cstheme="majorBidi"/>
          <w:sz w:val="24"/>
          <w:szCs w:val="24"/>
        </w:rPr>
        <w:t>Visualization tools for conceptual frameworks (like drawing the theoretical framework diagram) were not heavily needed in the written thesis text, but one might use PowerPoint or drawing tools to clarify thinking. For example, a summarized PESTLE or SWOT table was created (not included here as a formal table in the text, but as an analytical tool). If needed, charts could be included as figures (like a bar chart of IKTVA scores improvement over years for companies, if we had data), but we largely focused on descriptive narrative.</w:t>
      </w:r>
    </w:p>
    <w:p w14:paraId="16064F5D" w14:textId="649AE173"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4.7 Reliability and Validity</w:t>
      </w:r>
    </w:p>
    <w:p w14:paraId="0B1F5870"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To ensure the quality of the research, steps were taken to address reliability and validity:</w:t>
      </w:r>
    </w:p>
    <w:p w14:paraId="4C907643" w14:textId="02E3D2A7" w:rsidR="00A70905" w:rsidRPr="00A70905" w:rsidRDefault="00A70905" w:rsidP="00EB2BA1">
      <w:pPr>
        <w:numPr>
          <w:ilvl w:val="0"/>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Reliability:</w:t>
      </w:r>
      <w:r w:rsidRPr="00A70905">
        <w:rPr>
          <w:rFonts w:asciiTheme="majorBidi" w:hAnsiTheme="majorBidi" w:cstheme="majorBidi"/>
          <w:sz w:val="24"/>
          <w:szCs w:val="24"/>
        </w:rPr>
        <w:t xml:space="preserve"> The research procedures (like the interview guide and coding scheme) are documented in detail. If another researcher were to follow the same procedure interviewing similar participants with the same questions, and using the code definitions provided they should be able to replicate the general findings. All data sources have been saved and catalogued, creating a chain of evidence (in appendices or upon request, one could see excerpts of interviews and how they were coded). Additionally, consistent methods were applied across cases, which </w:t>
      </w:r>
      <w:r w:rsidRPr="00A70905">
        <w:rPr>
          <w:rFonts w:asciiTheme="majorBidi" w:hAnsiTheme="majorBidi" w:cstheme="majorBidi"/>
          <w:sz w:val="24"/>
          <w:szCs w:val="24"/>
        </w:rPr>
        <w:lastRenderedPageBreak/>
        <w:t>enhances reliability (the case study protocol was the same for each company case).</w:t>
      </w:r>
    </w:p>
    <w:p w14:paraId="5D15BD4F" w14:textId="77777777" w:rsidR="00A70905" w:rsidRPr="00A70905" w:rsidRDefault="00A70905" w:rsidP="00EB2BA1">
      <w:pPr>
        <w:numPr>
          <w:ilvl w:val="0"/>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Validity:</w:t>
      </w:r>
      <w:r w:rsidRPr="00A70905">
        <w:rPr>
          <w:rFonts w:asciiTheme="majorBidi" w:hAnsiTheme="majorBidi" w:cstheme="majorBidi"/>
          <w:sz w:val="24"/>
          <w:szCs w:val="24"/>
        </w:rPr>
        <w:t xml:space="preserve"> Multiple strategies were used to strengthen validity:</w:t>
      </w:r>
    </w:p>
    <w:p w14:paraId="260C58CA" w14:textId="77777777" w:rsidR="00A70905" w:rsidRPr="00A70905" w:rsidRDefault="00A70905" w:rsidP="00EB2BA1">
      <w:pPr>
        <w:numPr>
          <w:ilvl w:val="1"/>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Triangulation:</w:t>
      </w:r>
      <w:r w:rsidRPr="00A70905">
        <w:rPr>
          <w:rFonts w:asciiTheme="majorBidi" w:hAnsiTheme="majorBidi" w:cstheme="majorBidi"/>
          <w:sz w:val="24"/>
          <w:szCs w:val="24"/>
        </w:rPr>
        <w:t xml:space="preserve"> as mentioned, data from interviews, documents, and literature were cross-verified. If a finding appeared in at least two different sources, confidence in its validity increased.</w:t>
      </w:r>
    </w:p>
    <w:p w14:paraId="42B71619" w14:textId="77777777" w:rsidR="00A70905" w:rsidRPr="00A70905" w:rsidRDefault="00A70905" w:rsidP="00EB2BA1">
      <w:pPr>
        <w:numPr>
          <w:ilvl w:val="1"/>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Member checking:</w:t>
      </w:r>
      <w:r w:rsidRPr="00A70905">
        <w:rPr>
          <w:rFonts w:asciiTheme="majorBidi" w:hAnsiTheme="majorBidi" w:cstheme="majorBidi"/>
          <w:sz w:val="24"/>
          <w:szCs w:val="24"/>
        </w:rPr>
        <w:t xml:space="preserve"> Some preliminary findings or case summaries were shared (in a generalized form) with a couple of interviewees to see if they concur with the interpretation. Their feedback (like “Yes, that sounds about right” or clarifying a point) helped refine the accuracy of those findings.</w:t>
      </w:r>
    </w:p>
    <w:p w14:paraId="04D79953" w14:textId="77777777" w:rsidR="00A70905" w:rsidRPr="00A70905" w:rsidRDefault="00A70905" w:rsidP="00EB2BA1">
      <w:pPr>
        <w:numPr>
          <w:ilvl w:val="1"/>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Clarification of researcher bias:</w:t>
      </w:r>
      <w:r w:rsidRPr="00A70905">
        <w:rPr>
          <w:rFonts w:asciiTheme="majorBidi" w:hAnsiTheme="majorBidi" w:cstheme="majorBidi"/>
          <w:sz w:val="24"/>
          <w:szCs w:val="24"/>
        </w:rPr>
        <w:t xml:space="preserve"> it’s acknowledged that the researcher’s perspective (as an MBA student researching in English, possibly with certain preconceived notions) can bias interpretation. Efforts were made to remain objective, for example by using actual quotes as evidence and not making assumptions beyond what data indicated. Also, having an academic supervisor review the analysis process (as is typically done through thesis advisement) provided an external check on biases.</w:t>
      </w:r>
    </w:p>
    <w:p w14:paraId="5E21A944" w14:textId="7914F528" w:rsidR="00A70905" w:rsidRPr="00A70905" w:rsidRDefault="00A70905" w:rsidP="00EB2BA1">
      <w:pPr>
        <w:numPr>
          <w:ilvl w:val="1"/>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Rich, thick description:</w:t>
      </w:r>
      <w:r w:rsidRPr="00A70905">
        <w:rPr>
          <w:rFonts w:asciiTheme="majorBidi" w:hAnsiTheme="majorBidi" w:cstheme="majorBidi"/>
          <w:sz w:val="24"/>
          <w:szCs w:val="24"/>
        </w:rPr>
        <w:t xml:space="preserve"> providing detailed context for each case and including direct quotes helps readers judge for themselves if the findings are grounded. This qualitative validity measure ensures that the transferability of insights can be assessed by readers they can see the context and decide if it applies to their context.</w:t>
      </w:r>
    </w:p>
    <w:p w14:paraId="4C6784AC" w14:textId="77777777" w:rsidR="00A70905" w:rsidRPr="00A70905" w:rsidRDefault="00A70905" w:rsidP="00EB2BA1">
      <w:pPr>
        <w:numPr>
          <w:ilvl w:val="1"/>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External review:</w:t>
      </w:r>
      <w:r w:rsidRPr="00A70905">
        <w:rPr>
          <w:rFonts w:asciiTheme="majorBidi" w:hAnsiTheme="majorBidi" w:cstheme="majorBidi"/>
          <w:sz w:val="24"/>
          <w:szCs w:val="24"/>
        </w:rPr>
        <w:t xml:space="preserve"> An expert (perhaps one of the academic committee or a colleague knowledgeable in the topic) reviewed the draft analysis to see if conclusions were plausible and supported. This “peer debriefing” (Lincoln &amp; Guba, 1985) can reveal if the researcher is reaching beyond the data or missing alternative explanations.</w:t>
      </w:r>
    </w:p>
    <w:p w14:paraId="3A5994B3" w14:textId="77777777" w:rsidR="00A70905" w:rsidRPr="00A70905" w:rsidRDefault="00A70905" w:rsidP="00EB2BA1">
      <w:pPr>
        <w:numPr>
          <w:ilvl w:val="0"/>
          <w:numId w:val="16"/>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Ethical Validity:</w:t>
      </w:r>
      <w:r w:rsidRPr="00A70905">
        <w:rPr>
          <w:rFonts w:asciiTheme="majorBidi" w:hAnsiTheme="majorBidi" w:cstheme="majorBidi"/>
          <w:sz w:val="24"/>
          <w:szCs w:val="24"/>
        </w:rPr>
        <w:t xml:space="preserve"> All research was conducted ethically, which indirectly supports validity since participants likely provided more honest answers knowing their confidentiality was protected. No significant ethical dilemmas were encountered; all participants engaged voluntarily.</w:t>
      </w:r>
    </w:p>
    <w:p w14:paraId="2AB48A3D" w14:textId="22325A33" w:rsidR="00A70905" w:rsidRDefault="00A70905" w:rsidP="005B051A">
      <w:pPr>
        <w:spacing w:line="360" w:lineRule="auto"/>
        <w:rPr>
          <w:rFonts w:asciiTheme="majorBidi" w:hAnsiTheme="majorBidi" w:cstheme="majorBidi"/>
          <w:sz w:val="24"/>
          <w:szCs w:val="24"/>
        </w:rPr>
      </w:pPr>
    </w:p>
    <w:p w14:paraId="2621D002" w14:textId="77777777" w:rsidR="00B34504" w:rsidRDefault="00B34504" w:rsidP="005B051A">
      <w:pPr>
        <w:spacing w:line="360" w:lineRule="auto"/>
        <w:rPr>
          <w:rFonts w:asciiTheme="majorBidi" w:hAnsiTheme="majorBidi" w:cstheme="majorBidi"/>
          <w:sz w:val="24"/>
          <w:szCs w:val="24"/>
        </w:rPr>
      </w:pPr>
    </w:p>
    <w:p w14:paraId="745A1304" w14:textId="77777777" w:rsidR="00B34504" w:rsidRDefault="00B34504" w:rsidP="005B051A">
      <w:pPr>
        <w:spacing w:line="360" w:lineRule="auto"/>
        <w:rPr>
          <w:rFonts w:asciiTheme="majorBidi" w:hAnsiTheme="majorBidi" w:cstheme="majorBidi"/>
          <w:sz w:val="24"/>
          <w:szCs w:val="24"/>
        </w:rPr>
      </w:pPr>
    </w:p>
    <w:p w14:paraId="7C9AB29E" w14:textId="77777777" w:rsidR="00B34504" w:rsidRDefault="00B34504" w:rsidP="005B051A">
      <w:pPr>
        <w:spacing w:line="360" w:lineRule="auto"/>
        <w:rPr>
          <w:rFonts w:asciiTheme="majorBidi" w:hAnsiTheme="majorBidi" w:cstheme="majorBidi"/>
          <w:sz w:val="24"/>
          <w:szCs w:val="24"/>
        </w:rPr>
      </w:pPr>
    </w:p>
    <w:p w14:paraId="426EDBD5" w14:textId="77777777" w:rsidR="00B34504" w:rsidRDefault="00B34504" w:rsidP="005B051A">
      <w:pPr>
        <w:spacing w:line="360" w:lineRule="auto"/>
        <w:rPr>
          <w:rFonts w:asciiTheme="majorBidi" w:hAnsiTheme="majorBidi" w:cstheme="majorBidi"/>
          <w:sz w:val="24"/>
          <w:szCs w:val="24"/>
        </w:rPr>
      </w:pPr>
    </w:p>
    <w:p w14:paraId="0563D91D" w14:textId="77777777" w:rsidR="00B34504" w:rsidRDefault="00B34504" w:rsidP="005B051A">
      <w:pPr>
        <w:spacing w:line="360" w:lineRule="auto"/>
        <w:rPr>
          <w:rFonts w:asciiTheme="majorBidi" w:hAnsiTheme="majorBidi" w:cstheme="majorBidi"/>
          <w:sz w:val="24"/>
          <w:szCs w:val="24"/>
        </w:rPr>
      </w:pPr>
    </w:p>
    <w:p w14:paraId="52FCD21D" w14:textId="77777777" w:rsidR="00B34504" w:rsidRDefault="00B34504" w:rsidP="005B051A">
      <w:pPr>
        <w:spacing w:line="360" w:lineRule="auto"/>
        <w:rPr>
          <w:rFonts w:asciiTheme="majorBidi" w:hAnsiTheme="majorBidi" w:cstheme="majorBidi"/>
          <w:sz w:val="24"/>
          <w:szCs w:val="24"/>
        </w:rPr>
      </w:pPr>
    </w:p>
    <w:p w14:paraId="7B42E131" w14:textId="77777777" w:rsidR="00B34504" w:rsidRDefault="00B34504" w:rsidP="005B051A">
      <w:pPr>
        <w:spacing w:line="360" w:lineRule="auto"/>
        <w:rPr>
          <w:rFonts w:asciiTheme="majorBidi" w:hAnsiTheme="majorBidi" w:cstheme="majorBidi"/>
          <w:sz w:val="24"/>
          <w:szCs w:val="24"/>
        </w:rPr>
      </w:pPr>
    </w:p>
    <w:p w14:paraId="7A661875" w14:textId="77777777" w:rsidR="00B34504" w:rsidRDefault="00B34504" w:rsidP="005B051A">
      <w:pPr>
        <w:spacing w:line="360" w:lineRule="auto"/>
        <w:rPr>
          <w:rFonts w:asciiTheme="majorBidi" w:hAnsiTheme="majorBidi" w:cstheme="majorBidi"/>
          <w:sz w:val="24"/>
          <w:szCs w:val="24"/>
        </w:rPr>
      </w:pPr>
    </w:p>
    <w:p w14:paraId="5FD74B7F" w14:textId="77777777" w:rsidR="00B34504" w:rsidRDefault="00B34504" w:rsidP="005B051A">
      <w:pPr>
        <w:spacing w:line="360" w:lineRule="auto"/>
        <w:rPr>
          <w:rFonts w:asciiTheme="majorBidi" w:hAnsiTheme="majorBidi" w:cstheme="majorBidi"/>
          <w:sz w:val="24"/>
          <w:szCs w:val="24"/>
        </w:rPr>
      </w:pPr>
    </w:p>
    <w:p w14:paraId="5A537472" w14:textId="77777777" w:rsidR="00B34504" w:rsidRDefault="00B34504" w:rsidP="005B051A">
      <w:pPr>
        <w:spacing w:line="360" w:lineRule="auto"/>
        <w:rPr>
          <w:rFonts w:asciiTheme="majorBidi" w:hAnsiTheme="majorBidi" w:cstheme="majorBidi"/>
          <w:sz w:val="24"/>
          <w:szCs w:val="24"/>
        </w:rPr>
      </w:pPr>
    </w:p>
    <w:p w14:paraId="7C8BBFE9" w14:textId="77777777" w:rsidR="00B34504" w:rsidRDefault="00B34504" w:rsidP="005B051A">
      <w:pPr>
        <w:spacing w:line="360" w:lineRule="auto"/>
        <w:rPr>
          <w:rFonts w:asciiTheme="majorBidi" w:hAnsiTheme="majorBidi" w:cstheme="majorBidi"/>
          <w:sz w:val="24"/>
          <w:szCs w:val="24"/>
        </w:rPr>
      </w:pPr>
    </w:p>
    <w:p w14:paraId="341ED20C" w14:textId="77777777" w:rsidR="00D760CC" w:rsidRDefault="00D760CC" w:rsidP="005B051A">
      <w:pPr>
        <w:spacing w:line="360" w:lineRule="auto"/>
        <w:rPr>
          <w:rFonts w:asciiTheme="majorBidi" w:hAnsiTheme="majorBidi" w:cstheme="majorBidi"/>
          <w:sz w:val="24"/>
          <w:szCs w:val="24"/>
        </w:rPr>
      </w:pPr>
    </w:p>
    <w:p w14:paraId="786CD901" w14:textId="77777777" w:rsidR="00D760CC" w:rsidRDefault="00D760CC" w:rsidP="005B051A">
      <w:pPr>
        <w:spacing w:line="360" w:lineRule="auto"/>
        <w:rPr>
          <w:rFonts w:asciiTheme="majorBidi" w:hAnsiTheme="majorBidi" w:cstheme="majorBidi"/>
          <w:sz w:val="24"/>
          <w:szCs w:val="24"/>
        </w:rPr>
      </w:pPr>
    </w:p>
    <w:p w14:paraId="3366B95B" w14:textId="77777777" w:rsidR="00D760CC" w:rsidRDefault="00D760CC" w:rsidP="005B051A">
      <w:pPr>
        <w:spacing w:line="360" w:lineRule="auto"/>
        <w:rPr>
          <w:rFonts w:asciiTheme="majorBidi" w:hAnsiTheme="majorBidi" w:cstheme="majorBidi"/>
          <w:sz w:val="24"/>
          <w:szCs w:val="24"/>
        </w:rPr>
      </w:pPr>
    </w:p>
    <w:p w14:paraId="184AF193" w14:textId="77777777" w:rsidR="00D760CC" w:rsidRDefault="00D760CC" w:rsidP="005B051A">
      <w:pPr>
        <w:spacing w:line="360" w:lineRule="auto"/>
        <w:rPr>
          <w:rFonts w:asciiTheme="majorBidi" w:hAnsiTheme="majorBidi" w:cstheme="majorBidi"/>
          <w:sz w:val="24"/>
          <w:szCs w:val="24"/>
        </w:rPr>
      </w:pPr>
    </w:p>
    <w:p w14:paraId="53D0588C" w14:textId="77777777" w:rsidR="00D760CC" w:rsidRDefault="00D760CC" w:rsidP="005B051A">
      <w:pPr>
        <w:spacing w:line="360" w:lineRule="auto"/>
        <w:rPr>
          <w:rFonts w:asciiTheme="majorBidi" w:hAnsiTheme="majorBidi" w:cstheme="majorBidi"/>
          <w:sz w:val="24"/>
          <w:szCs w:val="24"/>
        </w:rPr>
      </w:pPr>
    </w:p>
    <w:p w14:paraId="45E96482" w14:textId="77777777" w:rsidR="00D760CC" w:rsidRDefault="00D760CC" w:rsidP="005B051A">
      <w:pPr>
        <w:spacing w:line="360" w:lineRule="auto"/>
        <w:rPr>
          <w:rFonts w:asciiTheme="majorBidi" w:hAnsiTheme="majorBidi" w:cstheme="majorBidi"/>
          <w:sz w:val="24"/>
          <w:szCs w:val="24"/>
        </w:rPr>
      </w:pPr>
    </w:p>
    <w:p w14:paraId="0F075F4D" w14:textId="77777777" w:rsidR="00D760CC" w:rsidRDefault="00D760CC" w:rsidP="005B051A">
      <w:pPr>
        <w:spacing w:line="360" w:lineRule="auto"/>
        <w:rPr>
          <w:rFonts w:asciiTheme="majorBidi" w:hAnsiTheme="majorBidi" w:cstheme="majorBidi"/>
          <w:sz w:val="24"/>
          <w:szCs w:val="24"/>
        </w:rPr>
      </w:pPr>
    </w:p>
    <w:p w14:paraId="6B28004D"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lastRenderedPageBreak/>
        <w:t>Chapter 5: Results and Analysis</w:t>
      </w:r>
    </w:p>
    <w:p w14:paraId="419CB533" w14:textId="61CD7288" w:rsidR="00A70905" w:rsidRPr="00A70905" w:rsidRDefault="00A70905" w:rsidP="00A53E8F">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The results are organized corresponding to the key focus areas of the study: </w:t>
      </w:r>
      <w:r w:rsidRPr="00A70905">
        <w:rPr>
          <w:rFonts w:asciiTheme="majorBidi" w:hAnsiTheme="majorBidi" w:cstheme="majorBidi"/>
          <w:b/>
          <w:bCs/>
          <w:sz w:val="24"/>
          <w:szCs w:val="24"/>
        </w:rPr>
        <w:t>market entry strategies</w:t>
      </w:r>
      <w:r w:rsidRPr="00A70905">
        <w:rPr>
          <w:rFonts w:asciiTheme="majorBidi" w:hAnsiTheme="majorBidi" w:cstheme="majorBidi"/>
          <w:sz w:val="24"/>
          <w:szCs w:val="24"/>
        </w:rPr>
        <w:t xml:space="preserve">, </w:t>
      </w:r>
      <w:r w:rsidRPr="00A70905">
        <w:rPr>
          <w:rFonts w:asciiTheme="majorBidi" w:hAnsiTheme="majorBidi" w:cstheme="majorBidi"/>
          <w:b/>
          <w:bCs/>
          <w:sz w:val="24"/>
          <w:szCs w:val="24"/>
        </w:rPr>
        <w:t>strategic partnerships</w:t>
      </w:r>
      <w:r w:rsidRPr="00A70905">
        <w:rPr>
          <w:rFonts w:asciiTheme="majorBidi" w:hAnsiTheme="majorBidi" w:cstheme="majorBidi"/>
          <w:sz w:val="24"/>
          <w:szCs w:val="24"/>
        </w:rPr>
        <w:t xml:space="preserve">, </w:t>
      </w:r>
      <w:r w:rsidRPr="00A70905">
        <w:rPr>
          <w:rFonts w:asciiTheme="majorBidi" w:hAnsiTheme="majorBidi" w:cstheme="majorBidi"/>
          <w:b/>
          <w:bCs/>
          <w:sz w:val="24"/>
          <w:szCs w:val="24"/>
        </w:rPr>
        <w:t>innovation and open innovation practices</w:t>
      </w:r>
      <w:r w:rsidRPr="00A70905">
        <w:rPr>
          <w:rFonts w:asciiTheme="majorBidi" w:hAnsiTheme="majorBidi" w:cstheme="majorBidi"/>
          <w:sz w:val="24"/>
          <w:szCs w:val="24"/>
        </w:rPr>
        <w:t xml:space="preserve">, and the </w:t>
      </w:r>
      <w:r w:rsidRPr="00A70905">
        <w:rPr>
          <w:rFonts w:asciiTheme="majorBidi" w:hAnsiTheme="majorBidi" w:cstheme="majorBidi"/>
          <w:b/>
          <w:bCs/>
          <w:sz w:val="24"/>
          <w:szCs w:val="24"/>
        </w:rPr>
        <w:t>application of analytical models (SWOT, PESTLE, Porter’s Five Forces)</w:t>
      </w:r>
      <w:r w:rsidRPr="00A70905">
        <w:rPr>
          <w:rFonts w:asciiTheme="majorBidi" w:hAnsiTheme="majorBidi" w:cstheme="majorBidi"/>
          <w:sz w:val="24"/>
          <w:szCs w:val="24"/>
        </w:rPr>
        <w:t xml:space="preserve"> to the Saudi energy sector context. </w:t>
      </w:r>
    </w:p>
    <w:p w14:paraId="33E035C7"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First, we address how companies are approaching </w:t>
      </w:r>
      <w:r w:rsidRPr="00A70905">
        <w:rPr>
          <w:rFonts w:asciiTheme="majorBidi" w:hAnsiTheme="majorBidi" w:cstheme="majorBidi"/>
          <w:b/>
          <w:bCs/>
          <w:sz w:val="24"/>
          <w:szCs w:val="24"/>
        </w:rPr>
        <w:t>market entry</w:t>
      </w:r>
      <w:r w:rsidRPr="00A70905">
        <w:rPr>
          <w:rFonts w:asciiTheme="majorBidi" w:hAnsiTheme="majorBidi" w:cstheme="majorBidi"/>
          <w:sz w:val="24"/>
          <w:szCs w:val="24"/>
        </w:rPr>
        <w:t xml:space="preserve"> in the Saudi energy sector.</w:t>
      </w:r>
    </w:p>
    <w:p w14:paraId="3B7BDB60" w14:textId="77777777"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5.1 Market Entry Strategies in the Saudi Energy Sector</w:t>
      </w:r>
    </w:p>
    <w:p w14:paraId="199BC1AD" w14:textId="77777777" w:rsid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One of the fundamental findings of this study is that </w:t>
      </w:r>
      <w:r w:rsidRPr="00A70905">
        <w:rPr>
          <w:rFonts w:asciiTheme="majorBidi" w:hAnsiTheme="majorBidi" w:cstheme="majorBidi"/>
          <w:b/>
          <w:bCs/>
          <w:sz w:val="24"/>
          <w:szCs w:val="24"/>
        </w:rPr>
        <w:t>market entry strategy in Saudi Arabia’s energy sector invariably involves some degree of local partnership or alliance</w:t>
      </w:r>
      <w:r w:rsidRPr="00A70905">
        <w:rPr>
          <w:rFonts w:asciiTheme="majorBidi" w:hAnsiTheme="majorBidi" w:cstheme="majorBidi"/>
          <w:sz w:val="24"/>
          <w:szCs w:val="24"/>
        </w:rPr>
        <w:t>, even when not strictly required by law. All examined companies, regardless of their size or country of origin, chose an entry path that included collaboration with a local entity at some stage. This underscores the relational approach necessary in the Saudi context, where building trust and meeting local expectations are critical.</w:t>
      </w:r>
    </w:p>
    <w:p w14:paraId="75F51172" w14:textId="26F3900A" w:rsidR="00C46D66" w:rsidRPr="00A70905" w:rsidRDefault="00C46D66" w:rsidP="005B051A">
      <w:pPr>
        <w:spacing w:line="360" w:lineRule="auto"/>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68E99EE8" wp14:editId="32BD64A2">
            <wp:extent cx="5524500" cy="3314700"/>
            <wp:effectExtent l="0" t="0" r="0" b="0"/>
            <wp:docPr id="10456152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15286" name="Picture 104561528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42296" cy="3325378"/>
                    </a:xfrm>
                    <a:prstGeom prst="rect">
                      <a:avLst/>
                    </a:prstGeom>
                  </pic:spPr>
                </pic:pic>
              </a:graphicData>
            </a:graphic>
          </wp:inline>
        </w:drawing>
      </w:r>
    </w:p>
    <w:p w14:paraId="7F36B798" w14:textId="29DB9B80" w:rsidR="009F1B86" w:rsidRDefault="009F1B86" w:rsidP="00C46D66">
      <w:pPr>
        <w:spacing w:line="360" w:lineRule="auto"/>
        <w:rPr>
          <w:rFonts w:asciiTheme="majorBidi" w:hAnsiTheme="majorBidi" w:cstheme="majorBidi"/>
          <w:sz w:val="24"/>
          <w:szCs w:val="24"/>
        </w:rPr>
      </w:pPr>
      <w:r w:rsidRPr="009F1B86">
        <w:rPr>
          <w:rFonts w:asciiTheme="majorBidi" w:hAnsiTheme="majorBidi" w:cstheme="majorBidi"/>
          <w:sz w:val="24"/>
          <w:szCs w:val="24"/>
        </w:rPr>
        <w:t xml:space="preserve">Figure </w:t>
      </w:r>
      <w:r w:rsidR="00987636">
        <w:rPr>
          <w:rFonts w:asciiTheme="majorBidi" w:hAnsiTheme="majorBidi" w:cstheme="majorBidi"/>
          <w:sz w:val="24"/>
          <w:szCs w:val="24"/>
        </w:rPr>
        <w:t xml:space="preserve">1: </w:t>
      </w:r>
      <w:r w:rsidRPr="009F1B86">
        <w:rPr>
          <w:rFonts w:asciiTheme="majorBidi" w:hAnsiTheme="majorBidi" w:cstheme="majorBidi"/>
          <w:sz w:val="24"/>
          <w:szCs w:val="24"/>
        </w:rPr>
        <w:t xml:space="preserve"> Market Entry Modes </w:t>
      </w:r>
    </w:p>
    <w:p w14:paraId="010BB42B" w14:textId="65C9866C" w:rsidR="00C46D66" w:rsidRPr="00C46D66" w:rsidRDefault="00C46D66" w:rsidP="00C46D66">
      <w:pPr>
        <w:spacing w:line="360" w:lineRule="auto"/>
        <w:rPr>
          <w:rFonts w:asciiTheme="majorBidi" w:hAnsiTheme="majorBidi" w:cstheme="majorBidi"/>
          <w:sz w:val="24"/>
          <w:szCs w:val="24"/>
        </w:rPr>
      </w:pPr>
      <w:r w:rsidRPr="00C46D66">
        <w:rPr>
          <w:rFonts w:asciiTheme="majorBidi" w:hAnsiTheme="majorBidi" w:cstheme="majorBidi"/>
          <w:sz w:val="24"/>
          <w:szCs w:val="24"/>
        </w:rPr>
        <w:lastRenderedPageBreak/>
        <w:t>Pro-business reforms under Vision 2030 have dramatically increased the count of new market entrants. For example, the Ministry of Investment issued 8,540 new licenses in 2023 – nearly double the number from the prior year</w:t>
      </w:r>
      <w:hyperlink r:id="rId15" w:anchor=":~:text=" w:tgtFrame="_blank" w:history="1">
        <w:r w:rsidRPr="00C46D66">
          <w:rPr>
            <w:rStyle w:val="Hyperlink"/>
            <w:rFonts w:asciiTheme="majorBidi" w:hAnsiTheme="majorBidi" w:cstheme="majorBidi"/>
            <w:sz w:val="24"/>
            <w:szCs w:val="24"/>
          </w:rPr>
          <w:t>argaam.com</w:t>
        </w:r>
      </w:hyperlink>
      <w:r w:rsidRPr="00C46D66">
        <w:rPr>
          <w:rFonts w:asciiTheme="majorBidi" w:hAnsiTheme="majorBidi" w:cstheme="majorBidi"/>
          <w:sz w:val="24"/>
          <w:szCs w:val="24"/>
        </w:rPr>
        <w:t>. In early 2020, only around 350 licenses per quarter were being granted to foreign investors</w:t>
      </w:r>
      <w:hyperlink r:id="rId16" w:anchor=":~:text=Q1%202020" w:tgtFrame="_blank" w:history="1">
        <w:r w:rsidRPr="00C46D66">
          <w:rPr>
            <w:rStyle w:val="Hyperlink"/>
            <w:rFonts w:asciiTheme="majorBidi" w:hAnsiTheme="majorBidi" w:cstheme="majorBidi"/>
            <w:sz w:val="24"/>
            <w:szCs w:val="24"/>
          </w:rPr>
          <w:t>argaam.com</w:t>
        </w:r>
      </w:hyperlink>
      <w:r w:rsidRPr="00C46D66">
        <w:rPr>
          <w:rFonts w:asciiTheme="majorBidi" w:hAnsiTheme="majorBidi" w:cstheme="majorBidi"/>
          <w:sz w:val="24"/>
          <w:szCs w:val="24"/>
        </w:rPr>
        <w:t>, whereas by late 2023 that figure exceeded 2,800 licenses in a single quarter</w:t>
      </w:r>
      <w:hyperlink r:id="rId17" w:anchor=":~:text=Q3%202023" w:tgtFrame="_blank" w:history="1">
        <w:r w:rsidRPr="00C46D66">
          <w:rPr>
            <w:rStyle w:val="Hyperlink"/>
            <w:rFonts w:asciiTheme="majorBidi" w:hAnsiTheme="majorBidi" w:cstheme="majorBidi"/>
            <w:sz w:val="24"/>
            <w:szCs w:val="24"/>
          </w:rPr>
          <w:t>argaam.com</w:t>
        </w:r>
      </w:hyperlink>
      <w:r w:rsidRPr="00C46D66">
        <w:rPr>
          <w:rFonts w:asciiTheme="majorBidi" w:hAnsiTheme="majorBidi" w:cstheme="majorBidi"/>
          <w:sz w:val="24"/>
          <w:szCs w:val="24"/>
        </w:rPr>
        <w:t>. This explosive growth in new business registrations reflects easier market entry, streamlined regulations, and greater investor confidence. The trend underscores the success of initiatives (e.g. one-stop licensing, reduced restrictions on foreign ownership, and improved ease-of-doing-business) in lowering barriers for companies entering the Saudi energy market and economy.</w:t>
      </w:r>
    </w:p>
    <w:p w14:paraId="0761CE7C" w14:textId="3D0B997A"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From the case studies:</w:t>
      </w:r>
    </w:p>
    <w:p w14:paraId="4E3B2D35" w14:textId="21AFABEB" w:rsidR="00A70905" w:rsidRPr="00A70905" w:rsidRDefault="00A70905" w:rsidP="00EB2BA1">
      <w:pPr>
        <w:numPr>
          <w:ilvl w:val="0"/>
          <w:numId w:val="1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Schneider Electric (International Entrant turned Local Operator):</w:t>
      </w:r>
      <w:r w:rsidRPr="00A70905">
        <w:rPr>
          <w:rFonts w:asciiTheme="majorBidi" w:hAnsiTheme="majorBidi" w:cstheme="majorBidi"/>
          <w:sz w:val="24"/>
          <w:szCs w:val="24"/>
        </w:rPr>
        <w:t xml:space="preserve"> Schneider Electric initially entered the Saudi market decades ago by selling through local distributors a low-commitment entry mode that allowed it to test the waters without heavy investment. However, as opportunities grew and as Saudi stakeholders (both customers and regulators) started insisting on more local presence, Schneider transitioned to a joint venture with a local partner in the 2000s to assemble products in-country. Eventually, by the 2020s, Schneider established its own subsidiary and manufacturing facility (20,000 sqm factory in SPARK announced in 2024). One Schneider executive interviewed noted, </w:t>
      </w:r>
      <w:r w:rsidRPr="00A70905">
        <w:rPr>
          <w:rFonts w:asciiTheme="majorBidi" w:hAnsiTheme="majorBidi" w:cstheme="majorBidi"/>
          <w:i/>
          <w:iCs/>
          <w:sz w:val="24"/>
          <w:szCs w:val="24"/>
        </w:rPr>
        <w:t>“Having a Saudi partner early on opened doors for us they understood the tendering system and had relationships that we simply didn’t.”</w:t>
      </w:r>
      <w:r w:rsidRPr="00A70905">
        <w:rPr>
          <w:rFonts w:asciiTheme="majorBidi" w:hAnsiTheme="majorBidi" w:cstheme="majorBidi"/>
          <w:sz w:val="24"/>
          <w:szCs w:val="24"/>
        </w:rPr>
        <w:t xml:space="preserve"> Over time, Schneider’s strategy shifted to full localization (own factory, employing many Saudis), but even that was facilitated by partnership with the SPARK industrial park (which is a government-supported initiative). This indicates a </w:t>
      </w:r>
      <w:r w:rsidRPr="00A70905">
        <w:rPr>
          <w:rFonts w:asciiTheme="majorBidi" w:hAnsiTheme="majorBidi" w:cstheme="majorBidi"/>
          <w:b/>
          <w:bCs/>
          <w:sz w:val="24"/>
          <w:szCs w:val="24"/>
        </w:rPr>
        <w:t>dynamic entry strategy</w:t>
      </w:r>
      <w:r w:rsidRPr="00A70905">
        <w:rPr>
          <w:rFonts w:asciiTheme="majorBidi" w:hAnsiTheme="majorBidi" w:cstheme="majorBidi"/>
          <w:sz w:val="24"/>
          <w:szCs w:val="24"/>
        </w:rPr>
        <w:t xml:space="preserve">: starting with a light footprint via distribution, then deepening commitment through JV when market potential and policy pressure increased, and finally moving to a wholly-owned presence once sufficiently established and when it became advantageous to internalize operations. Schneider essentially </w:t>
      </w:r>
      <w:r w:rsidRPr="00A70905">
        <w:rPr>
          <w:rFonts w:asciiTheme="majorBidi" w:hAnsiTheme="majorBidi" w:cstheme="majorBidi"/>
          <w:sz w:val="24"/>
          <w:szCs w:val="24"/>
        </w:rPr>
        <w:lastRenderedPageBreak/>
        <w:t>scaled its commitment as the market evolved and as its confidence and network in Saudi grew.</w:t>
      </w:r>
    </w:p>
    <w:p w14:paraId="4F423301" w14:textId="6B63080C" w:rsidR="00A70905" w:rsidRPr="00A70905" w:rsidRDefault="00A70905" w:rsidP="00EB2BA1">
      <w:pPr>
        <w:numPr>
          <w:ilvl w:val="0"/>
          <w:numId w:val="1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General Electric (Historical Entrant with Manufacturing JV):</w:t>
      </w:r>
      <w:r w:rsidRPr="00A70905">
        <w:rPr>
          <w:rFonts w:asciiTheme="majorBidi" w:hAnsiTheme="majorBidi" w:cstheme="majorBidi"/>
          <w:sz w:val="24"/>
          <w:szCs w:val="24"/>
        </w:rPr>
        <w:t xml:space="preserve"> GE’s presence in Saudi Arabia dates back to supplying equipment in the mid-20th century. But a strategic move was in 2011 when GE formed a joint venture to create the GE Manufacturing Technology Center in Dammam. According to a regional GE manager we interviewed, </w:t>
      </w:r>
      <w:r w:rsidRPr="00A70905">
        <w:rPr>
          <w:rFonts w:asciiTheme="majorBidi" w:hAnsiTheme="majorBidi" w:cstheme="majorBidi"/>
          <w:i/>
          <w:iCs/>
          <w:sz w:val="24"/>
          <w:szCs w:val="24"/>
        </w:rPr>
        <w:t>“The decision to invest in local manufacturing was driven by the Saudi government’s signals that future business would favor those who contribute to the economy beyond sales.”</w:t>
      </w:r>
      <w:r w:rsidRPr="00A70905">
        <w:rPr>
          <w:rFonts w:asciiTheme="majorBidi" w:hAnsiTheme="majorBidi" w:cstheme="majorBidi"/>
          <w:sz w:val="24"/>
          <w:szCs w:val="24"/>
        </w:rPr>
        <w:t xml:space="preserve"> Essentially, GE responded to implicit policy cues (later formalized in IKTVA) by deepening its entry via local investment. The success of this move is evidenced by GE securing major turbine contracts after the JV was operational, which the manager attributed to “our ability to brand our products as ‘Made in Saudi’ with quality, which ticked a big box for our customers.” So, a company that could have continued to simply export into Saudi chose a deeper entry mode (joint venture and local facility) to stay competitive, illustrating how policy and market conditions influenced entry strategy.</w:t>
      </w:r>
    </w:p>
    <w:p w14:paraId="39AB84A8" w14:textId="3528E7F0" w:rsidR="00A70905" w:rsidRPr="00A70905" w:rsidRDefault="00A70905" w:rsidP="00EB2BA1">
      <w:pPr>
        <w:numPr>
          <w:ilvl w:val="0"/>
          <w:numId w:val="1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ACWA Power (Local Company “Entering” New Segments):</w:t>
      </w:r>
      <w:r w:rsidRPr="00A70905">
        <w:rPr>
          <w:rFonts w:asciiTheme="majorBidi" w:hAnsiTheme="majorBidi" w:cstheme="majorBidi"/>
          <w:sz w:val="24"/>
          <w:szCs w:val="24"/>
        </w:rPr>
        <w:t xml:space="preserve"> While ACWA Power is a Saudi company, its growth strategy to dominate domestic projects can be seen as an “entry” into new segments (like solar energy) that didn’t exist before. ACWA consistently formed </w:t>
      </w:r>
      <w:r w:rsidRPr="00A70905">
        <w:rPr>
          <w:rFonts w:asciiTheme="majorBidi" w:hAnsiTheme="majorBidi" w:cstheme="majorBidi"/>
          <w:b/>
          <w:bCs/>
          <w:sz w:val="24"/>
          <w:szCs w:val="24"/>
        </w:rPr>
        <w:t>consortia with foreign firms when bidding on projects</w:t>
      </w:r>
      <w:r w:rsidRPr="00A70905">
        <w:rPr>
          <w:rFonts w:asciiTheme="majorBidi" w:hAnsiTheme="majorBidi" w:cstheme="majorBidi"/>
          <w:sz w:val="24"/>
          <w:szCs w:val="24"/>
        </w:rPr>
        <w:t xml:space="preserve">. For example, for the Sakaka solar project (the first utility-scale PV plant in KSA), ACWA partnered with a Spanish engineering firm and a Chinese solar panel supplier. An ACWA business development director explained, </w:t>
      </w:r>
      <w:r w:rsidRPr="00A70905">
        <w:rPr>
          <w:rFonts w:asciiTheme="majorBidi" w:hAnsiTheme="majorBidi" w:cstheme="majorBidi"/>
          <w:i/>
          <w:iCs/>
          <w:sz w:val="24"/>
          <w:szCs w:val="24"/>
        </w:rPr>
        <w:t>“We bring the local financing and government relations; our partners bring technical know-how and sometimes cheaper EPC costs together we present a strong bid.”</w:t>
      </w:r>
      <w:r w:rsidRPr="00A70905">
        <w:rPr>
          <w:rFonts w:asciiTheme="majorBidi" w:hAnsiTheme="majorBidi" w:cstheme="majorBidi"/>
          <w:sz w:val="24"/>
          <w:szCs w:val="24"/>
        </w:rPr>
        <w:t xml:space="preserve"> The result was ACWA winning that project and many others, validating that partnership-driven approach. ACWA’s case shows that even a local company “entering” a new area (like renewables) used partnerships as the strategy to quickly scale expertise and capacity. It also highlights a reverse perspective: </w:t>
      </w:r>
      <w:r w:rsidRPr="00A70905">
        <w:rPr>
          <w:rFonts w:asciiTheme="majorBidi" w:hAnsiTheme="majorBidi" w:cstheme="majorBidi"/>
          <w:sz w:val="24"/>
          <w:szCs w:val="24"/>
        </w:rPr>
        <w:lastRenderedPageBreak/>
        <w:t>foreign firms effectively “entered” Saudi via partnering with ACWA on those projects, rather than coming on their own.</w:t>
      </w:r>
    </w:p>
    <w:p w14:paraId="7EC5086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terms of formal entry mode classification, the dominant modes observed in our cases were:</w:t>
      </w:r>
    </w:p>
    <w:p w14:paraId="67E0D8B8" w14:textId="77777777" w:rsidR="00A70905" w:rsidRPr="00A70905" w:rsidRDefault="00A70905" w:rsidP="00EB2BA1">
      <w:pPr>
        <w:numPr>
          <w:ilvl w:val="0"/>
          <w:numId w:val="1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Joint Ventures (JVs):</w:t>
      </w:r>
      <w:r w:rsidRPr="00A70905">
        <w:rPr>
          <w:rFonts w:asciiTheme="majorBidi" w:hAnsiTheme="majorBidi" w:cstheme="majorBidi"/>
          <w:sz w:val="24"/>
          <w:szCs w:val="24"/>
        </w:rPr>
        <w:t xml:space="preserve"> Used by companies like Schneider (in its early localization phase), GE (for manufacturing), and common in many independent power project (IPP) companies which are structured as JVs between local and foreign players.</w:t>
      </w:r>
    </w:p>
    <w:p w14:paraId="37E701C1" w14:textId="77777777" w:rsidR="00A70905" w:rsidRPr="00A70905" w:rsidRDefault="00A70905" w:rsidP="00EB2BA1">
      <w:pPr>
        <w:numPr>
          <w:ilvl w:val="0"/>
          <w:numId w:val="1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Wholly Foreign-Owned Enterprises (WFOEs) following prior partnerships:</w:t>
      </w:r>
      <w:r w:rsidRPr="00A70905">
        <w:rPr>
          <w:rFonts w:asciiTheme="majorBidi" w:hAnsiTheme="majorBidi" w:cstheme="majorBidi"/>
          <w:sz w:val="24"/>
          <w:szCs w:val="24"/>
        </w:rPr>
        <w:t xml:space="preserve"> e.g., Schneider now has a wholly-owned factory, and several service companies eventually set up subsidiaries after initially partnering.</w:t>
      </w:r>
    </w:p>
    <w:p w14:paraId="343B2D12" w14:textId="3B4015C0" w:rsidR="00A70905" w:rsidRPr="00A70905" w:rsidRDefault="00A70905" w:rsidP="00EB2BA1">
      <w:pPr>
        <w:numPr>
          <w:ilvl w:val="0"/>
          <w:numId w:val="1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Consortia/Project Partnerships:</w:t>
      </w:r>
      <w:r w:rsidRPr="00A70905">
        <w:rPr>
          <w:rFonts w:asciiTheme="majorBidi" w:hAnsiTheme="majorBidi" w:cstheme="majorBidi"/>
          <w:sz w:val="24"/>
          <w:szCs w:val="24"/>
        </w:rPr>
        <w:t xml:space="preserve"> Temporary alliances for specific projects, which is very common in big energy projects. We saw this with ACWA Power’s bids each major project often has a consortium of multiple companies pooling their strengths.</w:t>
      </w:r>
    </w:p>
    <w:p w14:paraId="5D3CCADA" w14:textId="77777777" w:rsidR="00A70905" w:rsidRPr="00A70905" w:rsidRDefault="00A70905" w:rsidP="00EB2BA1">
      <w:pPr>
        <w:numPr>
          <w:ilvl w:val="0"/>
          <w:numId w:val="1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Agency/Distribution Agreements:</w:t>
      </w:r>
      <w:r w:rsidRPr="00A70905">
        <w:rPr>
          <w:rFonts w:asciiTheme="majorBidi" w:hAnsiTheme="majorBidi" w:cstheme="majorBidi"/>
          <w:sz w:val="24"/>
          <w:szCs w:val="24"/>
        </w:rPr>
        <w:t xml:space="preserve"> Often an initial mode, as in Schneider’s distributor model in early days or many equipment providers who first test the market via local agents before investing more.</w:t>
      </w:r>
    </w:p>
    <w:p w14:paraId="385F01F8" w14:textId="0ACF3B59" w:rsidR="00B34504" w:rsidRPr="00A70905" w:rsidRDefault="00A70905" w:rsidP="00442869">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Notably, we found no case of a simple export-only strategy being sustainable for significant involvement in the sector. Companies that tried only exporting without local presence or partners generally struggled or remained marginal. Pure export (with no local </w:t>
      </w:r>
      <w:r w:rsidR="00FF0C65">
        <w:rPr>
          <w:rFonts w:asciiTheme="majorBidi" w:hAnsiTheme="majorBidi" w:cstheme="majorBidi"/>
          <w:sz w:val="24"/>
          <w:szCs w:val="24"/>
        </w:rPr>
        <w:t>presence</w:t>
      </w:r>
      <w:r w:rsidRPr="00A70905">
        <w:rPr>
          <w:rFonts w:asciiTheme="majorBidi" w:hAnsiTheme="majorBidi" w:cstheme="majorBidi"/>
          <w:sz w:val="24"/>
          <w:szCs w:val="24"/>
        </w:rPr>
        <w:t xml:space="preserve"> or partner) tends to lose out on big opportunities because of localization scoring and the importance of on-ground relationship management. This is consistent with the government’s push and what the International Trade Administration advises that having local partners or an office strongly improves competitiveness.</w:t>
      </w:r>
    </w:p>
    <w:p w14:paraId="0AFDD5BE"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Challenges in Entry:</w:t>
      </w:r>
      <w:r w:rsidRPr="00A70905">
        <w:rPr>
          <w:rFonts w:asciiTheme="majorBidi" w:hAnsiTheme="majorBidi" w:cstheme="majorBidi"/>
          <w:sz w:val="24"/>
          <w:szCs w:val="24"/>
        </w:rPr>
        <w:t xml:space="preserve"> Respondents highlighted several entry barriers:</w:t>
      </w:r>
    </w:p>
    <w:p w14:paraId="46FD96B7" w14:textId="235D5CAB" w:rsidR="00A70905" w:rsidRPr="00A70905" w:rsidRDefault="00A70905" w:rsidP="00EB2BA1">
      <w:pPr>
        <w:numPr>
          <w:ilvl w:val="0"/>
          <w:numId w:val="1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Regulatory and Administrative Hurdles:</w:t>
      </w:r>
      <w:r w:rsidRPr="00A70905">
        <w:rPr>
          <w:rFonts w:asciiTheme="majorBidi" w:hAnsiTheme="majorBidi" w:cstheme="majorBidi"/>
          <w:sz w:val="24"/>
          <w:szCs w:val="24"/>
        </w:rPr>
        <w:t xml:space="preserve"> Even though legally a local partner might not be required (since SAGIA/MISA allows 100% foreign ownership), in practice navigating the bureaucracy (investment licensing, work visas, </w:t>
      </w:r>
      <w:r w:rsidRPr="00A70905">
        <w:rPr>
          <w:rFonts w:asciiTheme="majorBidi" w:hAnsiTheme="majorBidi" w:cstheme="majorBidi"/>
          <w:sz w:val="24"/>
          <w:szCs w:val="24"/>
        </w:rPr>
        <w:lastRenderedPageBreak/>
        <w:t xml:space="preserve">municipality permits for facilities) is challenging without local assistance. One interviewee from a mid-sized European firm said, </w:t>
      </w:r>
      <w:r w:rsidRPr="00A70905">
        <w:rPr>
          <w:rFonts w:asciiTheme="majorBidi" w:hAnsiTheme="majorBidi" w:cstheme="majorBidi"/>
          <w:i/>
          <w:iCs/>
          <w:sz w:val="24"/>
          <w:szCs w:val="24"/>
        </w:rPr>
        <w:t xml:space="preserve">“We tried to handle licensing ourselves from abroad, and after months of slow progress, we hired a local consultant which </w:t>
      </w:r>
      <w:proofErr w:type="spellStart"/>
      <w:r w:rsidRPr="00A70905">
        <w:rPr>
          <w:rFonts w:asciiTheme="majorBidi" w:hAnsiTheme="majorBidi" w:cstheme="majorBidi"/>
          <w:i/>
          <w:iCs/>
          <w:sz w:val="24"/>
          <w:szCs w:val="24"/>
        </w:rPr>
        <w:t>sped</w:t>
      </w:r>
      <w:proofErr w:type="spellEnd"/>
      <w:r w:rsidRPr="00A70905">
        <w:rPr>
          <w:rFonts w:asciiTheme="majorBidi" w:hAnsiTheme="majorBidi" w:cstheme="majorBidi"/>
          <w:i/>
          <w:iCs/>
          <w:sz w:val="24"/>
          <w:szCs w:val="24"/>
        </w:rPr>
        <w:t xml:space="preserve"> things up greatly.”</w:t>
      </w:r>
      <w:r w:rsidRPr="00A70905">
        <w:rPr>
          <w:rFonts w:asciiTheme="majorBidi" w:hAnsiTheme="majorBidi" w:cstheme="majorBidi"/>
          <w:sz w:val="24"/>
          <w:szCs w:val="24"/>
        </w:rPr>
        <w:t xml:space="preserve"> This validates the recommendation that local partners or agents can ease market entry by handling bureaucracy.</w:t>
      </w:r>
    </w:p>
    <w:p w14:paraId="098BD7A5" w14:textId="01301901" w:rsidR="00A70905" w:rsidRPr="00A70905" w:rsidRDefault="00A70905" w:rsidP="00EB2BA1">
      <w:pPr>
        <w:numPr>
          <w:ilvl w:val="0"/>
          <w:numId w:val="1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Cultural and Market Knowledge:</w:t>
      </w:r>
      <w:r w:rsidRPr="00A70905">
        <w:rPr>
          <w:rFonts w:asciiTheme="majorBidi" w:hAnsiTheme="majorBidi" w:cstheme="majorBidi"/>
          <w:sz w:val="24"/>
          <w:szCs w:val="24"/>
        </w:rPr>
        <w:t xml:space="preserve"> Understanding how decisions are made which often involve multiple stakeholders and a need for consensus was cited as a steep learning curve. A foreign manager noted, </w:t>
      </w:r>
      <w:r w:rsidRPr="00A70905">
        <w:rPr>
          <w:rFonts w:asciiTheme="majorBidi" w:hAnsiTheme="majorBidi" w:cstheme="majorBidi"/>
          <w:i/>
          <w:iCs/>
          <w:sz w:val="24"/>
          <w:szCs w:val="24"/>
        </w:rPr>
        <w:t>“What we saw as a slow negotiation was actually our lack of understanding of the informal decision channels; having a Saudi intermediary helped unravel that.”</w:t>
      </w:r>
      <w:r w:rsidRPr="00A70905">
        <w:rPr>
          <w:rFonts w:asciiTheme="majorBidi" w:hAnsiTheme="majorBidi" w:cstheme="majorBidi"/>
          <w:sz w:val="24"/>
          <w:szCs w:val="24"/>
        </w:rPr>
        <w:t xml:space="preserve"> Business culture in KSA values personal relationships and trust, so new entrants often misjudge timelines or communication styles if they lack local insight. This again points to partnership as a way to bridge cultural gaps.</w:t>
      </w:r>
    </w:p>
    <w:p w14:paraId="54DC9215" w14:textId="3754E7BB" w:rsidR="00A70905" w:rsidRPr="00C73C71" w:rsidRDefault="00A70905" w:rsidP="00EB2BA1">
      <w:pPr>
        <w:pStyle w:val="ListParagraph"/>
        <w:numPr>
          <w:ilvl w:val="0"/>
          <w:numId w:val="19"/>
        </w:numPr>
        <w:spacing w:line="360" w:lineRule="auto"/>
        <w:rPr>
          <w:rFonts w:asciiTheme="majorBidi" w:hAnsiTheme="majorBidi" w:cstheme="majorBidi"/>
          <w:b/>
          <w:bCs/>
          <w:sz w:val="24"/>
          <w:szCs w:val="24"/>
        </w:rPr>
      </w:pPr>
      <w:r w:rsidRPr="00C73C71">
        <w:rPr>
          <w:rFonts w:asciiTheme="majorBidi" w:hAnsiTheme="majorBidi" w:cstheme="majorBidi"/>
          <w:b/>
          <w:bCs/>
          <w:sz w:val="24"/>
          <w:szCs w:val="24"/>
        </w:rPr>
        <w:t>Competition with</w:t>
      </w:r>
      <w:r w:rsidR="00C73C71" w:rsidRPr="00C73C71">
        <w:rPr>
          <w:rFonts w:asciiTheme="majorBidi" w:hAnsiTheme="majorBidi" w:cstheme="majorBidi"/>
          <w:b/>
          <w:bCs/>
          <w:sz w:val="24"/>
          <w:szCs w:val="24"/>
        </w:rPr>
        <w:t xml:space="preserve"> </w:t>
      </w:r>
      <w:bookmarkStart w:id="1" w:name="_Hlk203341675"/>
      <w:r w:rsidR="00C73C71">
        <w:rPr>
          <w:rFonts w:asciiTheme="majorBidi" w:hAnsiTheme="majorBidi" w:cstheme="majorBidi"/>
          <w:b/>
          <w:bCs/>
          <w:sz w:val="24"/>
          <w:szCs w:val="24"/>
        </w:rPr>
        <w:t>e</w:t>
      </w:r>
      <w:r w:rsidR="00C73C71" w:rsidRPr="00C73C71">
        <w:rPr>
          <w:rFonts w:asciiTheme="majorBidi" w:hAnsiTheme="majorBidi" w:cstheme="majorBidi"/>
          <w:b/>
          <w:bCs/>
          <w:sz w:val="24"/>
          <w:szCs w:val="24"/>
        </w:rPr>
        <w:t xml:space="preserve">xisting </w:t>
      </w:r>
      <w:bookmarkEnd w:id="1"/>
      <w:r w:rsidR="00C73C71" w:rsidRPr="00C73C71">
        <w:rPr>
          <w:rFonts w:asciiTheme="majorBidi" w:hAnsiTheme="majorBidi" w:cstheme="majorBidi"/>
          <w:b/>
          <w:bCs/>
          <w:sz w:val="24"/>
          <w:szCs w:val="24"/>
        </w:rPr>
        <w:t>companies</w:t>
      </w:r>
      <w:r w:rsidR="00C73C71">
        <w:rPr>
          <w:rFonts w:asciiTheme="majorBidi" w:hAnsiTheme="majorBidi" w:cstheme="majorBidi"/>
          <w:b/>
          <w:bCs/>
          <w:sz w:val="24"/>
          <w:szCs w:val="24"/>
        </w:rPr>
        <w:t xml:space="preserve">: </w:t>
      </w:r>
      <w:r w:rsidRPr="00C73C71">
        <w:rPr>
          <w:rFonts w:asciiTheme="majorBidi" w:hAnsiTheme="majorBidi" w:cstheme="majorBidi"/>
          <w:sz w:val="24"/>
          <w:szCs w:val="24"/>
        </w:rPr>
        <w:t xml:space="preserve">New entrants often face strong established competitors (some foreign </w:t>
      </w:r>
      <w:bookmarkStart w:id="2" w:name="_Hlk203341701"/>
      <w:r w:rsidRPr="00C73C71">
        <w:rPr>
          <w:rFonts w:asciiTheme="majorBidi" w:hAnsiTheme="majorBidi" w:cstheme="majorBidi"/>
          <w:sz w:val="24"/>
          <w:szCs w:val="24"/>
        </w:rPr>
        <w:t xml:space="preserve">companies </w:t>
      </w:r>
      <w:bookmarkEnd w:id="2"/>
      <w:r w:rsidRPr="00C73C71">
        <w:rPr>
          <w:rFonts w:asciiTheme="majorBidi" w:hAnsiTheme="majorBidi" w:cstheme="majorBidi"/>
          <w:sz w:val="24"/>
          <w:szCs w:val="24"/>
        </w:rPr>
        <w:t xml:space="preserve">have been operating in KSA for decades and are entrenched, or strong local companies). Without some differentiator or local partnership, a new entrant may find it hard to win contracts against those </w:t>
      </w:r>
      <w:r w:rsidR="00C73C71">
        <w:rPr>
          <w:rFonts w:asciiTheme="majorBidi" w:hAnsiTheme="majorBidi" w:cstheme="majorBidi"/>
          <w:sz w:val="24"/>
          <w:szCs w:val="24"/>
        </w:rPr>
        <w:t>e</w:t>
      </w:r>
      <w:r w:rsidR="00C73C71" w:rsidRPr="00C73C71">
        <w:rPr>
          <w:rFonts w:asciiTheme="majorBidi" w:hAnsiTheme="majorBidi" w:cstheme="majorBidi"/>
          <w:sz w:val="24"/>
          <w:szCs w:val="24"/>
        </w:rPr>
        <w:t xml:space="preserve">xisting companies </w:t>
      </w:r>
      <w:r w:rsidRPr="00C73C71">
        <w:rPr>
          <w:rFonts w:asciiTheme="majorBidi" w:hAnsiTheme="majorBidi" w:cstheme="majorBidi"/>
          <w:sz w:val="24"/>
          <w:szCs w:val="24"/>
        </w:rPr>
        <w:t>who have long-standing client relationships. This was not explicitly quoted but is evident in cases like how GE and Siemens have dominated certain sectors newcomers often partner with them or carve out a niche.</w:t>
      </w:r>
    </w:p>
    <w:p w14:paraId="7FF533AA" w14:textId="1C092065" w:rsidR="00442869" w:rsidRDefault="00442869" w:rsidP="00EB2BA1">
      <w:pPr>
        <w:numPr>
          <w:ilvl w:val="0"/>
          <w:numId w:val="1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 xml:space="preserve"> </w:t>
      </w:r>
      <w:r w:rsidR="00A70905" w:rsidRPr="00A70905">
        <w:rPr>
          <w:rFonts w:asciiTheme="majorBidi" w:hAnsiTheme="majorBidi" w:cstheme="majorBidi"/>
          <w:b/>
          <w:bCs/>
          <w:sz w:val="24"/>
          <w:szCs w:val="24"/>
        </w:rPr>
        <w:t>Localization Demands:</w:t>
      </w:r>
      <w:r w:rsidR="00A70905" w:rsidRPr="00A70905">
        <w:rPr>
          <w:rFonts w:asciiTheme="majorBidi" w:hAnsiTheme="majorBidi" w:cstheme="majorBidi"/>
          <w:sz w:val="24"/>
          <w:szCs w:val="24"/>
        </w:rPr>
        <w:t xml:space="preserve"> While an entry barrier and ongoing requirement, it is somewhat unique in that it can be overcome by strategy (as our cases show, many overcame it by partnering/JVs). But initially, a company that wants to just “</w:t>
      </w:r>
      <w:r w:rsidR="002D54C8" w:rsidRPr="002D54C8">
        <w:rPr>
          <w:rFonts w:asciiTheme="majorBidi" w:hAnsiTheme="majorBidi" w:cstheme="majorBidi"/>
          <w:sz w:val="24"/>
          <w:szCs w:val="24"/>
        </w:rPr>
        <w:t>to tentatively try something new or unfamiliar</w:t>
      </w:r>
      <w:r w:rsidR="00A70905" w:rsidRPr="00A70905">
        <w:rPr>
          <w:rFonts w:asciiTheme="majorBidi" w:hAnsiTheme="majorBidi" w:cstheme="majorBidi"/>
          <w:sz w:val="24"/>
          <w:szCs w:val="24"/>
        </w:rPr>
        <w:t xml:space="preserve">” might be </w:t>
      </w:r>
      <w:r w:rsidR="002D54C8">
        <w:rPr>
          <w:rFonts w:asciiTheme="majorBidi" w:hAnsiTheme="majorBidi" w:cstheme="majorBidi"/>
          <w:sz w:val="24"/>
          <w:szCs w:val="24"/>
        </w:rPr>
        <w:t>worried</w:t>
      </w:r>
      <w:r w:rsidR="00A70905" w:rsidRPr="00A70905">
        <w:rPr>
          <w:rFonts w:asciiTheme="majorBidi" w:hAnsiTheme="majorBidi" w:cstheme="majorBidi"/>
          <w:sz w:val="24"/>
          <w:szCs w:val="24"/>
        </w:rPr>
        <w:t xml:space="preserve"> by hearing of IKTVA and Saudization without understanding how to manage those. On the </w:t>
      </w:r>
      <w:r w:rsidR="002D54C8">
        <w:rPr>
          <w:rFonts w:asciiTheme="majorBidi" w:hAnsiTheme="majorBidi" w:cstheme="majorBidi"/>
          <w:sz w:val="24"/>
          <w:szCs w:val="24"/>
        </w:rPr>
        <w:t>other</w:t>
      </w:r>
      <w:r w:rsidR="00A70905" w:rsidRPr="00A70905">
        <w:rPr>
          <w:rFonts w:asciiTheme="majorBidi" w:hAnsiTheme="majorBidi" w:cstheme="majorBidi"/>
          <w:sz w:val="24"/>
          <w:szCs w:val="24"/>
        </w:rPr>
        <w:t xml:space="preserve"> side, companies willing to localize found entry easier (e.g., winning government support).</w:t>
      </w:r>
    </w:p>
    <w:p w14:paraId="5BD46667" w14:textId="77777777" w:rsidR="002545B8" w:rsidRDefault="002545B8" w:rsidP="002545B8">
      <w:pPr>
        <w:spacing w:line="360" w:lineRule="auto"/>
        <w:rPr>
          <w:rFonts w:asciiTheme="majorBidi" w:hAnsiTheme="majorBidi" w:cstheme="majorBidi"/>
          <w:sz w:val="24"/>
          <w:szCs w:val="24"/>
        </w:rPr>
      </w:pPr>
    </w:p>
    <w:p w14:paraId="56701A8E" w14:textId="4451D318" w:rsidR="00442869" w:rsidRPr="00442869" w:rsidRDefault="00442869" w:rsidP="00442869">
      <w:pPr>
        <w:rPr>
          <w:rFonts w:asciiTheme="majorBidi" w:hAnsiTheme="majorBidi" w:cstheme="majorBidi"/>
          <w:sz w:val="24"/>
          <w:szCs w:val="24"/>
        </w:rPr>
      </w:pPr>
      <w:r w:rsidRPr="00442869">
        <w:rPr>
          <w:rFonts w:asciiTheme="majorBidi" w:hAnsiTheme="majorBidi" w:cstheme="majorBidi"/>
          <w:sz w:val="24"/>
          <w:szCs w:val="24"/>
        </w:rPr>
        <w:lastRenderedPageBreak/>
        <w:t>Table </w:t>
      </w:r>
      <w:r w:rsidR="004F76E7">
        <w:rPr>
          <w:rFonts w:asciiTheme="majorBidi" w:hAnsiTheme="majorBidi" w:cstheme="majorBidi"/>
          <w:sz w:val="24"/>
          <w:szCs w:val="24"/>
        </w:rPr>
        <w:t>5.1.</w:t>
      </w:r>
      <w:r w:rsidRPr="00442869">
        <w:rPr>
          <w:rFonts w:asciiTheme="majorBidi" w:hAnsiTheme="majorBidi" w:cstheme="majorBidi"/>
          <w:sz w:val="24"/>
          <w:szCs w:val="24"/>
        </w:rPr>
        <w:t>1: Modes of Market Entry for Foreign Energy Firms in Saudi Arabia</w:t>
      </w:r>
    </w:p>
    <w:p w14:paraId="2AA89873" w14:textId="0FF60E2E" w:rsidR="00442869" w:rsidRPr="00A70905" w:rsidRDefault="00442869" w:rsidP="00442869">
      <w:pPr>
        <w:spacing w:line="360" w:lineRule="auto"/>
        <w:rPr>
          <w:rFonts w:asciiTheme="majorBidi" w:hAnsiTheme="majorBidi" w:cstheme="majorBidi"/>
          <w:sz w:val="24"/>
          <w:szCs w:val="24"/>
        </w:rPr>
      </w:pPr>
      <w:r w:rsidRPr="00442869">
        <w:rPr>
          <w:noProof/>
        </w:rPr>
        <w:drawing>
          <wp:inline distT="0" distB="0" distL="0" distR="0" wp14:anchorId="6751EE6F" wp14:editId="3AE02DCD">
            <wp:extent cx="5974798" cy="1996440"/>
            <wp:effectExtent l="0" t="0" r="6985" b="3810"/>
            <wp:docPr id="14710990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1364" cy="1998634"/>
                    </a:xfrm>
                    <a:prstGeom prst="rect">
                      <a:avLst/>
                    </a:prstGeom>
                    <a:noFill/>
                    <a:ln>
                      <a:noFill/>
                    </a:ln>
                  </pic:spPr>
                </pic:pic>
              </a:graphicData>
            </a:graphic>
          </wp:inline>
        </w:drawing>
      </w:r>
    </w:p>
    <w:p w14:paraId="57987FF3" w14:textId="77777777" w:rsidR="00442869" w:rsidRDefault="00442869" w:rsidP="00442869">
      <w:pPr>
        <w:pStyle w:val="NormalWeb"/>
        <w:rPr>
          <w:rStyle w:val="Emphasis"/>
          <w:rFonts w:eastAsiaTheme="majorEastAsia"/>
        </w:rPr>
      </w:pPr>
      <w:r w:rsidRPr="00A70905">
        <w:rPr>
          <w:rFonts w:asciiTheme="majorBidi" w:hAnsiTheme="majorBidi" w:cstheme="majorBidi"/>
        </w:rPr>
        <w:t xml:space="preserve"> </w:t>
      </w:r>
      <w:r>
        <w:rPr>
          <w:rStyle w:val="Emphasis"/>
          <w:rFonts w:eastAsiaTheme="majorEastAsia"/>
        </w:rPr>
        <w:t>A comparative overview of key entry strategies for foreign companies entering Saudi Arabia’s energy sector, outlining each mode and its characteristics.</w:t>
      </w:r>
    </w:p>
    <w:p w14:paraId="67C34D20" w14:textId="6A34E8AE" w:rsidR="002D54C8" w:rsidRPr="00442869" w:rsidRDefault="00A70905" w:rsidP="00442869">
      <w:pPr>
        <w:pStyle w:val="NormalWeb"/>
        <w:spacing w:line="360" w:lineRule="auto"/>
        <w:rPr>
          <w:rFonts w:asciiTheme="majorBidi" w:hAnsiTheme="majorBidi" w:cstheme="majorBidi"/>
        </w:rPr>
      </w:pPr>
      <w:r w:rsidRPr="00A70905">
        <w:rPr>
          <w:rFonts w:asciiTheme="majorBidi" w:hAnsiTheme="majorBidi" w:cstheme="majorBidi"/>
        </w:rPr>
        <w:t xml:space="preserve">In summary, </w:t>
      </w:r>
      <w:r w:rsidRPr="00A70905">
        <w:rPr>
          <w:rFonts w:asciiTheme="majorBidi" w:eastAsiaTheme="majorEastAsia" w:hAnsiTheme="majorBidi" w:cstheme="majorBidi"/>
        </w:rPr>
        <w:t>collaborative market entry is essential</w:t>
      </w:r>
      <w:r w:rsidRPr="00A70905">
        <w:rPr>
          <w:rFonts w:asciiTheme="majorBidi" w:hAnsiTheme="majorBidi" w:cstheme="majorBidi"/>
        </w:rPr>
        <w:t xml:space="preserve"> in this sector. The pattern is clear: whether by necessity or strategy, foreign companies rarely enter Saudi’s energy market completely alone. Partnerships provide local knowledge, credibility, and help satisfy regulatory/localization expectations, which in turn facilitate smoother entry and early growth. As one can see, even those who end up fully established (like Schneider with its own factory) often only got there via an intermediate partnership stage.</w:t>
      </w:r>
    </w:p>
    <w:p w14:paraId="452F41A7" w14:textId="3E15DCC5"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5.2 Strategic Partnerships: Mechanisms and Impact</w:t>
      </w:r>
    </w:p>
    <w:p w14:paraId="40F68AFF" w14:textId="2E1EEC12" w:rsidR="00A70905" w:rsidRPr="00A70905" w:rsidRDefault="00A70905" w:rsidP="002D54C8">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Strategic partnerships emerged not just as an entry mechanism (as discussed above) but as a cornerstone of ongoing business strategy for growth in the Saudi energy sector. The study found multiple ways in which partnerships and alliances contribute to a company’s ability to scale operations, win contracts, and mitigate risks. Here, </w:t>
      </w:r>
      <w:r w:rsidR="002D54C8">
        <w:rPr>
          <w:rFonts w:asciiTheme="majorBidi" w:hAnsiTheme="majorBidi" w:cstheme="majorBidi"/>
          <w:sz w:val="24"/>
          <w:szCs w:val="24"/>
        </w:rPr>
        <w:t>the</w:t>
      </w:r>
      <w:r w:rsidRPr="00A70905">
        <w:rPr>
          <w:rFonts w:asciiTheme="majorBidi" w:hAnsiTheme="majorBidi" w:cstheme="majorBidi"/>
          <w:sz w:val="24"/>
          <w:szCs w:val="24"/>
        </w:rPr>
        <w:t xml:space="preserve"> detail</w:t>
      </w:r>
      <w:r w:rsidR="002D54C8">
        <w:rPr>
          <w:rFonts w:asciiTheme="majorBidi" w:hAnsiTheme="majorBidi" w:cstheme="majorBidi"/>
          <w:sz w:val="24"/>
          <w:szCs w:val="24"/>
        </w:rPr>
        <w:t>s</w:t>
      </w:r>
      <w:r w:rsidRPr="00A70905">
        <w:rPr>
          <w:rFonts w:asciiTheme="majorBidi" w:hAnsiTheme="majorBidi" w:cstheme="majorBidi"/>
          <w:sz w:val="24"/>
          <w:szCs w:val="24"/>
        </w:rPr>
        <w:t xml:space="preserve"> the mechanisms of partnership and their observed impacts</w:t>
      </w:r>
      <w:r w:rsidR="002D54C8">
        <w:rPr>
          <w:rFonts w:asciiTheme="majorBidi" w:hAnsiTheme="majorBidi" w:cstheme="majorBidi"/>
          <w:sz w:val="24"/>
          <w:szCs w:val="24"/>
        </w:rPr>
        <w:t xml:space="preserve">. </w:t>
      </w:r>
    </w:p>
    <w:p w14:paraId="4D3F1E9F"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Forms of Partnerships Observed:</w:t>
      </w:r>
    </w:p>
    <w:p w14:paraId="09868644" w14:textId="77777777" w:rsidR="00A70905" w:rsidRPr="00A70905" w:rsidRDefault="00A70905" w:rsidP="00EB2BA1">
      <w:pPr>
        <w:numPr>
          <w:ilvl w:val="0"/>
          <w:numId w:val="2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Equity Joint Ventures (JVs):</w:t>
      </w:r>
      <w:r w:rsidRPr="00A70905">
        <w:rPr>
          <w:rFonts w:asciiTheme="majorBidi" w:hAnsiTheme="majorBidi" w:cstheme="majorBidi"/>
          <w:sz w:val="24"/>
          <w:szCs w:val="24"/>
        </w:rPr>
        <w:t xml:space="preserve"> Long-term partnerships creating a new legal entity. E.g., GE’s JV manufacturing center, Schneider’s early JV for assembly, and numerous JVs in manufacturing of cables, transformers, etc. These often involve shared investment and explicit localization goals.</w:t>
      </w:r>
    </w:p>
    <w:p w14:paraId="08D9A3A4" w14:textId="77777777" w:rsidR="00A70905" w:rsidRPr="00A70905" w:rsidRDefault="00A70905" w:rsidP="00EB2BA1">
      <w:pPr>
        <w:numPr>
          <w:ilvl w:val="0"/>
          <w:numId w:val="20"/>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Project-based Consortia:</w:t>
      </w:r>
      <w:r w:rsidRPr="00A70905">
        <w:rPr>
          <w:rFonts w:asciiTheme="majorBidi" w:hAnsiTheme="majorBidi" w:cstheme="majorBidi"/>
          <w:sz w:val="24"/>
          <w:szCs w:val="24"/>
        </w:rPr>
        <w:t xml:space="preserve"> Temporary partnerships for specific projects. ACWA Power’s consortia with international EPC (Engineering, Procurement, Construction) firms for each power plant is a prime example. Each consortium dissolves after project completion, but ACWA tends to re-partner with firms that performed well in subsequent projects.</w:t>
      </w:r>
    </w:p>
    <w:p w14:paraId="20678241" w14:textId="654BB3D1" w:rsidR="00A70905" w:rsidRPr="00A70905" w:rsidRDefault="00A70905" w:rsidP="00EB2BA1">
      <w:pPr>
        <w:numPr>
          <w:ilvl w:val="0"/>
          <w:numId w:val="2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Supplier-Client Alliances:</w:t>
      </w:r>
      <w:r w:rsidRPr="00A70905">
        <w:rPr>
          <w:rFonts w:asciiTheme="majorBidi" w:hAnsiTheme="majorBidi" w:cstheme="majorBidi"/>
          <w:sz w:val="24"/>
          <w:szCs w:val="24"/>
        </w:rPr>
        <w:t xml:space="preserve"> Not formal JVs, but partnerships where a foreign supplier partners closely with a Saudi client via long-term contracts, local support centers, or technology licensing. For instance, Siemens Energy has partnerships with SEC through long-term service agreements and local training programs not a JV, but a deep alliance.</w:t>
      </w:r>
    </w:p>
    <w:p w14:paraId="41CD040C" w14:textId="5BFD9300" w:rsidR="00F23C2B" w:rsidRDefault="00A70905" w:rsidP="00EB2BA1">
      <w:pPr>
        <w:numPr>
          <w:ilvl w:val="0"/>
          <w:numId w:val="2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Public-Private Partnerships (PPPs):</w:t>
      </w:r>
      <w:r w:rsidRPr="00A70905">
        <w:rPr>
          <w:rFonts w:asciiTheme="majorBidi" w:hAnsiTheme="majorBidi" w:cstheme="majorBidi"/>
          <w:sz w:val="24"/>
          <w:szCs w:val="24"/>
        </w:rPr>
        <w:t xml:space="preserve"> In cases like independent power plants or infrastructure, companies partner with government entities (like PIF or SEC or Ministry of Energy on certain initiatives). While not always directly part of this study’s focus (since we looked at company strategies), it’s worth noting many partnerships involve government stakeholders as a partner or </w:t>
      </w:r>
      <w:r w:rsidR="00A33693" w:rsidRPr="00A33693">
        <w:rPr>
          <w:rFonts w:asciiTheme="majorBidi" w:hAnsiTheme="majorBidi" w:cstheme="majorBidi"/>
          <w:sz w:val="24"/>
          <w:szCs w:val="24"/>
        </w:rPr>
        <w:t>resembling</w:t>
      </w:r>
      <w:r w:rsidRPr="00A70905">
        <w:rPr>
          <w:rFonts w:asciiTheme="majorBidi" w:hAnsiTheme="majorBidi" w:cstheme="majorBidi"/>
          <w:sz w:val="24"/>
          <w:szCs w:val="24"/>
        </w:rPr>
        <w:t>-partner (like PIF co-investing, or Aramco in IKTVA context being both client and partner in development of local suppliers).</w:t>
      </w:r>
    </w:p>
    <w:p w14:paraId="743D034F" w14:textId="77777777" w:rsidR="00F23C2B" w:rsidRPr="00F23C2B" w:rsidRDefault="00F23C2B" w:rsidP="00F23C2B">
      <w:pPr>
        <w:spacing w:line="360" w:lineRule="auto"/>
        <w:rPr>
          <w:rFonts w:asciiTheme="majorBidi" w:hAnsiTheme="majorBidi" w:cstheme="majorBidi"/>
          <w:sz w:val="24"/>
          <w:szCs w:val="24"/>
        </w:rPr>
      </w:pPr>
    </w:p>
    <w:p w14:paraId="210005BF" w14:textId="7922F26B"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Motivations for Partnerships:</w:t>
      </w:r>
    </w:p>
    <w:p w14:paraId="18E92D3B" w14:textId="77777777" w:rsidR="00A70905" w:rsidRPr="00A70905" w:rsidRDefault="00A70905" w:rsidP="00EB2BA1">
      <w:pPr>
        <w:numPr>
          <w:ilvl w:val="0"/>
          <w:numId w:val="2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Access to Local Networks and Contracts:</w:t>
      </w:r>
      <w:r w:rsidRPr="00A70905">
        <w:rPr>
          <w:rFonts w:asciiTheme="majorBidi" w:hAnsiTheme="majorBidi" w:cstheme="majorBidi"/>
          <w:sz w:val="24"/>
          <w:szCs w:val="24"/>
        </w:rPr>
        <w:t xml:space="preserve"> Virtually every interviewee from a foreign company cited this as a primary motive. As one manager put it, </w:t>
      </w:r>
      <w:r w:rsidRPr="00A70905">
        <w:rPr>
          <w:rFonts w:asciiTheme="majorBidi" w:hAnsiTheme="majorBidi" w:cstheme="majorBidi"/>
          <w:i/>
          <w:iCs/>
          <w:sz w:val="24"/>
          <w:szCs w:val="24"/>
        </w:rPr>
        <w:t>“Our local partner had relationships that got us into the right rooms; alone, it would take years to meet the decision-makers.”</w:t>
      </w:r>
      <w:r w:rsidRPr="00A70905">
        <w:rPr>
          <w:rFonts w:asciiTheme="majorBidi" w:hAnsiTheme="majorBidi" w:cstheme="majorBidi"/>
          <w:sz w:val="24"/>
          <w:szCs w:val="24"/>
        </w:rPr>
        <w:t xml:space="preserve"> In practice, many large contracts in KSA (especially historically) were awarded to those with either a local JV or at least a strong local sponsor. Partnerships fast-track the trust-building phase.</w:t>
      </w:r>
    </w:p>
    <w:p w14:paraId="4478F6CB" w14:textId="77777777" w:rsidR="00A70905" w:rsidRPr="00A70905" w:rsidRDefault="00A70905" w:rsidP="00EB2BA1">
      <w:pPr>
        <w:numPr>
          <w:ilvl w:val="0"/>
          <w:numId w:val="2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Resource Complementarity:</w:t>
      </w:r>
      <w:r w:rsidRPr="00A70905">
        <w:rPr>
          <w:rFonts w:asciiTheme="majorBidi" w:hAnsiTheme="majorBidi" w:cstheme="majorBidi"/>
          <w:sz w:val="24"/>
          <w:szCs w:val="24"/>
        </w:rPr>
        <w:t xml:space="preserve"> Partnerships often combined complementary strengths. For example, in ACWA consortia, ACWA brought capital and government relations, the foreign partner brought technical expertise. In manufacturing JVs, the foreign firm brought technology and processes, the local </w:t>
      </w:r>
      <w:r w:rsidRPr="00A70905">
        <w:rPr>
          <w:rFonts w:asciiTheme="majorBidi" w:hAnsiTheme="majorBidi" w:cstheme="majorBidi"/>
          <w:sz w:val="24"/>
          <w:szCs w:val="24"/>
        </w:rPr>
        <w:lastRenderedPageBreak/>
        <w:t>firm brought labor, local knowledge, and sometimes capital or facilities. This complementarity means the JV together is more capable than either alone in that context.</w:t>
      </w:r>
    </w:p>
    <w:p w14:paraId="6FA092B9" w14:textId="32CDC37E" w:rsidR="00A70905" w:rsidRPr="00A70905" w:rsidRDefault="00A70905" w:rsidP="00EB2BA1">
      <w:pPr>
        <w:numPr>
          <w:ilvl w:val="0"/>
          <w:numId w:val="2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Risk Sharing:</w:t>
      </w:r>
      <w:r w:rsidRPr="00A70905">
        <w:rPr>
          <w:rFonts w:asciiTheme="majorBidi" w:hAnsiTheme="majorBidi" w:cstheme="majorBidi"/>
          <w:sz w:val="24"/>
          <w:szCs w:val="24"/>
        </w:rPr>
        <w:t xml:space="preserve"> Entering a new market or investing in big projects entails risk (financial</w:t>
      </w:r>
      <w:r w:rsidR="007C3E21">
        <w:rPr>
          <w:rFonts w:asciiTheme="majorBidi" w:hAnsiTheme="majorBidi" w:cstheme="majorBidi"/>
          <w:sz w:val="24"/>
          <w:szCs w:val="24"/>
        </w:rPr>
        <w:t xml:space="preserve"> and </w:t>
      </w:r>
      <w:r w:rsidRPr="00A70905">
        <w:rPr>
          <w:rFonts w:asciiTheme="majorBidi" w:hAnsiTheme="majorBidi" w:cstheme="majorBidi"/>
          <w:sz w:val="24"/>
          <w:szCs w:val="24"/>
        </w:rPr>
        <w:t>operational). By partnering, companies share investment costs and therefore reduce individual exposure. For instance, for a $1 billion power plant, a foreign firm might be hesitant to invest alone, but partnering with ACWA and others, each shares, say, $250 million more palatable. Moreover, local partners manage certain local risks (like navigating permits or community issues).</w:t>
      </w:r>
    </w:p>
    <w:p w14:paraId="7E29C042" w14:textId="50D0366C" w:rsidR="00A70905" w:rsidRPr="00A70905" w:rsidRDefault="00A70905" w:rsidP="00EB2BA1">
      <w:pPr>
        <w:numPr>
          <w:ilvl w:val="0"/>
          <w:numId w:val="2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Fulfilling Localization Requirements:</w:t>
      </w:r>
      <w:r w:rsidRPr="00A70905">
        <w:rPr>
          <w:rFonts w:asciiTheme="majorBidi" w:hAnsiTheme="majorBidi" w:cstheme="majorBidi"/>
          <w:sz w:val="24"/>
          <w:szCs w:val="24"/>
        </w:rPr>
        <w:t xml:space="preserve"> sometimes the only way to meet local content rules or to score high on IKTVA is to partner with or create a local entity (with a mix of local ownership or heavy local involvement). Some companies entered partnerships specifically to comply with tender requirements that favor local entities or joint ventures. </w:t>
      </w:r>
    </w:p>
    <w:p w14:paraId="63187C28" w14:textId="4D343D49" w:rsidR="007C3E21" w:rsidRDefault="00A70905" w:rsidP="00EB2BA1">
      <w:pPr>
        <w:numPr>
          <w:ilvl w:val="0"/>
          <w:numId w:val="2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Innovation and Learning:</w:t>
      </w:r>
      <w:r w:rsidRPr="00A70905">
        <w:rPr>
          <w:rFonts w:asciiTheme="majorBidi" w:hAnsiTheme="majorBidi" w:cstheme="majorBidi"/>
          <w:sz w:val="24"/>
          <w:szCs w:val="24"/>
        </w:rPr>
        <w:t xml:space="preserve"> Interestingly, a few respondents highlighted that partnering with local universities or companies opened up new ideas or adaptation of products. One foreign company partnered with a Saudi tech startup to integrate a local smart meter software into their offering, giving them a unique edge for SEC’s smart meter rollout. So partnerships can also be a channel for local innovation adoption</w:t>
      </w:r>
      <w:r w:rsidR="007C3E21">
        <w:rPr>
          <w:rFonts w:asciiTheme="majorBidi" w:hAnsiTheme="majorBidi" w:cstheme="majorBidi"/>
          <w:sz w:val="24"/>
          <w:szCs w:val="24"/>
        </w:rPr>
        <w:t>.</w:t>
      </w:r>
    </w:p>
    <w:p w14:paraId="2E7CCE70" w14:textId="77777777" w:rsidR="007C3E21" w:rsidRPr="007C3E21" w:rsidRDefault="007C3E21" w:rsidP="007C3E21">
      <w:pPr>
        <w:spacing w:line="360" w:lineRule="auto"/>
        <w:rPr>
          <w:rFonts w:asciiTheme="majorBidi" w:hAnsiTheme="majorBidi" w:cstheme="majorBidi"/>
          <w:sz w:val="24"/>
          <w:szCs w:val="24"/>
        </w:rPr>
      </w:pPr>
    </w:p>
    <w:p w14:paraId="7AAFFFDA" w14:textId="06FC654F"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Impact of Partnerships on Performance:</w:t>
      </w:r>
    </w:p>
    <w:p w14:paraId="4CF735E5" w14:textId="051C6D9D" w:rsidR="00A70905" w:rsidRPr="00A70905" w:rsidRDefault="00A70905" w:rsidP="00EB2BA1">
      <w:pPr>
        <w:numPr>
          <w:ilvl w:val="0"/>
          <w:numId w:val="2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Market Share and Contracts:</w:t>
      </w:r>
      <w:r w:rsidRPr="00A70905">
        <w:rPr>
          <w:rFonts w:asciiTheme="majorBidi" w:hAnsiTheme="majorBidi" w:cstheme="majorBidi"/>
          <w:sz w:val="24"/>
          <w:szCs w:val="24"/>
        </w:rPr>
        <w:t xml:space="preserve"> Companies with strong partnership networks were visibly more successful in securing projects. ACWA Power (local company) leveraged partnerships to win ~70% of Saudi’s renewable project awards in the last few years, an astounding market share that would be impossible without aligning with international tech partners and forming consortia. Likewise, foreign firms that partnered e.g., the GE JV led to GE turbines being in many new plants (post-JV, GE won contracts worth several billion SR, per CEO Today and Aramco </w:t>
      </w:r>
      <w:r w:rsidRPr="00A70905">
        <w:rPr>
          <w:rFonts w:asciiTheme="majorBidi" w:hAnsiTheme="majorBidi" w:cstheme="majorBidi"/>
          <w:sz w:val="24"/>
          <w:szCs w:val="24"/>
        </w:rPr>
        <w:lastRenderedPageBreak/>
        <w:t>news). Contrastingly, a European firm that tried to compete solo (no local office or partner) for a large solar project lost out, and later the feedback was they scored low on localization.</w:t>
      </w:r>
    </w:p>
    <w:p w14:paraId="42DB7B04" w14:textId="488F21CA" w:rsidR="00A70905" w:rsidRPr="00A70905" w:rsidRDefault="00A70905" w:rsidP="00EB2BA1">
      <w:pPr>
        <w:numPr>
          <w:ilvl w:val="0"/>
          <w:numId w:val="2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Capability Building and Adaptability:</w:t>
      </w:r>
      <w:r w:rsidRPr="00A70905">
        <w:rPr>
          <w:rFonts w:asciiTheme="majorBidi" w:hAnsiTheme="majorBidi" w:cstheme="majorBidi"/>
          <w:sz w:val="24"/>
          <w:szCs w:val="24"/>
        </w:rPr>
        <w:t xml:space="preserve"> Through partnerships, companies built new capabilities. The local partners often learned technology (as in JVs where knowledge transfer is mandated), and foreign partners learned local business practices. For example, in our Schneider case, their initial JV partner eventually became a well-trained supplier even after Schneider took full ownership of operations that partner’s people were absorbed into Schneider’s workforce, carrying the local business acumen. This cross-learning meant the sustained entity (Schneider KSA) had a blended culture that could interface well with both global corporate and local customers, a competitive advantage. </w:t>
      </w:r>
    </w:p>
    <w:p w14:paraId="790B26B6" w14:textId="67EF0FDC" w:rsidR="00A70905" w:rsidRPr="00A70905" w:rsidRDefault="00A70905" w:rsidP="00EB2BA1">
      <w:pPr>
        <w:numPr>
          <w:ilvl w:val="0"/>
          <w:numId w:val="2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Risk Mitigation and Resilience:</w:t>
      </w:r>
      <w:r w:rsidRPr="00A70905">
        <w:rPr>
          <w:rFonts w:asciiTheme="majorBidi" w:hAnsiTheme="majorBidi" w:cstheme="majorBidi"/>
          <w:sz w:val="24"/>
          <w:szCs w:val="24"/>
        </w:rPr>
        <w:t xml:space="preserve"> Partnerships provided resilience when facing external shocks or changes. For instance, during a period of government budget tightening in 2016, projects slowed. Companies that had local partners could pivot to other activities (like local services) or had the local insight to weather the downtime. A standalone foreign company might have simply pulled out. A partner at a consulting firm noted, </w:t>
      </w:r>
      <w:r w:rsidRPr="00A70905">
        <w:rPr>
          <w:rFonts w:asciiTheme="majorBidi" w:hAnsiTheme="majorBidi" w:cstheme="majorBidi"/>
          <w:i/>
          <w:iCs/>
          <w:sz w:val="24"/>
          <w:szCs w:val="24"/>
        </w:rPr>
        <w:t>“We saw during slowdowns that JVs tended to persist the local stakeholder had a long-term view to stay, which kept the foreign partner from exiting in panic.”</w:t>
      </w:r>
      <w:r w:rsidRPr="00A70905">
        <w:rPr>
          <w:rFonts w:asciiTheme="majorBidi" w:hAnsiTheme="majorBidi" w:cstheme="majorBidi"/>
          <w:sz w:val="24"/>
          <w:szCs w:val="24"/>
        </w:rPr>
        <w:t xml:space="preserve"> Thus partnerships help companies ride out cyclical downturns by anchoring them to long-term local interests.</w:t>
      </w:r>
    </w:p>
    <w:p w14:paraId="3BD9014A" w14:textId="77777777" w:rsidR="00A70905" w:rsidRPr="00A70905" w:rsidRDefault="00A70905" w:rsidP="00EB2BA1">
      <w:pPr>
        <w:numPr>
          <w:ilvl w:val="0"/>
          <w:numId w:val="22"/>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Shaping Industry Standards:</w:t>
      </w:r>
      <w:r w:rsidRPr="00A70905">
        <w:rPr>
          <w:rFonts w:asciiTheme="majorBidi" w:hAnsiTheme="majorBidi" w:cstheme="majorBidi"/>
          <w:sz w:val="24"/>
          <w:szCs w:val="24"/>
        </w:rPr>
        <w:t xml:space="preserve"> An unexpected find was that some partnerships aimed at shaping standards or the ecosystem. Example: a consortium of companies (including foreign and local, and a university) formed an “Energy Efficiency Hub” as a loose partnership to advise the government on standards for new equipment. By participating, those companies indirectly shaped standards that favored modern tech (which they were ready to provide). This is a strategic alliance not for immediate contracts but for long-term influence. Companies working collectively with entities like SASO (Saudi Standards Organization) or </w:t>
      </w:r>
      <w:r w:rsidRPr="00A70905">
        <w:rPr>
          <w:rFonts w:asciiTheme="majorBidi" w:hAnsiTheme="majorBidi" w:cstheme="majorBidi"/>
          <w:sz w:val="24"/>
          <w:szCs w:val="24"/>
        </w:rPr>
        <w:lastRenderedPageBreak/>
        <w:t>through industry councils can be seen as a macro-partnership approach to ensure their technologies become the required ones.</w:t>
      </w:r>
    </w:p>
    <w:p w14:paraId="0F134063"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Challenges within Partnerships:</w:t>
      </w:r>
      <w:r w:rsidRPr="00A70905">
        <w:rPr>
          <w:rFonts w:asciiTheme="majorBidi" w:hAnsiTheme="majorBidi" w:cstheme="majorBidi"/>
          <w:sz w:val="24"/>
          <w:szCs w:val="24"/>
        </w:rPr>
        <w:br/>
        <w:t>Not all partnerships were smooth. Some challenges mentioned:</w:t>
      </w:r>
    </w:p>
    <w:p w14:paraId="00B1EC3B" w14:textId="289CC379" w:rsidR="007F231A" w:rsidRPr="00D760CC" w:rsidRDefault="00A70905" w:rsidP="00EB2BA1">
      <w:pPr>
        <w:numPr>
          <w:ilvl w:val="0"/>
          <w:numId w:val="2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Partner Alignment:</w:t>
      </w:r>
      <w:r w:rsidRPr="00A70905">
        <w:rPr>
          <w:rFonts w:asciiTheme="majorBidi" w:hAnsiTheme="majorBidi" w:cstheme="majorBidi"/>
          <w:sz w:val="24"/>
          <w:szCs w:val="24"/>
        </w:rPr>
        <w:t xml:space="preserve"> A few instances of misaligned objectives were noted. One foreign company’s JV struggled because the local partner treated it as a short-term profit vehicle, not reinvesting in growth, whereas the foreign partner wanted to scale up operations. This led to tensions and eventually the foreign partner bought out the local partner to gain control. Lesson: partner selection and setting mutual goals upfront is crucial (echoing alliance theory about compatibility and commitment)</w:t>
      </w:r>
    </w:p>
    <w:p w14:paraId="21D44EA5" w14:textId="77777777" w:rsidR="007F231A" w:rsidRDefault="007F231A" w:rsidP="007F231A">
      <w:pPr>
        <w:spacing w:line="360" w:lineRule="auto"/>
        <w:rPr>
          <w:rFonts w:asciiTheme="majorBidi" w:hAnsiTheme="majorBidi" w:cstheme="majorBidi"/>
          <w:sz w:val="24"/>
          <w:szCs w:val="24"/>
        </w:rPr>
      </w:pPr>
    </w:p>
    <w:p w14:paraId="1EF452EA" w14:textId="02BC56BF" w:rsidR="007F231A" w:rsidRPr="007F231A" w:rsidRDefault="007F231A" w:rsidP="007F231A">
      <w:pPr>
        <w:spacing w:line="360" w:lineRule="auto"/>
        <w:rPr>
          <w:rFonts w:asciiTheme="majorBidi" w:hAnsiTheme="majorBidi" w:cstheme="majorBidi"/>
          <w:sz w:val="24"/>
          <w:szCs w:val="24"/>
        </w:rPr>
      </w:pPr>
      <w:bookmarkStart w:id="3" w:name="_Hlk203405536"/>
      <w:r w:rsidRPr="007F231A">
        <w:rPr>
          <w:rFonts w:asciiTheme="majorBidi" w:hAnsiTheme="majorBidi" w:cstheme="majorBidi"/>
          <w:sz w:val="24"/>
          <w:szCs w:val="24"/>
        </w:rPr>
        <w:t>Table </w:t>
      </w:r>
      <w:r w:rsidR="004F76E7">
        <w:rPr>
          <w:rFonts w:asciiTheme="majorBidi" w:hAnsiTheme="majorBidi" w:cstheme="majorBidi"/>
          <w:sz w:val="24"/>
          <w:szCs w:val="24"/>
        </w:rPr>
        <w:t>5.2.1</w:t>
      </w:r>
      <w:bookmarkEnd w:id="3"/>
      <w:r w:rsidRPr="007F231A">
        <w:rPr>
          <w:rFonts w:asciiTheme="majorBidi" w:hAnsiTheme="majorBidi" w:cstheme="majorBidi"/>
          <w:sz w:val="24"/>
          <w:szCs w:val="24"/>
        </w:rPr>
        <w:t>: Prominent Joint Ventures in Saudi Arabia’s Energy Industry</w:t>
      </w:r>
    </w:p>
    <w:p w14:paraId="69D0E5D4" w14:textId="6C63468C" w:rsidR="007F231A" w:rsidRDefault="007F231A" w:rsidP="007F231A">
      <w:pPr>
        <w:spacing w:line="360" w:lineRule="auto"/>
        <w:rPr>
          <w:rFonts w:asciiTheme="majorBidi" w:hAnsiTheme="majorBidi" w:cstheme="majorBidi"/>
          <w:sz w:val="24"/>
          <w:szCs w:val="24"/>
        </w:rPr>
      </w:pPr>
      <w:r w:rsidRPr="007F231A">
        <w:rPr>
          <w:noProof/>
        </w:rPr>
        <w:drawing>
          <wp:inline distT="0" distB="0" distL="0" distR="0" wp14:anchorId="7D8625B0" wp14:editId="64109ABC">
            <wp:extent cx="5486400" cy="796290"/>
            <wp:effectExtent l="0" t="0" r="0" b="3810"/>
            <wp:docPr id="13800095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796290"/>
                    </a:xfrm>
                    <a:prstGeom prst="rect">
                      <a:avLst/>
                    </a:prstGeom>
                    <a:noFill/>
                    <a:ln>
                      <a:noFill/>
                    </a:ln>
                  </pic:spPr>
                </pic:pic>
              </a:graphicData>
            </a:graphic>
          </wp:inline>
        </w:drawing>
      </w:r>
    </w:p>
    <w:p w14:paraId="100CA8C9" w14:textId="77777777" w:rsidR="007F231A" w:rsidRDefault="007F231A" w:rsidP="007F231A">
      <w:pPr>
        <w:spacing w:line="360" w:lineRule="auto"/>
        <w:rPr>
          <w:rFonts w:asciiTheme="majorBidi" w:hAnsiTheme="majorBidi" w:cstheme="majorBidi"/>
          <w:sz w:val="24"/>
          <w:szCs w:val="24"/>
        </w:rPr>
      </w:pPr>
      <w:r w:rsidRPr="007F231A">
        <w:rPr>
          <w:rFonts w:asciiTheme="majorBidi" w:hAnsiTheme="majorBidi" w:cstheme="majorBidi"/>
          <w:sz w:val="24"/>
          <w:szCs w:val="24"/>
        </w:rPr>
        <w:t>Major joint ventures in the Saudi energy sector, highlighting the partners involved (foreign and local) and the venture’s focus/objectives.</w:t>
      </w:r>
    </w:p>
    <w:p w14:paraId="6277267E" w14:textId="77777777" w:rsidR="007F231A" w:rsidRPr="00A70905" w:rsidRDefault="007F231A" w:rsidP="007F231A">
      <w:pPr>
        <w:spacing w:line="360" w:lineRule="auto"/>
        <w:rPr>
          <w:rFonts w:asciiTheme="majorBidi" w:hAnsiTheme="majorBidi" w:cstheme="majorBidi"/>
          <w:sz w:val="24"/>
          <w:szCs w:val="24"/>
        </w:rPr>
      </w:pPr>
    </w:p>
    <w:p w14:paraId="596F8797" w14:textId="77777777" w:rsidR="00A70905" w:rsidRPr="00A70905" w:rsidRDefault="00A70905" w:rsidP="00EB2BA1">
      <w:pPr>
        <w:numPr>
          <w:ilvl w:val="0"/>
          <w:numId w:val="2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Cultural Differences:</w:t>
      </w:r>
      <w:r w:rsidRPr="00A70905">
        <w:rPr>
          <w:rFonts w:asciiTheme="majorBidi" w:hAnsiTheme="majorBidi" w:cstheme="majorBidi"/>
          <w:sz w:val="24"/>
          <w:szCs w:val="24"/>
        </w:rPr>
        <w:t xml:space="preserve"> Operationally, differences in corporate culture caused friction. E.g., decision-making speed: a foreign partner used to rapid timelines got frustrated with what they perceived as slow, consultative processes of the local firm (which involved more stakeholders). Training and a middle-ground approach eventually resolved this, but it highlights the need for cultural bridging roles in partnerships (some JVs hire a “cultural liaison” manager).</w:t>
      </w:r>
    </w:p>
    <w:p w14:paraId="26B18433" w14:textId="59405DB6" w:rsidR="00A70905" w:rsidRPr="00A70905" w:rsidRDefault="00A70905" w:rsidP="00EB2BA1">
      <w:pPr>
        <w:numPr>
          <w:ilvl w:val="0"/>
          <w:numId w:val="23"/>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IP and Control Issues:</w:t>
      </w:r>
      <w:r w:rsidRPr="00A70905">
        <w:rPr>
          <w:rFonts w:asciiTheme="majorBidi" w:hAnsiTheme="majorBidi" w:cstheme="majorBidi"/>
          <w:sz w:val="24"/>
          <w:szCs w:val="24"/>
        </w:rPr>
        <w:t xml:space="preserve"> Particularly in technology partnerships, foreign firms worried about intellectual property. In one case, a foreign company was hesitant </w:t>
      </w:r>
      <w:r w:rsidRPr="00A70905">
        <w:rPr>
          <w:rFonts w:asciiTheme="majorBidi" w:hAnsiTheme="majorBidi" w:cstheme="majorBidi"/>
          <w:sz w:val="24"/>
          <w:szCs w:val="24"/>
        </w:rPr>
        <w:lastRenderedPageBreak/>
        <w:t>to fully train the JV staff on a proprietary process, fearing the knowledge might leak. This hampered the JV’s performance initially (they were operating at suboptimal efficiency because of withheld know-how). Trust-building and legal safeguards (NDAs, etc.) had to be reinforced. By the end, the company realized that to reap partnership benefits, they had to take some IP sharing risk and it paid off as the JV improved and both parties profited. It’s a fine balance to strike.</w:t>
      </w:r>
    </w:p>
    <w:p w14:paraId="08A3CDB1" w14:textId="77777777" w:rsidR="00B34504" w:rsidRDefault="00B34504" w:rsidP="005B051A">
      <w:pPr>
        <w:spacing w:line="360" w:lineRule="auto"/>
        <w:rPr>
          <w:rFonts w:asciiTheme="majorBidi" w:hAnsiTheme="majorBidi" w:cstheme="majorBidi"/>
          <w:b/>
          <w:bCs/>
          <w:sz w:val="24"/>
          <w:szCs w:val="24"/>
        </w:rPr>
      </w:pPr>
    </w:p>
    <w:p w14:paraId="032951ED" w14:textId="1557F373"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Insights and Theoretical Linkages:</w:t>
      </w:r>
      <w:r w:rsidRPr="00A70905">
        <w:rPr>
          <w:rFonts w:asciiTheme="majorBidi" w:hAnsiTheme="majorBidi" w:cstheme="majorBidi"/>
          <w:sz w:val="24"/>
          <w:szCs w:val="24"/>
        </w:rPr>
        <w:br/>
        <w:t>The findings on partnerships strongly support the idea that in the Saudi context, “partnership is the price of entry and the engine of growth.” This aligns with relational theories that argue competitive advantage can be a network-level phenomenon indeed, those plugged into the right networks (via partnerships) outperformed those trying standalone competition.</w:t>
      </w:r>
    </w:p>
    <w:p w14:paraId="6338A9D1" w14:textId="6A233E91"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It also resonates with institutional theory: many partnerships exist not just for economic efficiency, but to gain legitimacy (a JV with a government-related entity signals compliance and commitment, easing acceptance by other local stakeholders). We saw that alliances including government entities had high success our cases echo that (e.g., projects involving PIF or Aramco in some capacity generally moved faster).</w:t>
      </w:r>
    </w:p>
    <w:p w14:paraId="0FD7A407" w14:textId="65243EEE"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From a dynamic capabilities view, forming and managing partnerships is itself a capability (alliance management capability). Companies like ACWA or major multinationals have departments or teams dedicated to managing JV relationships, continuously aligning interests and ensuring knowledge flows this in itself becomes an advantage, as they can spin up new partnerships faster than a company with no such experience.</w:t>
      </w:r>
    </w:p>
    <w:p w14:paraId="5E3030FF" w14:textId="2103B115" w:rsidR="00D36591" w:rsidRDefault="00A70905" w:rsidP="00D760CC">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conclusion, strategic partnerships drive growth and resilience in the Saudi energy sector. Companies with strong partnership networks were more adaptable to changes and could undertake larger, more complex projects than they could alone. As one salient example, partnerships enabled firms to comply with and even benefit from localization policies turning what is a compliance requirement into a competitive advantage (by </w:t>
      </w:r>
      <w:r w:rsidRPr="00A70905">
        <w:rPr>
          <w:rFonts w:asciiTheme="majorBidi" w:hAnsiTheme="majorBidi" w:cstheme="majorBidi"/>
          <w:sz w:val="24"/>
          <w:szCs w:val="24"/>
        </w:rPr>
        <w:lastRenderedPageBreak/>
        <w:t>localizing via JV, they scored higher and won more deals, as in GE’s case post-JV). Thus, the research confirms that forming and leveraging strategic partnerships is not just beneficial but virtually indispensable for scaling up in this context.</w:t>
      </w:r>
    </w:p>
    <w:p w14:paraId="690991B7" w14:textId="77777777" w:rsidR="00D36591" w:rsidRDefault="00D36591" w:rsidP="005B051A">
      <w:pPr>
        <w:spacing w:line="360" w:lineRule="auto"/>
        <w:rPr>
          <w:rFonts w:asciiTheme="majorBidi" w:hAnsiTheme="majorBidi" w:cstheme="majorBidi"/>
          <w:sz w:val="24"/>
          <w:szCs w:val="24"/>
        </w:rPr>
      </w:pPr>
    </w:p>
    <w:p w14:paraId="1E15AFFA" w14:textId="79D48545"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5.3 Innovation and Open Innovation in the Saudi Energy Sector Context</w:t>
      </w:r>
    </w:p>
    <w:p w14:paraId="410CBECB" w14:textId="7F1C75BC"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Innovation particularly adapting to new technology and driving improvements was identified as a critical factor for long-term success and differentiation in the Saudi energy sector. The capacity to innovate allowed companies to offer unique solutions, improve efficiency, and respond to the evolving needs under initiatives like Vision 2030 (which emphasizes sustainability and advanced technology). Moreover, firms that embraced open innovation collaborating beyond their organizational boundaries often accelerated their innovation processes and better tailored their offerings to the Saudi market.</w:t>
      </w:r>
    </w:p>
    <w:p w14:paraId="135DE46B" w14:textId="5850C07A" w:rsidR="00B34504" w:rsidRDefault="00C46D66" w:rsidP="005B051A">
      <w:pPr>
        <w:spacing w:line="360" w:lineRule="auto"/>
        <w:rPr>
          <w:rFonts w:asciiTheme="majorBidi" w:hAnsiTheme="majorBidi" w:cstheme="majorBidi"/>
          <w:b/>
          <w:bCs/>
          <w:sz w:val="24"/>
          <w:szCs w:val="24"/>
        </w:rPr>
      </w:pPr>
      <w:r>
        <w:rPr>
          <w:rFonts w:asciiTheme="majorBidi" w:hAnsiTheme="majorBidi" w:cstheme="majorBidi"/>
          <w:b/>
          <w:bCs/>
          <w:noProof/>
          <w:sz w:val="24"/>
          <w:szCs w:val="24"/>
        </w:rPr>
        <w:drawing>
          <wp:inline distT="0" distB="0" distL="0" distR="0" wp14:anchorId="2CF4EFB9" wp14:editId="27F9BC66">
            <wp:extent cx="5486400" cy="3291840"/>
            <wp:effectExtent l="0" t="0" r="0" b="3810"/>
            <wp:docPr id="1324755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5597" name="Picture 13247559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26BDB419" w14:textId="558452EE" w:rsidR="00C46D66" w:rsidRPr="00C46D66" w:rsidRDefault="00C46D66" w:rsidP="005B051A">
      <w:pPr>
        <w:spacing w:line="360" w:lineRule="auto"/>
        <w:rPr>
          <w:rFonts w:asciiTheme="majorBidi" w:hAnsiTheme="majorBidi" w:cstheme="majorBidi"/>
          <w:sz w:val="24"/>
          <w:szCs w:val="24"/>
        </w:rPr>
      </w:pPr>
      <w:bookmarkStart w:id="4" w:name="_Hlk203406461"/>
      <w:r w:rsidRPr="00C46D66">
        <w:rPr>
          <w:rFonts w:asciiTheme="majorBidi" w:hAnsiTheme="majorBidi" w:cstheme="majorBidi"/>
          <w:sz w:val="24"/>
          <w:szCs w:val="24"/>
        </w:rPr>
        <w:t xml:space="preserve">Figure </w:t>
      </w:r>
      <w:r w:rsidR="00987636">
        <w:rPr>
          <w:rFonts w:asciiTheme="majorBidi" w:hAnsiTheme="majorBidi" w:cstheme="majorBidi"/>
          <w:sz w:val="24"/>
          <w:szCs w:val="24"/>
        </w:rPr>
        <w:t>2</w:t>
      </w:r>
      <w:r w:rsidRPr="00C46D66">
        <w:rPr>
          <w:rFonts w:asciiTheme="majorBidi" w:hAnsiTheme="majorBidi" w:cstheme="majorBidi"/>
          <w:sz w:val="24"/>
          <w:szCs w:val="24"/>
        </w:rPr>
        <w:t>: Innovation activity</w:t>
      </w:r>
    </w:p>
    <w:bookmarkEnd w:id="4"/>
    <w:p w14:paraId="21005BB2" w14:textId="23559EE6"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Key observations on innovation practices:</w:t>
      </w:r>
    </w:p>
    <w:p w14:paraId="25CA8F5C" w14:textId="3959C653" w:rsidR="00A70905" w:rsidRPr="00A70905" w:rsidRDefault="00A70905" w:rsidP="00EB2BA1">
      <w:pPr>
        <w:numPr>
          <w:ilvl w:val="0"/>
          <w:numId w:val="2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Localization of R&amp;D and Innovation Centers:</w:t>
      </w:r>
      <w:r w:rsidRPr="00A70905">
        <w:rPr>
          <w:rFonts w:asciiTheme="majorBidi" w:hAnsiTheme="majorBidi" w:cstheme="majorBidi"/>
          <w:sz w:val="24"/>
          <w:szCs w:val="24"/>
        </w:rPr>
        <w:t xml:space="preserve"> Several international companies established local R&amp;D or innovation centers, frequently in partnership with local </w:t>
      </w:r>
      <w:r w:rsidRPr="00A70905">
        <w:rPr>
          <w:rFonts w:asciiTheme="majorBidi" w:hAnsiTheme="majorBidi" w:cstheme="majorBidi"/>
          <w:sz w:val="24"/>
          <w:szCs w:val="24"/>
        </w:rPr>
        <w:lastRenderedPageBreak/>
        <w:t xml:space="preserve">institutions. For example, Siemens set up an Innovation Hub in partnership with King Saud University focusing on power automation and AI applications for energy. The rationale, as per a Siemens representative, was </w:t>
      </w:r>
      <w:r w:rsidRPr="00A70905">
        <w:rPr>
          <w:rFonts w:asciiTheme="majorBidi" w:hAnsiTheme="majorBidi" w:cstheme="majorBidi"/>
          <w:i/>
          <w:iCs/>
          <w:sz w:val="24"/>
          <w:szCs w:val="24"/>
        </w:rPr>
        <w:t>“to innovate in-country for in-country we bring our global knowledge, but co-develop solutions with Saudi engineers that suit the environment here.”</w:t>
      </w:r>
      <w:r w:rsidRPr="00A70905">
        <w:rPr>
          <w:rFonts w:asciiTheme="majorBidi" w:hAnsiTheme="majorBidi" w:cstheme="majorBidi"/>
          <w:sz w:val="24"/>
          <w:szCs w:val="24"/>
        </w:rPr>
        <w:t xml:space="preserve"> This led to innovations like modifying gas turbine designs to handle desert conditions better, which Siemens then sold not only in KSA but also in other Middle East markets</w:t>
      </w:r>
      <w:r w:rsidR="00D36591">
        <w:rPr>
          <w:rFonts w:asciiTheme="majorBidi" w:hAnsiTheme="majorBidi" w:cstheme="majorBidi"/>
          <w:sz w:val="24"/>
          <w:szCs w:val="24"/>
        </w:rPr>
        <w:t xml:space="preserve">. </w:t>
      </w:r>
    </w:p>
    <w:p w14:paraId="66EA9223" w14:textId="441A2556" w:rsidR="00A70905" w:rsidRPr="00A70905" w:rsidRDefault="00A70905" w:rsidP="00EB2BA1">
      <w:pPr>
        <w:numPr>
          <w:ilvl w:val="0"/>
          <w:numId w:val="2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Joint Innovation Projects:</w:t>
      </w:r>
      <w:r w:rsidRPr="00A70905">
        <w:rPr>
          <w:rFonts w:asciiTheme="majorBidi" w:hAnsiTheme="majorBidi" w:cstheme="majorBidi"/>
          <w:sz w:val="24"/>
          <w:szCs w:val="24"/>
        </w:rPr>
        <w:t xml:space="preserve"> As mentioned in the literature review, Aramco’s collaboration with KAUST (a $100m research center for energy transition)</w:t>
      </w:r>
      <w:r w:rsidR="00D36591">
        <w:rPr>
          <w:rFonts w:asciiTheme="majorBidi" w:hAnsiTheme="majorBidi" w:cstheme="majorBidi"/>
          <w:sz w:val="24"/>
          <w:szCs w:val="24"/>
        </w:rPr>
        <w:t xml:space="preserve"> </w:t>
      </w:r>
      <w:r w:rsidRPr="00A70905">
        <w:rPr>
          <w:rFonts w:asciiTheme="majorBidi" w:hAnsiTheme="majorBidi" w:cstheme="majorBidi"/>
          <w:sz w:val="24"/>
          <w:szCs w:val="24"/>
        </w:rPr>
        <w:t xml:space="preserve">is a prime example of open innovation. Our focus companies, though smaller than Aramco, similarly pursued joint innovation. ACWA Power co-founded a research initiative with KACST on improving solar desalination technology combining ACWA’s operational experience with KACST’s research expertise. The outcome was a new process that reduced the cost of solar-powered water desalination, which ACWA then implemented in the Red Sea project. ACWA’s technical director noted, </w:t>
      </w:r>
      <w:r w:rsidRPr="00A70905">
        <w:rPr>
          <w:rFonts w:asciiTheme="majorBidi" w:hAnsiTheme="majorBidi" w:cstheme="majorBidi"/>
          <w:i/>
          <w:iCs/>
          <w:sz w:val="24"/>
          <w:szCs w:val="24"/>
        </w:rPr>
        <w:t>“We realized we couldn’t crack certain challenges alone, so we co-created solutions it not only gave us a better tech, it also scored us innovation points with the client and government.”</w:t>
      </w:r>
    </w:p>
    <w:p w14:paraId="4FF54120" w14:textId="6CB65712" w:rsidR="00A70905" w:rsidRPr="00A70905" w:rsidRDefault="00A70905" w:rsidP="00EB2BA1">
      <w:pPr>
        <w:numPr>
          <w:ilvl w:val="0"/>
          <w:numId w:val="2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Corporate-Startup Partnerships:</w:t>
      </w:r>
      <w:r w:rsidRPr="00A70905">
        <w:rPr>
          <w:rFonts w:asciiTheme="majorBidi" w:hAnsiTheme="majorBidi" w:cstheme="majorBidi"/>
          <w:sz w:val="24"/>
          <w:szCs w:val="24"/>
        </w:rPr>
        <w:t xml:space="preserve"> Several cases of large firms engaging with startups emerged. One was an Energy Accelerator program launched by a consortium of firms (including a major utility and a foreign tech firm) under the Ministry of Energy’s umbrella. They scouted and incubated energy-tech startups (e.g., a startup working on solar panel cleaning robots). A foreign equipment supplier partnered with that startup to pilot the robot on a solar farm they were building, providing real-world testing grounds. This open innovation approach helped the supplier integrate a new service (automated cleaning) into their offering, which can be a differentiator in O&amp;M (Operations &amp; Maintenance) contracts. The startup CEO said, </w:t>
      </w:r>
      <w:r w:rsidRPr="00A70905">
        <w:rPr>
          <w:rFonts w:asciiTheme="majorBidi" w:hAnsiTheme="majorBidi" w:cstheme="majorBidi"/>
          <w:i/>
          <w:iCs/>
          <w:sz w:val="24"/>
          <w:szCs w:val="24"/>
        </w:rPr>
        <w:t xml:space="preserve">“Without the partnership, we wouldn’t have had access to a live solar farm to test and prove our tech; with it, we got validation </w:t>
      </w:r>
      <w:r w:rsidRPr="00A70905">
        <w:rPr>
          <w:rFonts w:asciiTheme="majorBidi" w:hAnsiTheme="majorBidi" w:cstheme="majorBidi"/>
          <w:i/>
          <w:iCs/>
          <w:sz w:val="24"/>
          <w:szCs w:val="24"/>
        </w:rPr>
        <w:lastRenderedPageBreak/>
        <w:t>and our partner got early access to a solution.”</w:t>
      </w:r>
      <w:r w:rsidRPr="00A70905">
        <w:rPr>
          <w:rFonts w:asciiTheme="majorBidi" w:hAnsiTheme="majorBidi" w:cstheme="majorBidi"/>
          <w:sz w:val="24"/>
          <w:szCs w:val="24"/>
        </w:rPr>
        <w:t xml:space="preserve"> This is classic open innovation win-win knowledge exchange.</w:t>
      </w:r>
    </w:p>
    <w:p w14:paraId="0ED03E7F" w14:textId="77777777" w:rsidR="00A70905" w:rsidRPr="00A70905" w:rsidRDefault="00A70905" w:rsidP="00EB2BA1">
      <w:pPr>
        <w:numPr>
          <w:ilvl w:val="0"/>
          <w:numId w:val="2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Learning and Adapting Products:</w:t>
      </w:r>
      <w:r w:rsidRPr="00A70905">
        <w:rPr>
          <w:rFonts w:asciiTheme="majorBidi" w:hAnsiTheme="majorBidi" w:cstheme="majorBidi"/>
          <w:sz w:val="24"/>
          <w:szCs w:val="24"/>
        </w:rPr>
        <w:t xml:space="preserve"> Innovation in this context wasn’t always about creating brand new tech; often it was about adapting existing products to local needs (frugal innovation). For instance, a European manufacturer of transformers modified its designs to handle the higher ambient temperatures and occasional sandstorms of Saudi. They did so by working closely with the Saudi Electricity Company’s technical team (an informal collaboration) to redesign cooling systems and filters. This incremental innovation made their transformers more reliable in the Kingdom’s conditions, giving them a competitive edge. One SEC engineer acknowledged, </w:t>
      </w:r>
      <w:r w:rsidRPr="00A70905">
        <w:rPr>
          <w:rFonts w:asciiTheme="majorBidi" w:hAnsiTheme="majorBidi" w:cstheme="majorBidi"/>
          <w:i/>
          <w:iCs/>
          <w:sz w:val="24"/>
          <w:szCs w:val="24"/>
        </w:rPr>
        <w:t>“The foreign vendors who listened and tweaked their designs for our environment ended up performing much better, and we now prefer them.”</w:t>
      </w:r>
    </w:p>
    <w:p w14:paraId="65FA47C1" w14:textId="2A373877" w:rsidR="00A70905" w:rsidRPr="00A70905" w:rsidRDefault="00A70905" w:rsidP="00EB2BA1">
      <w:pPr>
        <w:numPr>
          <w:ilvl w:val="0"/>
          <w:numId w:val="24"/>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Patents and Intellectual Output:</w:t>
      </w:r>
      <w:r w:rsidRPr="00A70905">
        <w:rPr>
          <w:rFonts w:asciiTheme="majorBidi" w:hAnsiTheme="majorBidi" w:cstheme="majorBidi"/>
          <w:sz w:val="24"/>
          <w:szCs w:val="24"/>
        </w:rPr>
        <w:t xml:space="preserve"> It’s not easy to gather proprietary data like patents filed, but anecdotally, one foreign JV (GE’s) led to local patents around gas turbine manufacturing processes indicating knowledge creation within KSA. Meanwhile, academic collaborators said we see more energy-related patents co-authored by industry and KSA universities, highlighting a tangible output of open innovation. The KAPSARC discussion paper (2023) implied such strategic investments boost innovation output.</w:t>
      </w:r>
    </w:p>
    <w:p w14:paraId="4D9FAB1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Impact of Innovation on Competitiveness:</w:t>
      </w:r>
    </w:p>
    <w:p w14:paraId="0173E52F" w14:textId="77777777" w:rsidR="00A70905" w:rsidRPr="00A70905" w:rsidRDefault="00A70905" w:rsidP="00EB2BA1">
      <w:pPr>
        <w:numPr>
          <w:ilvl w:val="0"/>
          <w:numId w:val="2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Differentiation and Technical Leadership:</w:t>
      </w:r>
      <w:r w:rsidRPr="00A70905">
        <w:rPr>
          <w:rFonts w:asciiTheme="majorBidi" w:hAnsiTheme="majorBidi" w:cstheme="majorBidi"/>
          <w:sz w:val="24"/>
          <w:szCs w:val="24"/>
        </w:rPr>
        <w:t xml:space="preserve"> Companies that invested in innovation could differentiate beyond just price. For instance, a company offering a “digitally optimized” power plant solution (through IoT sensors and AI management, developed with a local tech partner) could pitch not just a plant, but a smarter plant with lower operating cost. One project manager noted that bid was not the cheapest upfront, but it won because lifecycle cost and tech benefits convinced the client. This underscores how innovation can shift competition from price to value.</w:t>
      </w:r>
    </w:p>
    <w:p w14:paraId="562BDC4B" w14:textId="304D43FA" w:rsidR="00A70905" w:rsidRPr="00A70905" w:rsidRDefault="00A70905" w:rsidP="00EB2BA1">
      <w:pPr>
        <w:numPr>
          <w:ilvl w:val="0"/>
          <w:numId w:val="25"/>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Policy Alignment and Support:</w:t>
      </w:r>
      <w:r w:rsidRPr="00A70905">
        <w:rPr>
          <w:rFonts w:asciiTheme="majorBidi" w:hAnsiTheme="majorBidi" w:cstheme="majorBidi"/>
          <w:sz w:val="24"/>
          <w:szCs w:val="24"/>
        </w:rPr>
        <w:t xml:space="preserve"> Vision 2030 and related policies highly value localization and innovation. Firms showcasing robust innovation efforts (like local R&amp;D centers or training programs) often got favorable attention. A Ministry of Energy official we spoke to said, </w:t>
      </w:r>
      <w:r w:rsidRPr="00A70905">
        <w:rPr>
          <w:rFonts w:asciiTheme="majorBidi" w:hAnsiTheme="majorBidi" w:cstheme="majorBidi"/>
          <w:i/>
          <w:iCs/>
          <w:sz w:val="24"/>
          <w:szCs w:val="24"/>
        </w:rPr>
        <w:t>“We are aware which companies are actually developing local talent or tech those are our long-term partners in localization.”</w:t>
      </w:r>
      <w:r w:rsidRPr="00A70905">
        <w:rPr>
          <w:rFonts w:asciiTheme="majorBidi" w:hAnsiTheme="majorBidi" w:cstheme="majorBidi"/>
          <w:sz w:val="24"/>
          <w:szCs w:val="24"/>
        </w:rPr>
        <w:t xml:space="preserve"> This suggests intangible benefits: those companies may find smoother approvals, inclusion in high-level discussions, or be invited to partake in pilot projects advantages over companies that just deliver hardware with no local innovation involvement.</w:t>
      </w:r>
    </w:p>
    <w:p w14:paraId="6BAF0721" w14:textId="77777777" w:rsidR="00A70905" w:rsidRPr="00A70905" w:rsidRDefault="00A70905" w:rsidP="00EB2BA1">
      <w:pPr>
        <w:numPr>
          <w:ilvl w:val="0"/>
          <w:numId w:val="2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Problem Solving and Flexibility:</w:t>
      </w:r>
      <w:r w:rsidRPr="00A70905">
        <w:rPr>
          <w:rFonts w:asciiTheme="majorBidi" w:hAnsiTheme="majorBidi" w:cstheme="majorBidi"/>
          <w:sz w:val="24"/>
          <w:szCs w:val="24"/>
        </w:rPr>
        <w:t xml:space="preserve"> Innovation capability also meant companies were better at solving project-specific problems. One example: on a wind farm project, unexpected issues with turbine blade erosion from sand came up. The contractor, which had an in-house innovation culture, quickly collaborated with a materials science startup (global, but one they had ties with) to apply a new coating to the blades. They resolved the issue with minimal downtime. A less innovative contractor might have been stuck waiting for HQ to provide a standard solution (which might not exist). So, innovation culture translated to agility on the ground.</w:t>
      </w:r>
    </w:p>
    <w:p w14:paraId="71E4A9AA" w14:textId="79BB83E9" w:rsidR="00CC64B0" w:rsidRPr="00E37B00" w:rsidRDefault="00A70905" w:rsidP="00EB2BA1">
      <w:pPr>
        <w:numPr>
          <w:ilvl w:val="0"/>
          <w:numId w:val="25"/>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Talent Attraction:</w:t>
      </w:r>
      <w:r w:rsidRPr="00A70905">
        <w:rPr>
          <w:rFonts w:asciiTheme="majorBidi" w:hAnsiTheme="majorBidi" w:cstheme="majorBidi"/>
          <w:sz w:val="24"/>
          <w:szCs w:val="24"/>
        </w:rPr>
        <w:t xml:space="preserve"> Companies engaged in cutting-edge projects or partnerships with universities attracted better talent. Young Saudi engineers were keen to join firms known for innovation (like ones with labs at KAUST or those running hackathons on energy solutions). This talent influx itself reinforces the company’s innovative capacity a virtuous cycle. </w:t>
      </w:r>
    </w:p>
    <w:p w14:paraId="17815989" w14:textId="4BF0D9E9" w:rsidR="00A70905" w:rsidRPr="00A70905" w:rsidRDefault="00A70905" w:rsidP="00CC64B0">
      <w:pPr>
        <w:spacing w:line="360" w:lineRule="auto"/>
        <w:ind w:left="720"/>
        <w:rPr>
          <w:rFonts w:asciiTheme="majorBidi" w:hAnsiTheme="majorBidi" w:cstheme="majorBidi"/>
          <w:sz w:val="24"/>
          <w:szCs w:val="24"/>
        </w:rPr>
      </w:pPr>
      <w:r w:rsidRPr="00A70905">
        <w:rPr>
          <w:rFonts w:asciiTheme="majorBidi" w:hAnsiTheme="majorBidi" w:cstheme="majorBidi"/>
          <w:b/>
          <w:bCs/>
          <w:sz w:val="24"/>
          <w:szCs w:val="24"/>
        </w:rPr>
        <w:t>Open Innovation Benefits and Challenges:</w:t>
      </w:r>
    </w:p>
    <w:p w14:paraId="58548F1F" w14:textId="77777777" w:rsidR="00A70905" w:rsidRPr="00A70905" w:rsidRDefault="00A70905" w:rsidP="00EB2BA1">
      <w:pPr>
        <w:numPr>
          <w:ilvl w:val="0"/>
          <w:numId w:val="26"/>
        </w:numPr>
        <w:spacing w:line="360" w:lineRule="auto"/>
        <w:rPr>
          <w:rFonts w:asciiTheme="majorBidi" w:hAnsiTheme="majorBidi" w:cstheme="majorBidi"/>
          <w:sz w:val="24"/>
          <w:szCs w:val="24"/>
        </w:rPr>
      </w:pPr>
      <w:r w:rsidRPr="00A70905">
        <w:rPr>
          <w:rFonts w:asciiTheme="majorBidi" w:hAnsiTheme="majorBidi" w:cstheme="majorBidi"/>
          <w:sz w:val="24"/>
          <w:szCs w:val="24"/>
        </w:rPr>
        <w:t>The benefits of open innovation (collaborating externally) were clearly demonstrated: faster development, more tailored solutions, shared costs of R&amp;D, and improved acceptance of new ideas (since clients or government were often part of the development process).</w:t>
      </w:r>
    </w:p>
    <w:p w14:paraId="3F037480" w14:textId="77777777" w:rsidR="00A70905" w:rsidRPr="00A70905" w:rsidRDefault="00A70905" w:rsidP="00EB2BA1">
      <w:pPr>
        <w:numPr>
          <w:ilvl w:val="0"/>
          <w:numId w:val="26"/>
        </w:numPr>
        <w:spacing w:line="360" w:lineRule="auto"/>
        <w:rPr>
          <w:rFonts w:asciiTheme="majorBidi" w:hAnsiTheme="majorBidi" w:cstheme="majorBidi"/>
          <w:sz w:val="24"/>
          <w:szCs w:val="24"/>
        </w:rPr>
      </w:pPr>
      <w:r w:rsidRPr="00A70905">
        <w:rPr>
          <w:rFonts w:asciiTheme="majorBidi" w:hAnsiTheme="majorBidi" w:cstheme="majorBidi"/>
          <w:sz w:val="24"/>
          <w:szCs w:val="24"/>
        </w:rPr>
        <w:lastRenderedPageBreak/>
        <w:t>Challenges included IP concerns (as mentioned earlier). Some foreign firms were hesitant initially to co-develop for fear of IP leakage or creating potential local competitors (e.g., a tech company worried if they develop a solution with a university, would that prof publish or share it widely?). Those who navigated this used clear agreements (joint IP ownership or licensing deals) and found that the benefits outweighed the risks because being first with a solution in the market gave them competitive advantage, and they could still protect core patents.</w:t>
      </w:r>
    </w:p>
    <w:p w14:paraId="02991CFC" w14:textId="675F9C39" w:rsidR="00A70905" w:rsidRPr="00A70905" w:rsidRDefault="00A70905" w:rsidP="00EB2BA1">
      <w:pPr>
        <w:numPr>
          <w:ilvl w:val="0"/>
          <w:numId w:val="26"/>
        </w:numPr>
        <w:spacing w:line="360" w:lineRule="auto"/>
        <w:rPr>
          <w:rFonts w:asciiTheme="majorBidi" w:hAnsiTheme="majorBidi" w:cstheme="majorBidi"/>
          <w:sz w:val="24"/>
          <w:szCs w:val="24"/>
        </w:rPr>
      </w:pPr>
      <w:r w:rsidRPr="00A70905">
        <w:rPr>
          <w:rFonts w:asciiTheme="majorBidi" w:hAnsiTheme="majorBidi" w:cstheme="majorBidi"/>
          <w:sz w:val="24"/>
          <w:szCs w:val="24"/>
        </w:rPr>
        <w:t>Another challenge is bridging different working styles industry vs academia differences in pace and objectives. Some partnerships took time to yield results (academics might research thoroughly while companies wanted quick prototypes). Setting aligned expectations and having intermediary roles (like funded research centers with both industry and academic staff) helped ease this.</w:t>
      </w:r>
    </w:p>
    <w:p w14:paraId="46F991CA" w14:textId="59F913D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Confirmation of Hypotheses from literature:</w:t>
      </w:r>
      <w:r w:rsidRPr="00A70905">
        <w:rPr>
          <w:rFonts w:asciiTheme="majorBidi" w:hAnsiTheme="majorBidi" w:cstheme="majorBidi"/>
          <w:sz w:val="24"/>
          <w:szCs w:val="24"/>
        </w:rPr>
        <w:br/>
        <w:t>Our findings echo Al-Ghamdi &amp; Bhatti (2022) who found external collaboration boosts innovation performance. We saw concrete evidence of that in cases like ACWA and Siemens. It also resonates with Vision 2030’s goals indeed the ecosystem is moving towards more collaboration, which our study shows is beneficial for firms, not just a national goal.</w:t>
      </w:r>
    </w:p>
    <w:p w14:paraId="6F5ACC99" w14:textId="437B16D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We also see open innovation theory validated: companies that allowed ideas to flow in/out (through partnerships with startups, customers, etc.) clearly innovated faster and more effectively for local needs than those that kept a closed approach (we had one counter-example: a foreign firm that insisted on only using tech from its home R&amp;D center with no adaptation they lost bids because their tech was slightly mismatched and expensive; they eventually changed tune and started a collaboration with a local </w:t>
      </w:r>
      <w:proofErr w:type="spellStart"/>
      <w:r w:rsidRPr="00A70905">
        <w:rPr>
          <w:rFonts w:asciiTheme="majorBidi" w:hAnsiTheme="majorBidi" w:cstheme="majorBidi"/>
          <w:sz w:val="24"/>
          <w:szCs w:val="24"/>
        </w:rPr>
        <w:t>uni</w:t>
      </w:r>
      <w:proofErr w:type="spellEnd"/>
      <w:r w:rsidRPr="00A70905">
        <w:rPr>
          <w:rFonts w:asciiTheme="majorBidi" w:hAnsiTheme="majorBidi" w:cstheme="majorBidi"/>
          <w:sz w:val="24"/>
          <w:szCs w:val="24"/>
        </w:rPr>
        <w:t xml:space="preserve"> to optimize cost for local market).</w:t>
      </w:r>
    </w:p>
    <w:p w14:paraId="0967EEBD" w14:textId="7179B741"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In summary, innovation and open innovation are key differentiators for firms in the Saudi energy sector. In a market where multiple companies can fulfill basic requirements, those offering innovative solutions (especially ones that contribute to Vision 2030 objectives like efficiency and local value) stand out. The open innovation approach engaging with local talent, institutions, and even competitors in some collaborative contexts has helped </w:t>
      </w:r>
      <w:r w:rsidRPr="00A70905">
        <w:rPr>
          <w:rFonts w:asciiTheme="majorBidi" w:hAnsiTheme="majorBidi" w:cstheme="majorBidi"/>
          <w:sz w:val="24"/>
          <w:szCs w:val="24"/>
        </w:rPr>
        <w:lastRenderedPageBreak/>
        <w:t>companies maintain a competitive edge and integrate into the local “innovation ecosystem” which is being actively cultivated by the government.</w:t>
      </w:r>
    </w:p>
    <w:p w14:paraId="733E8486" w14:textId="6578293B"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 xml:space="preserve">As one industry veteran concluded in our interview, </w:t>
      </w:r>
      <w:r w:rsidRPr="00A70905">
        <w:rPr>
          <w:rFonts w:asciiTheme="majorBidi" w:hAnsiTheme="majorBidi" w:cstheme="majorBidi"/>
          <w:i/>
          <w:iCs/>
          <w:sz w:val="24"/>
          <w:szCs w:val="24"/>
        </w:rPr>
        <w:t>“In Saudi now, it’s not enough to just bring your product. They want you to be part of the growth story to innovate here. The companies doing that are the ones you see getting the lion’s share of new opportunities.”</w:t>
      </w:r>
    </w:p>
    <w:p w14:paraId="406F0DE7"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Now that we’ve covered the strategic pillars (entry, partnerships, innovation), we move on to tie these together through structured analyses using SWOT, PESTLE, and Five Forces to provide a strategic overview of the environment and how companies are aligning their strategies accordingly.</w:t>
      </w:r>
    </w:p>
    <w:p w14:paraId="7F752F41" w14:textId="4BBB7519"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5.4 SWOT Analysis: Saudi Energy Sector Entry and Growth</w:t>
      </w:r>
    </w:p>
    <w:p w14:paraId="6261F7E9" w14:textId="757F4DEB" w:rsidR="00C46D66" w:rsidRDefault="00A70905" w:rsidP="00E37F5B">
      <w:pPr>
        <w:spacing w:line="360" w:lineRule="auto"/>
        <w:rPr>
          <w:rFonts w:asciiTheme="majorBidi" w:hAnsiTheme="majorBidi" w:cstheme="majorBidi"/>
          <w:sz w:val="24"/>
          <w:szCs w:val="24"/>
        </w:rPr>
      </w:pPr>
      <w:r w:rsidRPr="00A70905">
        <w:rPr>
          <w:rFonts w:asciiTheme="majorBidi" w:hAnsiTheme="majorBidi" w:cstheme="majorBidi"/>
          <w:sz w:val="24"/>
          <w:szCs w:val="24"/>
        </w:rPr>
        <w:t>Using the data gathered, a SWOT analysis was constructed to synthesize the internal strengths and weaknesses that companies typically have in this context, along with the external opportunities and threats present in the Saudi energy market environment. This SWOT is not of a specific company but a generalized composite for foreign entrants or growing firms in the electrical/</w:t>
      </w:r>
      <w:proofErr w:type="spellStart"/>
      <w:r w:rsidRPr="00A70905">
        <w:rPr>
          <w:rFonts w:asciiTheme="majorBidi" w:hAnsiTheme="majorBidi" w:cstheme="majorBidi"/>
          <w:sz w:val="24"/>
          <w:szCs w:val="24"/>
        </w:rPr>
        <w:t>electronics</w:t>
      </w:r>
      <w:proofErr w:type="spellEnd"/>
      <w:r w:rsidRPr="00A70905">
        <w:rPr>
          <w:rFonts w:asciiTheme="majorBidi" w:hAnsiTheme="majorBidi" w:cstheme="majorBidi"/>
          <w:sz w:val="24"/>
          <w:szCs w:val="24"/>
        </w:rPr>
        <w:t xml:space="preserve"> domain of the energy sector.</w:t>
      </w:r>
    </w:p>
    <w:p w14:paraId="7B343894" w14:textId="6DA9DAE8" w:rsidR="003819E0" w:rsidRDefault="003819E0" w:rsidP="003819E0">
      <w:pPr>
        <w:spacing w:line="360" w:lineRule="auto"/>
        <w:rPr>
          <w:rFonts w:asciiTheme="majorBidi" w:hAnsiTheme="majorBidi" w:cstheme="majorBidi"/>
          <w:b/>
          <w:bCs/>
          <w:sz w:val="24"/>
          <w:szCs w:val="24"/>
        </w:rPr>
      </w:pPr>
      <w:r w:rsidRPr="003819E0">
        <w:rPr>
          <w:noProof/>
        </w:rPr>
        <w:drawing>
          <wp:inline distT="0" distB="0" distL="0" distR="0" wp14:anchorId="67C0C7EE" wp14:editId="11BD1BE2">
            <wp:extent cx="5486400" cy="593090"/>
            <wp:effectExtent l="0" t="0" r="0" b="0"/>
            <wp:docPr id="19595326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593090"/>
                    </a:xfrm>
                    <a:prstGeom prst="rect">
                      <a:avLst/>
                    </a:prstGeom>
                    <a:noFill/>
                    <a:ln>
                      <a:noFill/>
                    </a:ln>
                  </pic:spPr>
                </pic:pic>
              </a:graphicData>
            </a:graphic>
          </wp:inline>
        </w:drawing>
      </w:r>
    </w:p>
    <w:p w14:paraId="7389D468" w14:textId="66DAFB8D" w:rsidR="00C46D66" w:rsidRDefault="003819E0" w:rsidP="003819E0">
      <w:pPr>
        <w:spacing w:line="360" w:lineRule="auto"/>
        <w:rPr>
          <w:rFonts w:asciiTheme="majorBidi" w:hAnsiTheme="majorBidi" w:cstheme="majorBidi"/>
          <w:b/>
          <w:bCs/>
          <w:sz w:val="24"/>
          <w:szCs w:val="24"/>
        </w:rPr>
      </w:pPr>
      <w:bookmarkStart w:id="5" w:name="_Hlk203404818"/>
      <w:r>
        <w:rPr>
          <w:rFonts w:asciiTheme="majorBidi" w:hAnsiTheme="majorBidi" w:cstheme="majorBidi"/>
          <w:b/>
          <w:bCs/>
          <w:sz w:val="24"/>
          <w:szCs w:val="24"/>
        </w:rPr>
        <w:t>Ta</w:t>
      </w:r>
      <w:r w:rsidR="004D7261">
        <w:rPr>
          <w:rFonts w:asciiTheme="majorBidi" w:hAnsiTheme="majorBidi" w:cstheme="majorBidi"/>
          <w:b/>
          <w:bCs/>
          <w:sz w:val="24"/>
          <w:szCs w:val="24"/>
        </w:rPr>
        <w:t>b</w:t>
      </w:r>
      <w:r>
        <w:rPr>
          <w:rFonts w:asciiTheme="majorBidi" w:hAnsiTheme="majorBidi" w:cstheme="majorBidi"/>
          <w:b/>
          <w:bCs/>
          <w:sz w:val="24"/>
          <w:szCs w:val="24"/>
        </w:rPr>
        <w:t xml:space="preserve">le </w:t>
      </w:r>
      <w:r w:rsidR="004D7261">
        <w:rPr>
          <w:rFonts w:asciiTheme="majorBidi" w:hAnsiTheme="majorBidi" w:cstheme="majorBidi"/>
          <w:b/>
          <w:bCs/>
          <w:sz w:val="24"/>
          <w:szCs w:val="24"/>
        </w:rPr>
        <w:t>5.4.1</w:t>
      </w:r>
      <w:bookmarkEnd w:id="5"/>
      <w:r w:rsidRPr="003819E0">
        <w:rPr>
          <w:rFonts w:asciiTheme="majorBidi" w:hAnsiTheme="majorBidi" w:cstheme="majorBidi"/>
          <w:sz w:val="24"/>
          <w:szCs w:val="24"/>
        </w:rPr>
        <w:t>: SWOT Matrix for Saudi Energy Sector (Diagram Table)</w:t>
      </w:r>
    </w:p>
    <w:p w14:paraId="7B14C987" w14:textId="5837E645"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Strengths (common internal strengths of successful firms in this sector):</w:t>
      </w:r>
    </w:p>
    <w:p w14:paraId="67843B13" w14:textId="22E74C96" w:rsidR="00A70905" w:rsidRPr="00A70905" w:rsidRDefault="00A70905" w:rsidP="00EB2BA1">
      <w:pPr>
        <w:numPr>
          <w:ilvl w:val="0"/>
          <w:numId w:val="2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Technology Leadership:</w:t>
      </w:r>
      <w:r w:rsidRPr="00A70905">
        <w:rPr>
          <w:rFonts w:asciiTheme="majorBidi" w:hAnsiTheme="majorBidi" w:cstheme="majorBidi"/>
          <w:sz w:val="24"/>
          <w:szCs w:val="24"/>
        </w:rPr>
        <w:t xml:space="preserve"> Many international entrants boast advanced technologies (e.g., high-efficiency turbines, smart grid software, renewable energy storage solutions) that are not widely available from local companies. This gives them a competitive edge in bids and allows them to command credibility sometimes even a premium if they can prove superior performance. For local firms, strengths often include deep market knowledge or government backing (like ACWA Power’s strength in structuring finance and understanding local procurement).</w:t>
      </w:r>
    </w:p>
    <w:p w14:paraId="56DB2BA1" w14:textId="77777777" w:rsidR="00A70905" w:rsidRPr="00A70905" w:rsidRDefault="00A70905" w:rsidP="00EB2BA1">
      <w:pPr>
        <w:numPr>
          <w:ilvl w:val="0"/>
          <w:numId w:val="27"/>
        </w:num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Financial Resources:</w:t>
      </w:r>
      <w:r w:rsidRPr="00A70905">
        <w:rPr>
          <w:rFonts w:asciiTheme="majorBidi" w:hAnsiTheme="majorBidi" w:cstheme="majorBidi"/>
          <w:sz w:val="24"/>
          <w:szCs w:val="24"/>
        </w:rPr>
        <w:t xml:space="preserve"> Large multinational companies or PIF-backed local companies have the capital to invest in localization (factories, training, R&amp;D) and to take on large projects. This financial muscle means they can absorb initial costs that deter weaker competitors (e.g., setting up a facility before getting a big contract, or spending on extensive pilot projects to win trust).</w:t>
      </w:r>
    </w:p>
    <w:p w14:paraId="3125B6A0" w14:textId="77777777" w:rsidR="00A70905" w:rsidRPr="00A70905" w:rsidRDefault="00A70905" w:rsidP="00EB2BA1">
      <w:pPr>
        <w:numPr>
          <w:ilvl w:val="0"/>
          <w:numId w:val="2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Global Experience and Best Practices:</w:t>
      </w:r>
      <w:r w:rsidRPr="00A70905">
        <w:rPr>
          <w:rFonts w:asciiTheme="majorBidi" w:hAnsiTheme="majorBidi" w:cstheme="majorBidi"/>
          <w:sz w:val="24"/>
          <w:szCs w:val="24"/>
        </w:rPr>
        <w:t xml:space="preserve"> Firms with worldwide project experience bring know-how in project execution, risk management, safety, etc., that often exceeds local standards. Clients like Aramco or SEC respect and sometimes specifically seek this expertise for complex projects. For example, having managed a similar grid project in another country, an international firm might foresee challenges and mitigate them better than a novice local contractor.</w:t>
      </w:r>
    </w:p>
    <w:p w14:paraId="0EDBEAA0" w14:textId="1E71DF66" w:rsidR="00A70905" w:rsidRPr="00A70905" w:rsidRDefault="00A70905" w:rsidP="00EB2BA1">
      <w:pPr>
        <w:numPr>
          <w:ilvl w:val="0"/>
          <w:numId w:val="2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Adaptability and Learning Culture:</w:t>
      </w:r>
      <w:r w:rsidRPr="00A70905">
        <w:rPr>
          <w:rFonts w:asciiTheme="majorBidi" w:hAnsiTheme="majorBidi" w:cstheme="majorBidi"/>
          <w:sz w:val="24"/>
          <w:szCs w:val="24"/>
        </w:rPr>
        <w:t xml:space="preserve"> The companies that thrived showed an organizational willingness to learn and adapt. They sent teams to learn local culture, they tweaked products to meet local specs, and they were open to feedback. Schneider’s ability to indigenize production and workforce over time is a strength stemming from a learning culture they didn't insist on doing things “the French way” in Saudi, they evolved.</w:t>
      </w:r>
    </w:p>
    <w:p w14:paraId="25C4AF14" w14:textId="11941BC8" w:rsidR="00A70905" w:rsidRPr="00A70905" w:rsidRDefault="00A70905" w:rsidP="00EB2BA1">
      <w:pPr>
        <w:numPr>
          <w:ilvl w:val="0"/>
          <w:numId w:val="27"/>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Strong Local Partnerships (Relational Strength):</w:t>
      </w:r>
      <w:r w:rsidRPr="00A70905">
        <w:rPr>
          <w:rFonts w:asciiTheme="majorBidi" w:hAnsiTheme="majorBidi" w:cstheme="majorBidi"/>
          <w:sz w:val="24"/>
          <w:szCs w:val="24"/>
        </w:rPr>
        <w:t xml:space="preserve"> A bit meta, but by forging strong partnerships, companies create a new strength local partner support. A JV with a reputable Saudi family business, for instance, becomes a strength when marketing to government clients due to the trust and network that partner provides (not to mention fulfilling local content). We saw this as an implicit strength in multiple cases: “well-connected locally” became a describable asset on their balance sheet of capabilities.</w:t>
      </w:r>
    </w:p>
    <w:p w14:paraId="057D5987" w14:textId="32E36719"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Weaknesses (common internal limitations)</w:t>
      </w:r>
      <w:r w:rsidRPr="00A70905">
        <w:rPr>
          <w:rFonts w:asciiTheme="majorBidi" w:hAnsiTheme="majorBidi" w:cstheme="majorBidi"/>
          <w:sz w:val="24"/>
          <w:szCs w:val="24"/>
        </w:rPr>
        <w:t>:</w:t>
      </w:r>
    </w:p>
    <w:p w14:paraId="34E0398E" w14:textId="77777777" w:rsidR="00A70905" w:rsidRPr="00A70905" w:rsidRDefault="00A70905" w:rsidP="00EB2BA1">
      <w:pPr>
        <w:numPr>
          <w:ilvl w:val="0"/>
          <w:numId w:val="2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Limited Local Footprint Initially:</w:t>
      </w:r>
      <w:r w:rsidRPr="00A70905">
        <w:rPr>
          <w:rFonts w:asciiTheme="majorBidi" w:hAnsiTheme="majorBidi" w:cstheme="majorBidi"/>
          <w:sz w:val="24"/>
          <w:szCs w:val="24"/>
        </w:rPr>
        <w:t xml:space="preserve"> New entrants typically start with little to no local team or infrastructure, a weakness when competing with firms that have been “on the ground” for decades. This affects relationships (no established client trust), response time (no local service team for quick support), and local </w:t>
      </w:r>
      <w:r w:rsidRPr="00A70905">
        <w:rPr>
          <w:rFonts w:asciiTheme="majorBidi" w:hAnsiTheme="majorBidi" w:cstheme="majorBidi"/>
          <w:sz w:val="24"/>
          <w:szCs w:val="24"/>
        </w:rPr>
        <w:lastRenderedPageBreak/>
        <w:t>knowledge. Many companies remedied this over time by investing locally, but initially it’s a disadvantage that must be acknowledged and quickly addressed.</w:t>
      </w:r>
    </w:p>
    <w:p w14:paraId="190CC831" w14:textId="1AD98770" w:rsidR="00A70905" w:rsidRPr="00A70905" w:rsidRDefault="00A70905" w:rsidP="00EB2BA1">
      <w:pPr>
        <w:numPr>
          <w:ilvl w:val="0"/>
          <w:numId w:val="2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Higher Cost Base:</w:t>
      </w:r>
      <w:r w:rsidRPr="00A70905">
        <w:rPr>
          <w:rFonts w:asciiTheme="majorBidi" w:hAnsiTheme="majorBidi" w:cstheme="majorBidi"/>
          <w:sz w:val="24"/>
          <w:szCs w:val="24"/>
        </w:rPr>
        <w:t xml:space="preserve"> International companies sometimes have higher cost structures think expatriate salaries, international supply chains making their bids more expensive. Unless they localize procurement or labor, this can cause them to lose to more cost-effective rivals (especially as Saudi procurement becomes more price-competitive). For instance, a Western firm using imported materials might have higher costs than a competitor who sources partially locally. Until volume or local production offsets it, foreign entrants often face this cost weakness.</w:t>
      </w:r>
    </w:p>
    <w:p w14:paraId="1A68BDD8" w14:textId="262D95DA" w:rsidR="00A70905" w:rsidRPr="00A70905" w:rsidRDefault="00A70905" w:rsidP="00EB2BA1">
      <w:pPr>
        <w:numPr>
          <w:ilvl w:val="0"/>
          <w:numId w:val="2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Bureaucratic Decision Making (in large firms):</w:t>
      </w:r>
      <w:r w:rsidRPr="00A70905">
        <w:rPr>
          <w:rFonts w:asciiTheme="majorBidi" w:hAnsiTheme="majorBidi" w:cstheme="majorBidi"/>
          <w:sz w:val="24"/>
          <w:szCs w:val="24"/>
        </w:rPr>
        <w:t xml:space="preserve"> Some multinational conglomerates have headquarter-centric decision processes that slow down responses to Saudi opportunities. By the time HQ approves an action, local agile competitors (or a leaner foreign rival) may have moved. In our findings, flexibility was key those who couldn’t decentralize decisions to the local unit found themselves too slow. One interviewee alluded to inflexibility as a weakness: “we missed a quick turnaround opportunity because we had to ask 3 departments abroad for sign-off.”</w:t>
      </w:r>
    </w:p>
    <w:p w14:paraId="3F47CA3B" w14:textId="77777777" w:rsidR="00A70905" w:rsidRPr="00A70905" w:rsidRDefault="00A70905" w:rsidP="00EB2BA1">
      <w:pPr>
        <w:numPr>
          <w:ilvl w:val="0"/>
          <w:numId w:val="2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Cultural Barriers:</w:t>
      </w:r>
      <w:r w:rsidRPr="00A70905">
        <w:rPr>
          <w:rFonts w:asciiTheme="majorBidi" w:hAnsiTheme="majorBidi" w:cstheme="majorBidi"/>
          <w:sz w:val="24"/>
          <w:szCs w:val="24"/>
        </w:rPr>
        <w:t xml:space="preserve"> Initially, many foreign firms had trouble with language and cultural nuances. Lacking Arabic-speaking staff or not understanding the importance of, say, tribal or regional relationships in business could be a handicap. We saw instances of miscommunication or simply failing to network effectively due to cultural unfamiliarity. It’s a weakness that companies can and did mitigate by hiring local staff and training expats, but it exists at the start.</w:t>
      </w:r>
    </w:p>
    <w:p w14:paraId="40260D34" w14:textId="3DDA8E95" w:rsidR="00A70905" w:rsidRPr="00A70905" w:rsidRDefault="00A70905" w:rsidP="00EB2BA1">
      <w:pPr>
        <w:numPr>
          <w:ilvl w:val="0"/>
          <w:numId w:val="28"/>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IP/Knowledge Protection Concerns:</w:t>
      </w:r>
      <w:r w:rsidRPr="00A70905">
        <w:rPr>
          <w:rFonts w:asciiTheme="majorBidi" w:hAnsiTheme="majorBidi" w:cstheme="majorBidi"/>
          <w:sz w:val="24"/>
          <w:szCs w:val="24"/>
        </w:rPr>
        <w:t xml:space="preserve"> Interestingly, a weakness in partnering cited by some foreign firms was fear of IP loss. This led to half-hearted collaboration (like not sharing full designs with a JV partner), which in turn weakened the partnership’s output. A company that is overly protective can become its own worst enemy, failing to fully leverage the partnership. We classify this as an internal mindset weakness. On the local side, a local firm’s weakness might be limited technological depth so they worry a foreign partner might not </w:t>
      </w:r>
      <w:r w:rsidRPr="00A70905">
        <w:rPr>
          <w:rFonts w:asciiTheme="majorBidi" w:hAnsiTheme="majorBidi" w:cstheme="majorBidi"/>
          <w:sz w:val="24"/>
          <w:szCs w:val="24"/>
        </w:rPr>
        <w:lastRenderedPageBreak/>
        <w:t>transfer knowledge fully. Mistrust can be a weakness in the alliance if not addressed.</w:t>
      </w:r>
    </w:p>
    <w:p w14:paraId="0ED56095" w14:textId="1577E045"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t>Opportunities (external factors to leverage):</w:t>
      </w:r>
    </w:p>
    <w:p w14:paraId="557A4EE0" w14:textId="30D1F5D4" w:rsidR="00F626E5" w:rsidRPr="009F1B86" w:rsidRDefault="00A70905" w:rsidP="00EB2BA1">
      <w:pPr>
        <w:numPr>
          <w:ilvl w:val="0"/>
          <w:numId w:val="29"/>
        </w:numPr>
        <w:spacing w:line="360" w:lineRule="auto"/>
        <w:rPr>
          <w:rFonts w:asciiTheme="majorBidi" w:hAnsiTheme="majorBidi"/>
          <w:sz w:val="24"/>
          <w:szCs w:val="24"/>
        </w:rPr>
      </w:pPr>
      <w:r w:rsidRPr="00A70905">
        <w:rPr>
          <w:rFonts w:asciiTheme="majorBidi" w:hAnsiTheme="majorBidi" w:cstheme="majorBidi"/>
          <w:b/>
          <w:bCs/>
          <w:sz w:val="24"/>
          <w:szCs w:val="24"/>
        </w:rPr>
        <w:t>Vision 2030 Projects Pipeline:</w:t>
      </w:r>
      <w:r w:rsidRPr="00A70905">
        <w:rPr>
          <w:rFonts w:asciiTheme="majorBidi" w:hAnsiTheme="majorBidi" w:cstheme="majorBidi"/>
          <w:sz w:val="24"/>
          <w:szCs w:val="24"/>
        </w:rPr>
        <w:t xml:space="preserve"> There is a massive pipeline of projects (renewables, grid expansion, NEOM smart city energy systems, potential hydrogen projects, etc.). This translates to billions of </w:t>
      </w:r>
      <w:r w:rsidR="009D3118">
        <w:rPr>
          <w:rFonts w:asciiTheme="majorBidi" w:hAnsiTheme="majorBidi" w:cstheme="majorBidi"/>
          <w:sz w:val="24"/>
          <w:szCs w:val="24"/>
        </w:rPr>
        <w:t>Saudi Riyals</w:t>
      </w:r>
      <w:r w:rsidRPr="00A70905">
        <w:rPr>
          <w:rFonts w:asciiTheme="majorBidi" w:hAnsiTheme="majorBidi" w:cstheme="majorBidi"/>
          <w:sz w:val="24"/>
          <w:szCs w:val="24"/>
        </w:rPr>
        <w:t xml:space="preserve"> in contracts up for grabs over the next decade. For companies, this is a growing pie an expanding market which is an opportunity for everyone, especially those already present and prepared. As an example, the renewable energy target of 58.7 GW by 2030 means ongoing solar and wind project tenders each year. Being early and established in this space is a huge opportunity.</w:t>
      </w:r>
      <w:r w:rsidR="00F626E5">
        <w:rPr>
          <w:rFonts w:asciiTheme="majorBidi" w:hAnsiTheme="majorBidi" w:cstheme="majorBidi"/>
          <w:sz w:val="24"/>
          <w:szCs w:val="24"/>
        </w:rPr>
        <w:t xml:space="preserve"> </w:t>
      </w:r>
      <w:r w:rsidR="00F626E5" w:rsidRPr="00F626E5">
        <w:rPr>
          <w:rFonts w:asciiTheme="majorBidi" w:hAnsiTheme="majorBidi"/>
          <w:sz w:val="24"/>
          <w:szCs w:val="24"/>
        </w:rPr>
        <w:t>Renewable Energy Growth in Saudi Arabia</w:t>
      </w:r>
      <w:r w:rsidR="00F626E5">
        <w:rPr>
          <w:rFonts w:asciiTheme="majorBidi" w:hAnsiTheme="majorBidi"/>
          <w:sz w:val="24"/>
          <w:szCs w:val="24"/>
        </w:rPr>
        <w:t xml:space="preserve">, </w:t>
      </w:r>
      <w:r w:rsidR="00F626E5">
        <w:rPr>
          <w:rFonts w:asciiTheme="majorBidi" w:hAnsiTheme="majorBidi" w:cstheme="majorBidi"/>
          <w:sz w:val="24"/>
          <w:szCs w:val="24"/>
        </w:rPr>
        <w:t>t</w:t>
      </w:r>
      <w:r w:rsidR="00F626E5" w:rsidRPr="00F626E5">
        <w:rPr>
          <w:rFonts w:asciiTheme="majorBidi" w:hAnsiTheme="majorBidi" w:cstheme="majorBidi"/>
          <w:sz w:val="24"/>
          <w:szCs w:val="24"/>
        </w:rPr>
        <w:t>he Kingdom started from virtually zero renewable power a decade ago and is now pursuing an ambitious 130 GW renewable capacity target by 2030</w:t>
      </w:r>
      <w:r w:rsidR="00F626E5">
        <w:rPr>
          <w:rFonts w:asciiTheme="majorBidi" w:hAnsiTheme="majorBidi" w:cstheme="majorBidi"/>
          <w:sz w:val="24"/>
          <w:szCs w:val="24"/>
        </w:rPr>
        <w:t xml:space="preserve"> </w:t>
      </w:r>
      <w:hyperlink r:id="rId22" w:anchor=":~:text=%E2%80%9CIntroduced%20in%202016%2C%20the%20Saudi,capacity%20by%202030%2C%E2%80%9D%20said%20GlobalData" w:tgtFrame="_blank" w:history="1">
        <w:r w:rsidR="00F626E5" w:rsidRPr="00F626E5">
          <w:rPr>
            <w:rStyle w:val="Hyperlink"/>
            <w:rFonts w:asciiTheme="majorBidi" w:hAnsiTheme="majorBidi" w:cstheme="majorBidi"/>
            <w:sz w:val="24"/>
            <w:szCs w:val="24"/>
          </w:rPr>
          <w:t>arabnews.com</w:t>
        </w:r>
      </w:hyperlink>
      <w:r w:rsidR="00F626E5" w:rsidRPr="00F626E5">
        <w:rPr>
          <w:rFonts w:asciiTheme="majorBidi" w:hAnsiTheme="majorBidi" w:cstheme="majorBidi"/>
          <w:sz w:val="24"/>
          <w:szCs w:val="24"/>
        </w:rPr>
        <w:t>. Installed green capacity has grown from only 0.02 GW in 2015 to about 3 GW in 2023, reflecting an 82% CAGR in that period</w:t>
      </w:r>
      <w:r w:rsidR="00F626E5">
        <w:rPr>
          <w:rFonts w:asciiTheme="majorBidi" w:hAnsiTheme="majorBidi" w:cstheme="majorBidi"/>
          <w:sz w:val="24"/>
          <w:szCs w:val="24"/>
        </w:rPr>
        <w:t xml:space="preserve"> </w:t>
      </w:r>
      <w:hyperlink r:id="rId23" w:anchor=":~:text=According%20to%20GlobalData%2C%20Saudi%20Arabia%E2%80%99s,GW%20from%202015%20to%202023" w:tgtFrame="_blank" w:history="1">
        <w:r w:rsidR="00F626E5" w:rsidRPr="00F626E5">
          <w:rPr>
            <w:rStyle w:val="Hyperlink"/>
            <w:rFonts w:asciiTheme="majorBidi" w:hAnsiTheme="majorBidi" w:cstheme="majorBidi"/>
            <w:sz w:val="24"/>
            <w:szCs w:val="24"/>
          </w:rPr>
          <w:t>arabnews.com</w:t>
        </w:r>
      </w:hyperlink>
      <w:r w:rsidR="00F626E5" w:rsidRPr="00F626E5">
        <w:rPr>
          <w:rFonts w:asciiTheme="majorBidi" w:hAnsiTheme="majorBidi" w:cstheme="majorBidi"/>
          <w:sz w:val="24"/>
          <w:szCs w:val="24"/>
        </w:rPr>
        <w:t>. This still represents just ~3% of Saudi Arabia’s power mix as of 2023, so meeting the 50%-by-2030 goal will require adding ~20 GW of renewables every year – a massive scale-up beyond the current pace</w:t>
      </w:r>
      <w:r w:rsidR="00F626E5">
        <w:rPr>
          <w:rFonts w:asciiTheme="majorBidi" w:hAnsiTheme="majorBidi" w:cstheme="majorBidi"/>
          <w:sz w:val="24"/>
          <w:szCs w:val="24"/>
        </w:rPr>
        <w:t xml:space="preserve"> </w:t>
      </w:r>
      <w:hyperlink r:id="rId24" w:anchor=":~:text=percent%20in%202023" w:tgtFrame="_blank" w:history="1">
        <w:r w:rsidR="00F626E5" w:rsidRPr="00F626E5">
          <w:rPr>
            <w:rStyle w:val="Hyperlink"/>
            <w:rFonts w:asciiTheme="majorBidi" w:hAnsiTheme="majorBidi" w:cstheme="majorBidi"/>
            <w:sz w:val="24"/>
            <w:szCs w:val="24"/>
          </w:rPr>
          <w:t>arabnews.com</w:t>
        </w:r>
      </w:hyperlink>
      <w:r w:rsidR="00F626E5" w:rsidRPr="00F626E5">
        <w:rPr>
          <w:rFonts w:asciiTheme="majorBidi" w:hAnsiTheme="majorBidi" w:cstheme="majorBidi"/>
          <w:sz w:val="24"/>
          <w:szCs w:val="24"/>
        </w:rPr>
        <w:t>. (For context, the initial 2016 Vision 2030 plan targeted only 9.5 GW by 2030, which was later revised upward to the current 130 GW goal</w:t>
      </w:r>
      <w:r w:rsidR="00F626E5">
        <w:rPr>
          <w:rFonts w:asciiTheme="majorBidi" w:hAnsiTheme="majorBidi" w:cstheme="majorBidi"/>
          <w:sz w:val="24"/>
          <w:szCs w:val="24"/>
        </w:rPr>
        <w:t xml:space="preserve"> </w:t>
      </w:r>
      <w:hyperlink r:id="rId25" w:anchor=":~:text=%E2%80%9CIntroduced%20in%202016%2C%20the%20Saudi,capacity%20by%202030%2C%E2%80%9D%20said%20GlobalData" w:tgtFrame="_blank" w:history="1">
        <w:r w:rsidR="00F626E5" w:rsidRPr="00F626E5">
          <w:rPr>
            <w:rStyle w:val="Hyperlink"/>
            <w:rFonts w:asciiTheme="majorBidi" w:hAnsiTheme="majorBidi" w:cstheme="majorBidi"/>
            <w:sz w:val="24"/>
            <w:szCs w:val="24"/>
          </w:rPr>
          <w:t>arabnews.com</w:t>
        </w:r>
      </w:hyperlink>
      <w:r w:rsidR="00F626E5" w:rsidRPr="00F626E5">
        <w:rPr>
          <w:rFonts w:asciiTheme="majorBidi" w:hAnsiTheme="majorBidi" w:cstheme="majorBidi"/>
          <w:sz w:val="24"/>
          <w:szCs w:val="24"/>
        </w:rPr>
        <w:t>.) The chart highlights the sharp contrast between today’s capacity and the steep trajectory needed to reach the 2030 target.</w:t>
      </w:r>
    </w:p>
    <w:p w14:paraId="4E611E26" w14:textId="77777777" w:rsidR="009F1B86" w:rsidRPr="00F626E5" w:rsidRDefault="009F1B86" w:rsidP="009F1B86">
      <w:pPr>
        <w:spacing w:line="360" w:lineRule="auto"/>
        <w:rPr>
          <w:rFonts w:asciiTheme="majorBidi" w:hAnsiTheme="majorBidi"/>
          <w:sz w:val="24"/>
          <w:szCs w:val="24"/>
        </w:rPr>
      </w:pPr>
    </w:p>
    <w:p w14:paraId="0D3B3357" w14:textId="2A7CFCDF" w:rsidR="00F626E5" w:rsidRDefault="00F626E5" w:rsidP="00F626E5">
      <w:pPr>
        <w:spacing w:line="360" w:lineRule="auto"/>
        <w:ind w:left="720"/>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17FDC53D" wp14:editId="071CE6FE">
            <wp:extent cx="5486400" cy="3291840"/>
            <wp:effectExtent l="0" t="0" r="0" b="3810"/>
            <wp:docPr id="1263519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19076" name="Picture 126351907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63C20386" w14:textId="34DDF934" w:rsidR="00F626E5" w:rsidRPr="00A70905" w:rsidRDefault="00F626E5" w:rsidP="00F626E5">
      <w:pPr>
        <w:spacing w:line="360" w:lineRule="auto"/>
        <w:ind w:left="720"/>
        <w:rPr>
          <w:rFonts w:asciiTheme="majorBidi" w:hAnsiTheme="majorBidi" w:cstheme="majorBidi"/>
          <w:sz w:val="24"/>
          <w:szCs w:val="24"/>
        </w:rPr>
      </w:pPr>
      <w:bookmarkStart w:id="6" w:name="_Hlk203406271"/>
      <w:r w:rsidRPr="00F626E5">
        <w:rPr>
          <w:rFonts w:asciiTheme="majorBidi" w:hAnsiTheme="majorBidi" w:cstheme="majorBidi"/>
          <w:sz w:val="24"/>
          <w:szCs w:val="24"/>
        </w:rPr>
        <w:t xml:space="preserve">Figure </w:t>
      </w:r>
      <w:r w:rsidR="00987636">
        <w:rPr>
          <w:rFonts w:asciiTheme="majorBidi" w:hAnsiTheme="majorBidi" w:cstheme="majorBidi"/>
          <w:sz w:val="24"/>
          <w:szCs w:val="24"/>
        </w:rPr>
        <w:t>3</w:t>
      </w:r>
      <w:r w:rsidRPr="00F626E5">
        <w:rPr>
          <w:rFonts w:asciiTheme="majorBidi" w:hAnsiTheme="majorBidi" w:cstheme="majorBidi"/>
          <w:sz w:val="24"/>
          <w:szCs w:val="24"/>
        </w:rPr>
        <w:t>: Saudi Arabia’s renewable energy capacity (in GW) from 2010 up to the Vision 2030 target for 2030</w:t>
      </w:r>
    </w:p>
    <w:bookmarkEnd w:id="6"/>
    <w:p w14:paraId="7586EB8A" w14:textId="1B9C288D" w:rsidR="00A70905" w:rsidRDefault="00A70905" w:rsidP="00EB2BA1">
      <w:pPr>
        <w:numPr>
          <w:ilvl w:val="0"/>
          <w:numId w:val="2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Localization Incentives and Support:</w:t>
      </w:r>
      <w:r w:rsidRPr="00A70905">
        <w:rPr>
          <w:rFonts w:asciiTheme="majorBidi" w:hAnsiTheme="majorBidi" w:cstheme="majorBidi"/>
          <w:sz w:val="24"/>
          <w:szCs w:val="24"/>
        </w:rPr>
        <w:t xml:space="preserve"> The Saudi government offers many incentives to localize from free or cheap land in industrial zones (like SPARK), to favorable financing from SIDF (Saudi Industrial Development Fund) for setting up manufacturing, to expedited regulatory approvals for those aligning with programs. Companies can use these to reduce cost and risk of investing locally (e.g., SIDF loans can cover a significant portion of factory cost). Also, aligning with localization goals improves chances of government partnership or PIF co-investment another opportunity. Basically, the government is willing to support those who commit, which companies should capitalize on.</w:t>
      </w:r>
    </w:p>
    <w:p w14:paraId="1CD4D201" w14:textId="77777777" w:rsidR="00E37F5B" w:rsidRDefault="00E37F5B" w:rsidP="00E37F5B">
      <w:pPr>
        <w:spacing w:line="360" w:lineRule="auto"/>
        <w:rPr>
          <w:rFonts w:asciiTheme="majorBidi" w:hAnsiTheme="majorBidi" w:cstheme="majorBidi"/>
          <w:sz w:val="24"/>
          <w:szCs w:val="24"/>
        </w:rPr>
      </w:pPr>
    </w:p>
    <w:p w14:paraId="47B21AF5" w14:textId="77777777" w:rsidR="00E37F5B" w:rsidRDefault="00E37F5B" w:rsidP="00E37F5B">
      <w:pPr>
        <w:spacing w:line="360" w:lineRule="auto"/>
        <w:rPr>
          <w:rFonts w:asciiTheme="majorBidi" w:hAnsiTheme="majorBidi" w:cstheme="majorBidi"/>
          <w:sz w:val="24"/>
          <w:szCs w:val="24"/>
        </w:rPr>
      </w:pPr>
    </w:p>
    <w:p w14:paraId="0679FFED" w14:textId="77777777" w:rsidR="00E37F5B" w:rsidRDefault="00E37F5B" w:rsidP="00E37F5B">
      <w:pPr>
        <w:spacing w:line="360" w:lineRule="auto"/>
        <w:rPr>
          <w:rFonts w:asciiTheme="majorBidi" w:hAnsiTheme="majorBidi" w:cstheme="majorBidi"/>
          <w:sz w:val="24"/>
          <w:szCs w:val="24"/>
        </w:rPr>
      </w:pPr>
    </w:p>
    <w:p w14:paraId="0EBFC9D7" w14:textId="77777777" w:rsidR="00E37F5B" w:rsidRDefault="00E37F5B" w:rsidP="00E37F5B">
      <w:pPr>
        <w:spacing w:line="360" w:lineRule="auto"/>
        <w:rPr>
          <w:rFonts w:asciiTheme="majorBidi" w:hAnsiTheme="majorBidi" w:cstheme="majorBidi"/>
          <w:sz w:val="24"/>
          <w:szCs w:val="24"/>
        </w:rPr>
      </w:pPr>
    </w:p>
    <w:p w14:paraId="4A80DC95" w14:textId="77777777" w:rsidR="00E37F5B" w:rsidRDefault="00E37F5B" w:rsidP="00E37F5B">
      <w:pPr>
        <w:spacing w:line="360" w:lineRule="auto"/>
        <w:rPr>
          <w:rFonts w:asciiTheme="majorBidi" w:hAnsiTheme="majorBidi" w:cstheme="majorBidi"/>
          <w:sz w:val="24"/>
          <w:szCs w:val="24"/>
        </w:rPr>
      </w:pPr>
    </w:p>
    <w:p w14:paraId="430848E7" w14:textId="4569A9C1" w:rsidR="00E37F5B" w:rsidRDefault="00E37F5B" w:rsidP="00E37F5B">
      <w:pPr>
        <w:spacing w:line="360" w:lineRule="auto"/>
        <w:rPr>
          <w:rFonts w:asciiTheme="majorBidi" w:hAnsiTheme="majorBidi" w:cstheme="majorBidi"/>
          <w:sz w:val="24"/>
          <w:szCs w:val="24"/>
        </w:rPr>
      </w:pPr>
      <w:r w:rsidRPr="00E37F5B">
        <w:rPr>
          <w:rFonts w:asciiTheme="majorBidi" w:hAnsiTheme="majorBidi" w:cstheme="majorBidi"/>
          <w:sz w:val="24"/>
          <w:szCs w:val="24"/>
        </w:rPr>
        <w:lastRenderedPageBreak/>
        <w:t>Table </w:t>
      </w:r>
      <w:bookmarkStart w:id="7" w:name="_Hlk203404871"/>
      <w:r w:rsidR="004D7261">
        <w:rPr>
          <w:rFonts w:asciiTheme="majorBidi" w:hAnsiTheme="majorBidi" w:cstheme="majorBidi"/>
          <w:sz w:val="24"/>
          <w:szCs w:val="24"/>
        </w:rPr>
        <w:t>5.4</w:t>
      </w:r>
      <w:r w:rsidRPr="00E37F5B">
        <w:rPr>
          <w:rFonts w:asciiTheme="majorBidi" w:hAnsiTheme="majorBidi" w:cstheme="majorBidi"/>
          <w:sz w:val="24"/>
          <w:szCs w:val="24"/>
        </w:rPr>
        <w:t>.2</w:t>
      </w:r>
      <w:bookmarkEnd w:id="7"/>
      <w:r w:rsidRPr="00E37F5B">
        <w:rPr>
          <w:rFonts w:asciiTheme="majorBidi" w:hAnsiTheme="majorBidi" w:cstheme="majorBidi"/>
          <w:sz w:val="24"/>
          <w:szCs w:val="24"/>
        </w:rPr>
        <w:t>: Government Programs Supporting Energy Sector Development</w:t>
      </w:r>
    </w:p>
    <w:p w14:paraId="5918ECDE" w14:textId="75720842" w:rsidR="00E37F5B" w:rsidRPr="00E37F5B" w:rsidRDefault="00E37F5B" w:rsidP="00E37F5B">
      <w:pPr>
        <w:spacing w:line="360" w:lineRule="auto"/>
        <w:rPr>
          <w:rFonts w:asciiTheme="majorBidi" w:hAnsiTheme="majorBidi" w:cstheme="majorBidi"/>
          <w:sz w:val="24"/>
          <w:szCs w:val="24"/>
        </w:rPr>
      </w:pPr>
      <w:r w:rsidRPr="00E37F5B">
        <w:rPr>
          <w:noProof/>
        </w:rPr>
        <w:drawing>
          <wp:inline distT="0" distB="0" distL="0" distR="0" wp14:anchorId="4C68F2EA" wp14:editId="41E0B07F">
            <wp:extent cx="6214745" cy="1021052"/>
            <wp:effectExtent l="0" t="0" r="0" b="8255"/>
            <wp:docPr id="12686387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06251" cy="1036086"/>
                    </a:xfrm>
                    <a:prstGeom prst="rect">
                      <a:avLst/>
                    </a:prstGeom>
                    <a:noFill/>
                    <a:ln>
                      <a:noFill/>
                    </a:ln>
                  </pic:spPr>
                </pic:pic>
              </a:graphicData>
            </a:graphic>
          </wp:inline>
        </w:drawing>
      </w:r>
    </w:p>
    <w:p w14:paraId="02A9C37C" w14:textId="2FE1A4C7" w:rsidR="00E37F5B" w:rsidRPr="00A70905" w:rsidRDefault="00E37F5B" w:rsidP="00E37F5B">
      <w:pPr>
        <w:spacing w:line="360" w:lineRule="auto"/>
        <w:rPr>
          <w:rFonts w:asciiTheme="majorBidi" w:hAnsiTheme="majorBidi" w:cstheme="majorBidi"/>
          <w:sz w:val="24"/>
          <w:szCs w:val="24"/>
        </w:rPr>
      </w:pPr>
      <w:r w:rsidRPr="00E37F5B">
        <w:rPr>
          <w:rFonts w:asciiTheme="majorBidi" w:hAnsiTheme="majorBidi" w:cstheme="majorBidi"/>
          <w:sz w:val="24"/>
          <w:szCs w:val="24"/>
        </w:rPr>
        <w:t>A selection of major government-led programs and initiatives driving the development of Saudi Arabia’s energy sector. Each entry outlines the program’s focus and key objectives, along with notable outcomes or progress to date.</w:t>
      </w:r>
    </w:p>
    <w:p w14:paraId="54070FF5" w14:textId="77777777" w:rsidR="00A70905" w:rsidRPr="00A70905" w:rsidRDefault="00A70905" w:rsidP="00EB2BA1">
      <w:pPr>
        <w:numPr>
          <w:ilvl w:val="0"/>
          <w:numId w:val="2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High Energy Demand and New Markets:</w:t>
      </w:r>
      <w:r w:rsidRPr="00A70905">
        <w:rPr>
          <w:rFonts w:asciiTheme="majorBidi" w:hAnsiTheme="majorBidi" w:cstheme="majorBidi"/>
          <w:sz w:val="24"/>
          <w:szCs w:val="24"/>
        </w:rPr>
        <w:t xml:space="preserve"> Saudi Arabia’s electricity demand continues to rise (~3-4% annually by some estimates) due to population and industrial growth. Additionally, new markets like energy efficiency retrofits, residential solar (just starting to open up), electric vehicle infrastructure, etc., are in nascent stages. Being an early mover in these niches is a big opportunity with less competition currently. For instance, few companies specialize in energy storage solutions in KSA yet, so those who enter now can shape that sub-market.</w:t>
      </w:r>
    </w:p>
    <w:p w14:paraId="2DFC098A" w14:textId="50CC799F" w:rsidR="00A70905" w:rsidRPr="00A70905" w:rsidRDefault="00A70905" w:rsidP="00EB2BA1">
      <w:pPr>
        <w:numPr>
          <w:ilvl w:val="0"/>
          <w:numId w:val="2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Regional Hub Potential:</w:t>
      </w:r>
      <w:r w:rsidRPr="00A70905">
        <w:rPr>
          <w:rFonts w:asciiTheme="majorBidi" w:hAnsiTheme="majorBidi" w:cstheme="majorBidi"/>
          <w:sz w:val="24"/>
          <w:szCs w:val="24"/>
        </w:rPr>
        <w:t xml:space="preserve"> Saudi aims to be a hub for the region; once a company is established in KSA, it can more easily expand to neighboring countries (given Saudi’s influence on Gulf standards and as a reference client). One interviewee noted after proving themselves in KSA, they won projects in Oman and UAE partly on that reputation. So Saudi can be a springboard to the whole Middle East an opportunity for companies thinking beyond one country.</w:t>
      </w:r>
    </w:p>
    <w:p w14:paraId="3906BD50" w14:textId="15722637" w:rsidR="00A70905" w:rsidRPr="00A70905" w:rsidRDefault="00A70905" w:rsidP="00EB2BA1">
      <w:pPr>
        <w:numPr>
          <w:ilvl w:val="0"/>
          <w:numId w:val="29"/>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Talent Development Initiatives:</w:t>
      </w:r>
      <w:r w:rsidRPr="00A70905">
        <w:rPr>
          <w:rFonts w:asciiTheme="majorBidi" w:hAnsiTheme="majorBidi" w:cstheme="majorBidi"/>
          <w:sz w:val="24"/>
          <w:szCs w:val="24"/>
        </w:rPr>
        <w:t xml:space="preserve"> There’s a big push to train Saudi engineers (scholarships, new university programs, vocational training expansions). This means an increasing pool of talent is emerging. Companies that plug into these initiatives by offering internships, hiring fresh grads, sponsoring training programs can gain loyal, skilled employees. Essentially, the opportunity is to build a top-notch local workforce supported by government education programs (like sending students abroad, opening engineering colleges, etc.). In long run, that’s a huge competitive advantage for those who have the best talent.</w:t>
      </w:r>
    </w:p>
    <w:p w14:paraId="52997928" w14:textId="1419CC0B"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b/>
          <w:bCs/>
          <w:sz w:val="24"/>
          <w:szCs w:val="24"/>
        </w:rPr>
        <w:lastRenderedPageBreak/>
        <w:t>Threats (external challenges and risks):</w:t>
      </w:r>
    </w:p>
    <w:p w14:paraId="64C9DE3A" w14:textId="5730D15D" w:rsidR="00A70905" w:rsidRPr="00A70905" w:rsidRDefault="00A70905" w:rsidP="00EB2BA1">
      <w:pPr>
        <w:numPr>
          <w:ilvl w:val="0"/>
          <w:numId w:val="3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Intense Competition:</w:t>
      </w:r>
      <w:r w:rsidRPr="00A70905">
        <w:rPr>
          <w:rFonts w:asciiTheme="majorBidi" w:hAnsiTheme="majorBidi" w:cstheme="majorBidi"/>
          <w:sz w:val="24"/>
          <w:szCs w:val="24"/>
        </w:rPr>
        <w:t xml:space="preserve"> As identified in our Five Forces analysis, the market is attractive and thus crowded. Global giants (GE, Siemens, ABB, etc.), well-funded local firms, and increasingly Chinese entrants (like Huawei in solar inverters or State Grid in grid contracts) are all vying for projects. This leads to price wars and thin margins. Some companies are willing to underbid (even unsustainably low) to gain strategic entry a threat to all as it can drive down profitability market-wide. We heard of cases of extremely low bids from newcomers (sometimes backed by their governments to get a foothold) which incumbent firms had to match or lose market share.</w:t>
      </w:r>
    </w:p>
    <w:p w14:paraId="2F5F4A16" w14:textId="5D7C1C9B" w:rsidR="00A70905" w:rsidRPr="00A70905" w:rsidRDefault="00A70905" w:rsidP="00EB2BA1">
      <w:pPr>
        <w:numPr>
          <w:ilvl w:val="0"/>
          <w:numId w:val="3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Regulatory Changes/Uncertainties:</w:t>
      </w:r>
      <w:r w:rsidRPr="00A70905">
        <w:rPr>
          <w:rFonts w:asciiTheme="majorBidi" w:hAnsiTheme="majorBidi" w:cstheme="majorBidi"/>
          <w:sz w:val="24"/>
          <w:szCs w:val="24"/>
        </w:rPr>
        <w:t xml:space="preserve"> While the direction is positive (liberalization, support), sudden changes can occur. For example, if Saudization quotas for certain engineering jobs are raised unexpectedly, a firm might struggle to comply quickly and could face penalties or inability to get visas for needed expats threatening operations. Or shifts in project award criteria (like increasing the weight of cost vs quality) could upset those who invested in quality. Also, if oil prices dip severely, the government might delay projects or payments, directly impacting the sector’s pipeline (we saw a bit of that in 2016-17 a threat of volatility).</w:t>
      </w:r>
    </w:p>
    <w:p w14:paraId="75AA00DC" w14:textId="77777777" w:rsidR="00A70905" w:rsidRPr="00A70905" w:rsidRDefault="00A70905" w:rsidP="00EB2BA1">
      <w:pPr>
        <w:numPr>
          <w:ilvl w:val="0"/>
          <w:numId w:val="3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Localization Pressure as Double-Edged Sword:</w:t>
      </w:r>
      <w:r w:rsidRPr="00A70905">
        <w:rPr>
          <w:rFonts w:asciiTheme="majorBidi" w:hAnsiTheme="majorBidi" w:cstheme="majorBidi"/>
          <w:sz w:val="24"/>
          <w:szCs w:val="24"/>
        </w:rPr>
        <w:t xml:space="preserve"> If a company doesn’t localize fast enough, they may be penalized (losing business to those who did). Conversely, if they transfer too much tech or know-how, they could create local competitors. Indeed, several foreign companies quietly worry that today’s partner could become tomorrow’s rival once they learn the business (for instance, a local partner in a JV might eventually start their own competing firm). So the very push for local empowerment can threaten foreign firms’ long-term dominance unless managed via continuous innovation and partnership harmony.</w:t>
      </w:r>
    </w:p>
    <w:p w14:paraId="31737C5B" w14:textId="5015971C" w:rsidR="00A70905" w:rsidRPr="00A70905" w:rsidRDefault="00A70905" w:rsidP="00EB2BA1">
      <w:pPr>
        <w:numPr>
          <w:ilvl w:val="0"/>
          <w:numId w:val="30"/>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Environmental and Market Shift:</w:t>
      </w:r>
      <w:r w:rsidRPr="00A70905">
        <w:rPr>
          <w:rFonts w:asciiTheme="majorBidi" w:hAnsiTheme="majorBidi" w:cstheme="majorBidi"/>
          <w:sz w:val="24"/>
          <w:szCs w:val="24"/>
        </w:rPr>
        <w:t xml:space="preserve"> The global shift to renewables is an opportunity for some but a threat to those tied to fossil fuel technologies. A company heavily in oil &amp; gas services might find its main market shrinking or </w:t>
      </w:r>
      <w:r w:rsidRPr="00A70905">
        <w:rPr>
          <w:rFonts w:asciiTheme="majorBidi" w:hAnsiTheme="majorBidi" w:cstheme="majorBidi"/>
          <w:sz w:val="24"/>
          <w:szCs w:val="24"/>
        </w:rPr>
        <w:lastRenderedPageBreak/>
        <w:t>being deprioritized by the state in favor of renewables requiring them to pivot or face decline. Also, climate extremes themselves are a threat: rising temperatures, more frequent sandstorms due to climate change could stress equipment more, requiring continuous innovation to cope (which if companies fail to do, their tech might become unsuitable). Additionally, global ESG criteria might make it harder for firms that don’t clean up their act to secure international funding or partnerships.</w:t>
      </w:r>
    </w:p>
    <w:p w14:paraId="367687C6"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After analyzing SWOT, it becomes clear that leveraging strengths to seize opportunities is where companies find success: e.g., using technology leadership (strength) to tap into the big renewables projects (opportunity) by offering something few others can. And addressing weaknesses to mitigate threats is equally crucial: e.g., a company might mitigate its high cost base (weakness) to survive competitive price pressure (threat) by local manufacturing and supply chain localization to cut costs and prices.</w:t>
      </w:r>
    </w:p>
    <w:p w14:paraId="7C43932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Our cases showed that companies actively turned weaknesses into strengths over time. For example, cultural barrier weakness was addressed by intensive local hiring and training, making it a strength of having a bicultural team. Or limited local footprint weakness was addressed by quickly investing in a local facility (turning into a strength of being a local producer).</w:t>
      </w:r>
    </w:p>
    <w:p w14:paraId="4771A31A" w14:textId="6752EF53"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Responding to the environment effectively requires being proactive. The SWOT analysis in sum shows a sector full of potential but requiring strategic acumen to navigate challenges. It underscores that firms must be proactive the environment rewards those aligning with Vision 2030 trends (opportunities) and punishes those who remain static in face of rising local expectations (threats around localization).</w:t>
      </w:r>
    </w:p>
    <w:p w14:paraId="6D8AE533" w14:textId="77777777" w:rsidR="00A70905" w:rsidRPr="00FA7928"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This SWOT summary ties closely to earlier discussions: strengths like tech and partnerships link to how they overcame entry barriers; weaknesses like cost and cultural gap explain why partnerships and adaptation were needed; opportunities like mega-projects explain why everyone is keen to enter; threats like competition and localization pressure explain why some strategies (like partnership, localization, innovation) are not just optional but necessary to survive.</w:t>
      </w:r>
    </w:p>
    <w:p w14:paraId="14BC339B" w14:textId="45FF38B4" w:rsidR="00E37F5B" w:rsidRPr="00E37F5B" w:rsidRDefault="00E37F5B" w:rsidP="00E37F5B">
      <w:pPr>
        <w:spacing w:line="360" w:lineRule="auto"/>
        <w:rPr>
          <w:rFonts w:asciiTheme="majorBidi" w:hAnsiTheme="majorBidi" w:cstheme="majorBidi"/>
          <w:sz w:val="24"/>
          <w:szCs w:val="24"/>
        </w:rPr>
      </w:pPr>
      <w:bookmarkStart w:id="8" w:name="_Hlk203405002"/>
      <w:r w:rsidRPr="00E37F5B">
        <w:rPr>
          <w:rFonts w:asciiTheme="majorBidi" w:hAnsiTheme="majorBidi" w:cstheme="majorBidi"/>
          <w:sz w:val="24"/>
          <w:szCs w:val="24"/>
        </w:rPr>
        <w:lastRenderedPageBreak/>
        <w:t>Table </w:t>
      </w:r>
      <w:r w:rsidR="004D7261">
        <w:rPr>
          <w:rFonts w:asciiTheme="majorBidi" w:hAnsiTheme="majorBidi" w:cstheme="majorBidi"/>
          <w:sz w:val="24"/>
          <w:szCs w:val="24"/>
        </w:rPr>
        <w:t>5.</w:t>
      </w:r>
      <w:r w:rsidR="004F76E7">
        <w:rPr>
          <w:rFonts w:asciiTheme="majorBidi" w:hAnsiTheme="majorBidi" w:cstheme="majorBidi"/>
          <w:sz w:val="24"/>
          <w:szCs w:val="24"/>
        </w:rPr>
        <w:t>4</w:t>
      </w:r>
      <w:r w:rsidR="004D7261">
        <w:rPr>
          <w:rFonts w:asciiTheme="majorBidi" w:hAnsiTheme="majorBidi" w:cstheme="majorBidi"/>
          <w:sz w:val="24"/>
          <w:szCs w:val="24"/>
        </w:rPr>
        <w:t>.</w:t>
      </w:r>
      <w:bookmarkEnd w:id="8"/>
      <w:r w:rsidR="004F76E7">
        <w:rPr>
          <w:rFonts w:asciiTheme="majorBidi" w:hAnsiTheme="majorBidi" w:cstheme="majorBidi"/>
          <w:sz w:val="24"/>
          <w:szCs w:val="24"/>
        </w:rPr>
        <w:t>3</w:t>
      </w:r>
      <w:r w:rsidRPr="00E37F5B">
        <w:rPr>
          <w:rFonts w:asciiTheme="majorBidi" w:hAnsiTheme="majorBidi" w:cstheme="majorBidi"/>
          <w:sz w:val="24"/>
          <w:szCs w:val="24"/>
        </w:rPr>
        <w:t>: SWOT Analysis of the Saudi Energy Sector Business Environment</w:t>
      </w:r>
    </w:p>
    <w:p w14:paraId="296C9CB9" w14:textId="6D5EE6BE" w:rsidR="00E37F5B" w:rsidRDefault="005E67C7" w:rsidP="00E37F5B">
      <w:pPr>
        <w:spacing w:line="360" w:lineRule="auto"/>
        <w:rPr>
          <w:rFonts w:asciiTheme="majorBidi" w:hAnsiTheme="majorBidi" w:cstheme="majorBidi"/>
          <w:sz w:val="24"/>
          <w:szCs w:val="24"/>
        </w:rPr>
      </w:pPr>
      <w:r w:rsidRPr="005E67C7">
        <w:rPr>
          <w:noProof/>
        </w:rPr>
        <w:drawing>
          <wp:inline distT="0" distB="0" distL="0" distR="0" wp14:anchorId="17E9CCEE" wp14:editId="139644DA">
            <wp:extent cx="5702281" cy="1089660"/>
            <wp:effectExtent l="0" t="0" r="0" b="0"/>
            <wp:docPr id="17517309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5713" cy="1090316"/>
                    </a:xfrm>
                    <a:prstGeom prst="rect">
                      <a:avLst/>
                    </a:prstGeom>
                    <a:noFill/>
                    <a:ln>
                      <a:noFill/>
                    </a:ln>
                  </pic:spPr>
                </pic:pic>
              </a:graphicData>
            </a:graphic>
          </wp:inline>
        </w:drawing>
      </w:r>
    </w:p>
    <w:p w14:paraId="75A5496E" w14:textId="67A10734" w:rsidR="00E37F5B" w:rsidRPr="00A70905" w:rsidRDefault="00E37F5B" w:rsidP="00D931AE">
      <w:pPr>
        <w:spacing w:line="360" w:lineRule="auto"/>
        <w:rPr>
          <w:rFonts w:asciiTheme="majorBidi" w:hAnsiTheme="majorBidi" w:cstheme="majorBidi"/>
          <w:sz w:val="24"/>
          <w:szCs w:val="24"/>
        </w:rPr>
      </w:pPr>
      <w:r w:rsidRPr="00E37F5B">
        <w:rPr>
          <w:rFonts w:asciiTheme="majorBidi" w:hAnsiTheme="majorBidi" w:cstheme="majorBidi"/>
          <w:sz w:val="24"/>
          <w:szCs w:val="24"/>
        </w:rPr>
        <w:t>Analysis of the business climate for the energy sector in Saudi Arabia, focusing on factors that influence investment and operations (distinct from the technical/resource-focused SWOT in Table 1).</w:t>
      </w:r>
    </w:p>
    <w:p w14:paraId="2C1C3ABC" w14:textId="10054809" w:rsidR="002D7649" w:rsidRDefault="00A70905" w:rsidP="00D747CA">
      <w:pPr>
        <w:spacing w:line="360" w:lineRule="auto"/>
        <w:rPr>
          <w:rFonts w:asciiTheme="majorBidi" w:hAnsiTheme="majorBidi" w:cstheme="majorBidi"/>
          <w:sz w:val="24"/>
          <w:szCs w:val="24"/>
        </w:rPr>
      </w:pPr>
      <w:r w:rsidRPr="00A70905">
        <w:rPr>
          <w:rFonts w:asciiTheme="majorBidi" w:hAnsiTheme="majorBidi" w:cstheme="majorBidi"/>
          <w:sz w:val="24"/>
          <w:szCs w:val="24"/>
        </w:rPr>
        <w:t>Next, we put this in the broader context of PESTLE analysis to ensure we’ve captured the macro factors, and then an industry-level Five Forces analysis to see how these drive the need for those strategies we’ve detailed.</w:t>
      </w:r>
    </w:p>
    <w:p w14:paraId="3570AB0C" w14:textId="77777777" w:rsidR="00D747CA" w:rsidRPr="00D747CA" w:rsidRDefault="00D747CA" w:rsidP="00D747CA">
      <w:pPr>
        <w:spacing w:line="360" w:lineRule="auto"/>
        <w:rPr>
          <w:rFonts w:asciiTheme="majorBidi" w:hAnsiTheme="majorBidi" w:cstheme="majorBidi"/>
          <w:sz w:val="24"/>
          <w:szCs w:val="24"/>
        </w:rPr>
      </w:pPr>
    </w:p>
    <w:p w14:paraId="66848244" w14:textId="7E135810" w:rsidR="00A70905" w:rsidRPr="00A70905" w:rsidRDefault="00A70905" w:rsidP="005B051A">
      <w:pPr>
        <w:spacing w:line="360" w:lineRule="auto"/>
        <w:rPr>
          <w:rFonts w:asciiTheme="majorBidi" w:hAnsiTheme="majorBidi" w:cstheme="majorBidi"/>
          <w:b/>
          <w:bCs/>
          <w:sz w:val="24"/>
          <w:szCs w:val="24"/>
        </w:rPr>
      </w:pPr>
      <w:r w:rsidRPr="00A70905">
        <w:rPr>
          <w:rFonts w:asciiTheme="majorBidi" w:hAnsiTheme="majorBidi" w:cstheme="majorBidi"/>
          <w:b/>
          <w:bCs/>
          <w:sz w:val="24"/>
          <w:szCs w:val="24"/>
        </w:rPr>
        <w:t>5.5 PESTLE Analysis: Macro Environment of Saudi Energy Sector</w:t>
      </w:r>
    </w:p>
    <w:p w14:paraId="0486648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A PESTLE analysis helps further contextualize the findings by examining the macro-level factors influencing business strategies in the Saudi energy sector. Here we outline the key Political, Economic, Social, Technological, Legal, and Environmental factors, many of which have been touched on, but now systematically:</w:t>
      </w:r>
    </w:p>
    <w:p w14:paraId="32CBC2F2" w14:textId="73B44167"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Political:</w:t>
      </w:r>
      <w:r w:rsidRPr="00A70905">
        <w:rPr>
          <w:rFonts w:asciiTheme="majorBidi" w:hAnsiTheme="majorBidi" w:cstheme="majorBidi"/>
          <w:sz w:val="24"/>
          <w:szCs w:val="24"/>
        </w:rPr>
        <w:t xml:space="preserve"> Saudi Arabia has a stable political environment, characterized by a strong monarchy that has consistently supported development initiatives. For businesses, this stability and top-down drive (like Vision 2030 spearheaded by the Crown Prince) mean that </w:t>
      </w:r>
      <w:r w:rsidRPr="00A70905">
        <w:rPr>
          <w:rFonts w:asciiTheme="majorBidi" w:hAnsiTheme="majorBidi" w:cstheme="majorBidi"/>
          <w:b/>
          <w:bCs/>
          <w:sz w:val="24"/>
          <w:szCs w:val="24"/>
        </w:rPr>
        <w:t>government support is a major positive</w:t>
      </w:r>
      <w:r w:rsidRPr="00A70905">
        <w:rPr>
          <w:rFonts w:asciiTheme="majorBidi" w:hAnsiTheme="majorBidi" w:cstheme="majorBidi"/>
          <w:sz w:val="24"/>
          <w:szCs w:val="24"/>
        </w:rPr>
        <w:t xml:space="preserve"> ministries and programs actively facilitate industry growth (e.g., Ministry of Energy setting clear targets, Ministry of Investment assisting foreign investors). Political leadership has been vocal about partnering with the private sector and attracting foreign technology. This political will translates into initiatives like IKTVA and local content enforcement, which, politically, are aimed at ensuring local benefits from foreign participation. However, politically, companies must also be cognizant of compliance with regulations and sometimes navigate bureaucracy or varying </w:t>
      </w:r>
      <w:r w:rsidRPr="00A70905">
        <w:rPr>
          <w:rFonts w:asciiTheme="majorBidi" w:hAnsiTheme="majorBidi" w:cstheme="majorBidi"/>
          <w:sz w:val="24"/>
          <w:szCs w:val="24"/>
        </w:rPr>
        <w:lastRenderedPageBreak/>
        <w:t>expectations of different agencies (e.g., Ministry of Labor vs Ministry of Investment might have different priorities).</w:t>
      </w:r>
    </w:p>
    <w:p w14:paraId="44AD6BBD" w14:textId="09879CE8"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Economic:</w:t>
      </w:r>
      <w:r w:rsidRPr="00A70905">
        <w:rPr>
          <w:rFonts w:asciiTheme="majorBidi" w:hAnsiTheme="majorBidi" w:cstheme="majorBidi"/>
          <w:sz w:val="24"/>
          <w:szCs w:val="24"/>
        </w:rPr>
        <w:t xml:space="preserve"> Saudi Arabia boasts the largest economy in the Middle East and has strong government finances (despite oil price fluctuations, the Kingdom has substantial reserves and now PIF investments to back projects). The economic vision is diversification, meaning heavy investment into new sectors and infrastructure including energy diversification. For companies, this means a lot of economic opportunity as seen with Aramco’s $9B localization investment and Saudi’s plan to invest SAR 250B (</w:t>
      </w:r>
      <w:r w:rsidR="007D5560" w:rsidRPr="00A70905">
        <w:rPr>
          <w:rFonts w:asciiTheme="majorBidi" w:hAnsiTheme="majorBidi" w:cstheme="majorBidi"/>
          <w:sz w:val="24"/>
          <w:szCs w:val="24"/>
        </w:rPr>
        <w:t>approx.</w:t>
      </w:r>
      <w:r w:rsidRPr="00A70905">
        <w:rPr>
          <w:rFonts w:asciiTheme="majorBidi" w:hAnsiTheme="majorBidi" w:cstheme="majorBidi"/>
          <w:sz w:val="24"/>
          <w:szCs w:val="24"/>
        </w:rPr>
        <w:t xml:space="preserve"> $67B) in the power sector over 10 years. Growth in electricity demand ~3-4% annually also drives continuous expansion of capacity (some 4 GW new capacity a year needed, etc.).</w:t>
      </w:r>
    </w:p>
    <w:p w14:paraId="5C977384" w14:textId="41719210"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Social:</w:t>
      </w:r>
      <w:r w:rsidRPr="00A70905">
        <w:rPr>
          <w:rFonts w:asciiTheme="majorBidi" w:hAnsiTheme="majorBidi" w:cstheme="majorBidi"/>
          <w:sz w:val="24"/>
          <w:szCs w:val="24"/>
        </w:rPr>
        <w:t xml:space="preserve"> Saudi society is young (over half under 30) and increasingly well-educated, with many engineering graduates returning from abroad or local universities. Socially, there is high demand for jobs hence every project or partnership is measured by how many Saudi jobs it creates. Companies that are sensitive to this (e.g., through training programs, university collaborations, visible community efforts to hire locals) gain a social license to operate or at least goodwill.</w:t>
      </w:r>
    </w:p>
    <w:p w14:paraId="589FA599" w14:textId="77777777"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Technological:</w:t>
      </w:r>
      <w:r w:rsidRPr="00A70905">
        <w:rPr>
          <w:rFonts w:asciiTheme="majorBidi" w:hAnsiTheme="majorBidi" w:cstheme="majorBidi"/>
          <w:sz w:val="24"/>
          <w:szCs w:val="24"/>
        </w:rPr>
        <w:t xml:space="preserve"> Technologically, Saudi Arabia is aiming to be at the forefront in certain areas (e.g., NEOM with high-tech smart city vision, significant investments in AI via SDAIA, etc.). The energy sector specifically is rapidly adopting advanced tech: smart grids, IoT sensors on infrastructure, AI for demand forecasting, drones for line inspection, etc. Companies operating here must bring modern tech or risk obsolescence. The government has shown willingness to pilot new technologies (like blockchain for renewable certificates tested by SEC recently). This openness is an opportunity for innovative firms.</w:t>
      </w:r>
    </w:p>
    <w:p w14:paraId="047DFE1E" w14:textId="77777777"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Legal:</w:t>
      </w:r>
      <w:r w:rsidRPr="00A70905">
        <w:rPr>
          <w:rFonts w:asciiTheme="majorBidi" w:hAnsiTheme="majorBidi" w:cstheme="majorBidi"/>
          <w:sz w:val="24"/>
          <w:szCs w:val="24"/>
        </w:rPr>
        <w:t xml:space="preserve"> Legally, Saudi Arabia has made many reforms to encourage business. Now 100% foreign ownership is allowed in most sectors (no need for a local sponsor in many cases), and starting a business has been streamlined (as reflected in improved Doing Business rankings pre-2020). A new Public-Private Partnership </w:t>
      </w:r>
      <w:r w:rsidRPr="00A70905">
        <w:rPr>
          <w:rFonts w:asciiTheme="majorBidi" w:hAnsiTheme="majorBidi" w:cstheme="majorBidi"/>
          <w:sz w:val="24"/>
          <w:szCs w:val="24"/>
        </w:rPr>
        <w:lastRenderedPageBreak/>
        <w:t>law was introduced to facilitate private investment in traditionally public sectors (power, water). Procurement laws have been updated towards transparency and favoring value, not just lowest price (though enforcement of “value over cost” can vary).</w:t>
      </w:r>
    </w:p>
    <w:p w14:paraId="185F6AAD" w14:textId="6B31AB9D" w:rsidR="00A70905" w:rsidRPr="00A70905" w:rsidRDefault="00A70905" w:rsidP="00EB2BA1">
      <w:pPr>
        <w:numPr>
          <w:ilvl w:val="0"/>
          <w:numId w:val="31"/>
        </w:numPr>
        <w:spacing w:line="360" w:lineRule="auto"/>
        <w:rPr>
          <w:rFonts w:asciiTheme="majorBidi" w:hAnsiTheme="majorBidi" w:cstheme="majorBidi"/>
          <w:sz w:val="24"/>
          <w:szCs w:val="24"/>
        </w:rPr>
      </w:pPr>
      <w:r w:rsidRPr="00A70905">
        <w:rPr>
          <w:rFonts w:asciiTheme="majorBidi" w:hAnsiTheme="majorBidi" w:cstheme="majorBidi"/>
          <w:b/>
          <w:bCs/>
          <w:sz w:val="24"/>
          <w:szCs w:val="24"/>
        </w:rPr>
        <w:t>Environmental:</w:t>
      </w:r>
      <w:r w:rsidRPr="00A70905">
        <w:rPr>
          <w:rFonts w:asciiTheme="majorBidi" w:hAnsiTheme="majorBidi" w:cstheme="majorBidi"/>
          <w:sz w:val="24"/>
          <w:szCs w:val="24"/>
        </w:rPr>
        <w:t xml:space="preserve"> Environmental factors are increasingly significant in energy. Climate and geography pose operational challenges extreme heat (50°C summers), dust and sandstorms mean equipment must be ruggedized (which many engineering solutions now focus on e.g., air-conditioned enclosures for electronics, special coatings). Water scarcity intersects with energy (desalination is energy-intensive; innovation needed for efficiency).</w:t>
      </w:r>
    </w:p>
    <w:p w14:paraId="481B052A" w14:textId="77777777" w:rsidR="00A70905" w:rsidRPr="00A70905" w:rsidRDefault="00A70905" w:rsidP="005B051A">
      <w:pPr>
        <w:spacing w:line="360" w:lineRule="auto"/>
        <w:rPr>
          <w:rFonts w:asciiTheme="majorBidi" w:hAnsiTheme="majorBidi" w:cstheme="majorBidi"/>
          <w:sz w:val="24"/>
          <w:szCs w:val="24"/>
        </w:rPr>
      </w:pPr>
      <w:r w:rsidRPr="00A70905">
        <w:rPr>
          <w:rFonts w:asciiTheme="majorBidi" w:hAnsiTheme="majorBidi" w:cstheme="majorBidi"/>
          <w:sz w:val="24"/>
          <w:szCs w:val="24"/>
        </w:rPr>
        <w:t>In conclusion, the PESTLE analysis reveals a macro-environment in Saudi Arabia that is overall conducive to ambitious business endeavors in the energy sector, provided companies align with national goals and are adaptive to local conditions. Politically and economically, the support and investment are there. Socially and technologically, trends favor modern, responsible companies (a young tech-savvy workforce and demand for innovation). Legally, while requirements are rising, they level the field and push for quality and local benefit (which serious players can meet). Environmentally, the transition to sustainability opens new avenues for growth (for those in renewables/clean tech), while imposing new requirements to manage for traditional operations.</w:t>
      </w:r>
    </w:p>
    <w:p w14:paraId="028581B4" w14:textId="56D28EB5" w:rsidR="00656FA3" w:rsidRPr="00656FA3" w:rsidRDefault="00A70905" w:rsidP="00D63358">
      <w:pPr>
        <w:spacing w:line="360" w:lineRule="auto"/>
        <w:rPr>
          <w:rFonts w:asciiTheme="majorBidi" w:hAnsiTheme="majorBidi" w:cstheme="majorBidi"/>
          <w:sz w:val="24"/>
          <w:szCs w:val="24"/>
        </w:rPr>
      </w:pPr>
      <w:r w:rsidRPr="00A70905">
        <w:rPr>
          <w:rFonts w:asciiTheme="majorBidi" w:hAnsiTheme="majorBidi" w:cstheme="majorBidi"/>
          <w:sz w:val="24"/>
          <w:szCs w:val="24"/>
        </w:rPr>
        <w:t>Companies that understand and adapt to these PESTLE factors which in our study’s subjects largely did position themselves for success. This context helps explain why the strategies identified (local partnering, innovation, localization) are so critical: they’re essentially responses to these PESTLE conditions (e.g., partnership to manage political/regulatory/social aspects, innovation for technological and environmental demands, localization for legal and economic incentives).</w:t>
      </w:r>
    </w:p>
    <w:p w14:paraId="5F54D5B8"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t>5.6 Porter’s Five Forces Analysis: Industry Competitiveness</w:t>
      </w:r>
    </w:p>
    <w:p w14:paraId="5497E3A3" w14:textId="77777777" w:rsidR="00656FA3" w:rsidRDefault="00656FA3" w:rsidP="00656FA3">
      <w:pPr>
        <w:spacing w:line="360" w:lineRule="auto"/>
        <w:rPr>
          <w:rFonts w:asciiTheme="majorBidi" w:hAnsiTheme="majorBidi" w:cstheme="majorBidi"/>
          <w:sz w:val="24"/>
          <w:szCs w:val="24"/>
        </w:rPr>
      </w:pPr>
      <w:r w:rsidRPr="00656FA3">
        <w:rPr>
          <w:rFonts w:asciiTheme="majorBidi" w:hAnsiTheme="majorBidi" w:cstheme="majorBidi"/>
          <w:sz w:val="24"/>
          <w:szCs w:val="24"/>
        </w:rPr>
        <w:t>This framework assesses the competitive intensity and profitability of the Saudi energy sector, particularly in electrical and electronics segments.</w:t>
      </w:r>
    </w:p>
    <w:p w14:paraId="507038DC" w14:textId="77777777" w:rsidR="00D747CA" w:rsidRPr="00656FA3" w:rsidRDefault="00D747CA" w:rsidP="00656FA3">
      <w:pPr>
        <w:spacing w:line="360" w:lineRule="auto"/>
        <w:rPr>
          <w:rFonts w:asciiTheme="majorBidi" w:hAnsiTheme="majorBidi" w:cstheme="majorBidi"/>
          <w:sz w:val="24"/>
          <w:szCs w:val="24"/>
        </w:rPr>
      </w:pPr>
    </w:p>
    <w:p w14:paraId="6204BE5A"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lastRenderedPageBreak/>
        <w:t>1. Threat of New Entrants: Moderate</w:t>
      </w:r>
    </w:p>
    <w:p w14:paraId="6B07703D" w14:textId="77777777" w:rsidR="00656FA3" w:rsidRPr="00656FA3" w:rsidRDefault="00656FA3" w:rsidP="00656FA3">
      <w:pPr>
        <w:spacing w:line="360" w:lineRule="auto"/>
        <w:rPr>
          <w:rFonts w:asciiTheme="majorBidi" w:hAnsiTheme="majorBidi" w:cstheme="majorBidi"/>
          <w:sz w:val="24"/>
          <w:szCs w:val="24"/>
        </w:rPr>
      </w:pPr>
      <w:r w:rsidRPr="00656FA3">
        <w:rPr>
          <w:rFonts w:asciiTheme="majorBidi" w:hAnsiTheme="majorBidi" w:cstheme="majorBidi"/>
          <w:sz w:val="24"/>
          <w:szCs w:val="24"/>
        </w:rPr>
        <w:t>The Saudi energy market is attractive due to its size and government investment, but high barriers limit easy entry:</w:t>
      </w:r>
    </w:p>
    <w:p w14:paraId="1769C36E" w14:textId="77777777" w:rsidR="00656FA3" w:rsidRPr="00656FA3" w:rsidRDefault="00656FA3" w:rsidP="00656FA3">
      <w:pPr>
        <w:numPr>
          <w:ilvl w:val="0"/>
          <w:numId w:val="44"/>
        </w:numPr>
        <w:spacing w:line="360" w:lineRule="auto"/>
        <w:rPr>
          <w:rFonts w:asciiTheme="majorBidi" w:hAnsiTheme="majorBidi" w:cstheme="majorBidi"/>
          <w:sz w:val="24"/>
          <w:szCs w:val="24"/>
        </w:rPr>
      </w:pPr>
      <w:r w:rsidRPr="00656FA3">
        <w:rPr>
          <w:rFonts w:asciiTheme="majorBidi" w:hAnsiTheme="majorBidi" w:cstheme="majorBidi"/>
          <w:b/>
          <w:bCs/>
          <w:sz w:val="24"/>
          <w:szCs w:val="24"/>
        </w:rPr>
        <w:t>Barriers to Entry</w:t>
      </w:r>
      <w:r w:rsidRPr="00656FA3">
        <w:rPr>
          <w:rFonts w:asciiTheme="majorBidi" w:hAnsiTheme="majorBidi" w:cstheme="majorBidi"/>
          <w:sz w:val="24"/>
          <w:szCs w:val="24"/>
        </w:rPr>
        <w:t>: High capital requirements, complex regulations (IKTVA, Saudization), and the need for local partnerships deter new players.</w:t>
      </w:r>
    </w:p>
    <w:p w14:paraId="4F7B22C2" w14:textId="77777777" w:rsidR="00656FA3" w:rsidRPr="00656FA3" w:rsidRDefault="00656FA3" w:rsidP="00656FA3">
      <w:pPr>
        <w:numPr>
          <w:ilvl w:val="0"/>
          <w:numId w:val="44"/>
        </w:numPr>
        <w:spacing w:line="360" w:lineRule="auto"/>
        <w:rPr>
          <w:rFonts w:asciiTheme="majorBidi" w:hAnsiTheme="majorBidi" w:cstheme="majorBidi"/>
          <w:sz w:val="24"/>
          <w:szCs w:val="24"/>
        </w:rPr>
      </w:pPr>
      <w:r w:rsidRPr="00656FA3">
        <w:rPr>
          <w:rFonts w:asciiTheme="majorBidi" w:hAnsiTheme="majorBidi" w:cstheme="majorBidi"/>
          <w:b/>
          <w:bCs/>
          <w:sz w:val="24"/>
          <w:szCs w:val="24"/>
        </w:rPr>
        <w:t>Incumbent Advantages</w:t>
      </w:r>
      <w:r w:rsidRPr="00656FA3">
        <w:rPr>
          <w:rFonts w:asciiTheme="majorBidi" w:hAnsiTheme="majorBidi" w:cstheme="majorBidi"/>
          <w:sz w:val="24"/>
          <w:szCs w:val="24"/>
        </w:rPr>
        <w:t>: Established firms (e.g., ABB, Siemens) enjoy reputational benefits and operational infrastructure, giving them an edge.</w:t>
      </w:r>
    </w:p>
    <w:p w14:paraId="41F15779" w14:textId="77777777" w:rsidR="00656FA3" w:rsidRPr="00656FA3" w:rsidRDefault="00656FA3" w:rsidP="00656FA3">
      <w:pPr>
        <w:numPr>
          <w:ilvl w:val="0"/>
          <w:numId w:val="44"/>
        </w:numPr>
        <w:spacing w:line="360" w:lineRule="auto"/>
        <w:rPr>
          <w:rFonts w:asciiTheme="majorBidi" w:hAnsiTheme="majorBidi" w:cstheme="majorBidi"/>
          <w:sz w:val="24"/>
          <w:szCs w:val="24"/>
        </w:rPr>
      </w:pPr>
      <w:r w:rsidRPr="00656FA3">
        <w:rPr>
          <w:rFonts w:asciiTheme="majorBidi" w:hAnsiTheme="majorBidi" w:cstheme="majorBidi"/>
          <w:b/>
          <w:bCs/>
          <w:sz w:val="24"/>
          <w:szCs w:val="24"/>
        </w:rPr>
        <w:t>Government Incentives</w:t>
      </w:r>
      <w:r w:rsidRPr="00656FA3">
        <w:rPr>
          <w:rFonts w:asciiTheme="majorBidi" w:hAnsiTheme="majorBidi" w:cstheme="majorBidi"/>
          <w:sz w:val="24"/>
          <w:szCs w:val="24"/>
        </w:rPr>
        <w:t>: While challenging, entry is possible for firms with differentiated technologies or those willing to partner locally, aided by PIF support or fast-track licensing.</w:t>
      </w:r>
    </w:p>
    <w:p w14:paraId="62B5A57B"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t>2. Bargaining Power of Suppliers: Low to Moderate</w:t>
      </w:r>
    </w:p>
    <w:p w14:paraId="6D9A486E" w14:textId="77777777" w:rsidR="00656FA3" w:rsidRPr="00656FA3" w:rsidRDefault="00656FA3" w:rsidP="00656FA3">
      <w:pPr>
        <w:numPr>
          <w:ilvl w:val="0"/>
          <w:numId w:val="45"/>
        </w:numPr>
        <w:spacing w:line="360" w:lineRule="auto"/>
        <w:rPr>
          <w:rFonts w:asciiTheme="majorBidi" w:hAnsiTheme="majorBidi" w:cstheme="majorBidi"/>
          <w:sz w:val="24"/>
          <w:szCs w:val="24"/>
        </w:rPr>
      </w:pPr>
      <w:r w:rsidRPr="00656FA3">
        <w:rPr>
          <w:rFonts w:asciiTheme="majorBidi" w:hAnsiTheme="majorBidi" w:cstheme="majorBidi"/>
          <w:b/>
          <w:bCs/>
          <w:sz w:val="24"/>
          <w:szCs w:val="24"/>
        </w:rPr>
        <w:t>Component Supply</w:t>
      </w:r>
      <w:r w:rsidRPr="00656FA3">
        <w:rPr>
          <w:rFonts w:asciiTheme="majorBidi" w:hAnsiTheme="majorBidi" w:cstheme="majorBidi"/>
          <w:sz w:val="24"/>
          <w:szCs w:val="24"/>
        </w:rPr>
        <w:t>: Diverse global and local sourcing options reduce individual supplier power.</w:t>
      </w:r>
    </w:p>
    <w:p w14:paraId="52D9A19D" w14:textId="77777777" w:rsidR="00656FA3" w:rsidRPr="00656FA3" w:rsidRDefault="00656FA3" w:rsidP="00656FA3">
      <w:pPr>
        <w:numPr>
          <w:ilvl w:val="0"/>
          <w:numId w:val="45"/>
        </w:numPr>
        <w:spacing w:line="360" w:lineRule="auto"/>
        <w:rPr>
          <w:rFonts w:asciiTheme="majorBidi" w:hAnsiTheme="majorBidi" w:cstheme="majorBidi"/>
          <w:sz w:val="24"/>
          <w:szCs w:val="24"/>
        </w:rPr>
      </w:pPr>
      <w:r w:rsidRPr="00656FA3">
        <w:rPr>
          <w:rFonts w:asciiTheme="majorBidi" w:hAnsiTheme="majorBidi" w:cstheme="majorBidi"/>
          <w:b/>
          <w:bCs/>
          <w:sz w:val="24"/>
          <w:szCs w:val="24"/>
        </w:rPr>
        <w:t>Specialized Technology</w:t>
      </w:r>
      <w:r w:rsidRPr="00656FA3">
        <w:rPr>
          <w:rFonts w:asciiTheme="majorBidi" w:hAnsiTheme="majorBidi" w:cstheme="majorBidi"/>
          <w:sz w:val="24"/>
          <w:szCs w:val="24"/>
        </w:rPr>
        <w:t>: Niche licensors hold higher power, but competition among tech providers exists.</w:t>
      </w:r>
    </w:p>
    <w:p w14:paraId="0219F568" w14:textId="77777777" w:rsidR="00656FA3" w:rsidRPr="00656FA3" w:rsidRDefault="00656FA3" w:rsidP="00656FA3">
      <w:pPr>
        <w:numPr>
          <w:ilvl w:val="0"/>
          <w:numId w:val="45"/>
        </w:numPr>
        <w:spacing w:line="360" w:lineRule="auto"/>
        <w:rPr>
          <w:rFonts w:asciiTheme="majorBidi" w:hAnsiTheme="majorBidi" w:cstheme="majorBidi"/>
          <w:sz w:val="24"/>
          <w:szCs w:val="24"/>
        </w:rPr>
      </w:pPr>
      <w:r w:rsidRPr="00656FA3">
        <w:rPr>
          <w:rFonts w:asciiTheme="majorBidi" w:hAnsiTheme="majorBidi" w:cstheme="majorBidi"/>
          <w:b/>
          <w:bCs/>
          <w:sz w:val="24"/>
          <w:szCs w:val="24"/>
        </w:rPr>
        <w:t>Labor</w:t>
      </w:r>
      <w:r w:rsidRPr="00656FA3">
        <w:rPr>
          <w:rFonts w:asciiTheme="majorBidi" w:hAnsiTheme="majorBidi" w:cstheme="majorBidi"/>
          <w:sz w:val="24"/>
          <w:szCs w:val="24"/>
        </w:rPr>
        <w:t>: Limited availability of skilled Saudi talent boosts labor bargaining power, especially under Saudization.</w:t>
      </w:r>
    </w:p>
    <w:p w14:paraId="38E84370" w14:textId="77777777" w:rsidR="00656FA3" w:rsidRPr="00656FA3" w:rsidRDefault="00656FA3" w:rsidP="00656FA3">
      <w:pPr>
        <w:numPr>
          <w:ilvl w:val="0"/>
          <w:numId w:val="45"/>
        </w:numPr>
        <w:spacing w:line="360" w:lineRule="auto"/>
        <w:rPr>
          <w:rFonts w:asciiTheme="majorBidi" w:hAnsiTheme="majorBidi" w:cstheme="majorBidi"/>
          <w:sz w:val="24"/>
          <w:szCs w:val="24"/>
        </w:rPr>
      </w:pPr>
      <w:r w:rsidRPr="00656FA3">
        <w:rPr>
          <w:rFonts w:asciiTheme="majorBidi" w:hAnsiTheme="majorBidi" w:cstheme="majorBidi"/>
          <w:b/>
          <w:bCs/>
          <w:sz w:val="24"/>
          <w:szCs w:val="24"/>
        </w:rPr>
        <w:t>Utilities</w:t>
      </w:r>
      <w:r w:rsidRPr="00656FA3">
        <w:rPr>
          <w:rFonts w:asciiTheme="majorBidi" w:hAnsiTheme="majorBidi" w:cstheme="majorBidi"/>
          <w:sz w:val="24"/>
          <w:szCs w:val="24"/>
        </w:rPr>
        <w:t>: Energy and water inputs are low-cost and state-controlled, with minimal leverage over businesses.</w:t>
      </w:r>
      <w:r w:rsidRPr="00656FA3">
        <w:rPr>
          <w:rFonts w:asciiTheme="majorBidi" w:hAnsiTheme="majorBidi" w:cstheme="majorBidi"/>
          <w:sz w:val="24"/>
          <w:szCs w:val="24"/>
        </w:rPr>
        <w:br/>
        <w:t>Overall, most supply inputs are competitive, though specialized services and skilled local labor can exert influence.</w:t>
      </w:r>
    </w:p>
    <w:p w14:paraId="4170036B"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t>3. Bargaining Power of Buyers: High</w:t>
      </w:r>
    </w:p>
    <w:p w14:paraId="014007A7" w14:textId="77777777" w:rsidR="00656FA3" w:rsidRPr="00656FA3" w:rsidRDefault="00656FA3" w:rsidP="00656FA3">
      <w:pPr>
        <w:numPr>
          <w:ilvl w:val="0"/>
          <w:numId w:val="46"/>
        </w:numPr>
        <w:spacing w:line="360" w:lineRule="auto"/>
        <w:rPr>
          <w:rFonts w:asciiTheme="majorBidi" w:hAnsiTheme="majorBidi" w:cstheme="majorBidi"/>
          <w:sz w:val="24"/>
          <w:szCs w:val="24"/>
        </w:rPr>
      </w:pPr>
      <w:r w:rsidRPr="00656FA3">
        <w:rPr>
          <w:rFonts w:asciiTheme="majorBidi" w:hAnsiTheme="majorBidi" w:cstheme="majorBidi"/>
          <w:b/>
          <w:bCs/>
          <w:sz w:val="24"/>
          <w:szCs w:val="24"/>
        </w:rPr>
        <w:t>Main Buyers</w:t>
      </w:r>
      <w:r w:rsidRPr="00656FA3">
        <w:rPr>
          <w:rFonts w:asciiTheme="majorBidi" w:hAnsiTheme="majorBidi" w:cstheme="majorBidi"/>
          <w:sz w:val="24"/>
          <w:szCs w:val="24"/>
        </w:rPr>
        <w:t>: Entities like SEC, Aramco, and government agencies are powerful, professionalized, and cost-driven.</w:t>
      </w:r>
    </w:p>
    <w:p w14:paraId="107234BD" w14:textId="77777777" w:rsidR="00656FA3" w:rsidRPr="00656FA3" w:rsidRDefault="00656FA3" w:rsidP="00656FA3">
      <w:pPr>
        <w:numPr>
          <w:ilvl w:val="0"/>
          <w:numId w:val="46"/>
        </w:numPr>
        <w:spacing w:line="360" w:lineRule="auto"/>
        <w:rPr>
          <w:rFonts w:asciiTheme="majorBidi" w:hAnsiTheme="majorBidi" w:cstheme="majorBidi"/>
          <w:sz w:val="24"/>
          <w:szCs w:val="24"/>
        </w:rPr>
      </w:pPr>
      <w:r w:rsidRPr="00656FA3">
        <w:rPr>
          <w:rFonts w:asciiTheme="majorBidi" w:hAnsiTheme="majorBidi" w:cstheme="majorBidi"/>
          <w:b/>
          <w:bCs/>
          <w:sz w:val="24"/>
          <w:szCs w:val="24"/>
        </w:rPr>
        <w:t>Procurement Power</w:t>
      </w:r>
      <w:r w:rsidRPr="00656FA3">
        <w:rPr>
          <w:rFonts w:asciiTheme="majorBidi" w:hAnsiTheme="majorBidi" w:cstheme="majorBidi"/>
          <w:sz w:val="24"/>
          <w:szCs w:val="24"/>
        </w:rPr>
        <w:t>: Buyers issue tenders, drive prices down, and enforce localization terms.</w:t>
      </w:r>
    </w:p>
    <w:p w14:paraId="085DEA71" w14:textId="77777777" w:rsidR="00656FA3" w:rsidRPr="00656FA3" w:rsidRDefault="00656FA3" w:rsidP="00656FA3">
      <w:pPr>
        <w:numPr>
          <w:ilvl w:val="0"/>
          <w:numId w:val="46"/>
        </w:numPr>
        <w:spacing w:line="360" w:lineRule="auto"/>
        <w:rPr>
          <w:rFonts w:asciiTheme="majorBidi" w:hAnsiTheme="majorBidi" w:cstheme="majorBidi"/>
          <w:sz w:val="24"/>
          <w:szCs w:val="24"/>
        </w:rPr>
      </w:pPr>
      <w:r w:rsidRPr="00656FA3">
        <w:rPr>
          <w:rFonts w:asciiTheme="majorBidi" w:hAnsiTheme="majorBidi" w:cstheme="majorBidi"/>
          <w:b/>
          <w:bCs/>
          <w:sz w:val="24"/>
          <w:szCs w:val="24"/>
        </w:rPr>
        <w:lastRenderedPageBreak/>
        <w:t>Self-Reliance</w:t>
      </w:r>
      <w:r w:rsidRPr="00656FA3">
        <w:rPr>
          <w:rFonts w:asciiTheme="majorBidi" w:hAnsiTheme="majorBidi" w:cstheme="majorBidi"/>
          <w:sz w:val="24"/>
          <w:szCs w:val="24"/>
        </w:rPr>
        <w:t>: Some buyers (e.g., Aramco) are developing in-house capabilities, further reducing dependence on external vendors.</w:t>
      </w:r>
      <w:r w:rsidRPr="00656FA3">
        <w:rPr>
          <w:rFonts w:asciiTheme="majorBidi" w:hAnsiTheme="majorBidi" w:cstheme="majorBidi"/>
          <w:sz w:val="24"/>
          <w:szCs w:val="24"/>
        </w:rPr>
        <w:br/>
        <w:t>Due to market concentration, companies must align with buyer demands (localization, pricing) or risk exclusion from major opportunities.</w:t>
      </w:r>
    </w:p>
    <w:p w14:paraId="15F79D60"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t>4. Threat of Substitutes: Moderate</w:t>
      </w:r>
    </w:p>
    <w:p w14:paraId="575D1D10" w14:textId="77777777" w:rsidR="00656FA3" w:rsidRPr="00656FA3" w:rsidRDefault="00656FA3" w:rsidP="00656FA3">
      <w:pPr>
        <w:numPr>
          <w:ilvl w:val="0"/>
          <w:numId w:val="47"/>
        </w:numPr>
        <w:spacing w:line="360" w:lineRule="auto"/>
        <w:rPr>
          <w:rFonts w:asciiTheme="majorBidi" w:hAnsiTheme="majorBidi" w:cstheme="majorBidi"/>
          <w:sz w:val="24"/>
          <w:szCs w:val="24"/>
        </w:rPr>
      </w:pPr>
      <w:r w:rsidRPr="00656FA3">
        <w:rPr>
          <w:rFonts w:asciiTheme="majorBidi" w:hAnsiTheme="majorBidi" w:cstheme="majorBidi"/>
          <w:b/>
          <w:bCs/>
          <w:sz w:val="24"/>
          <w:szCs w:val="24"/>
        </w:rPr>
        <w:t>Technology Shift</w:t>
      </w:r>
      <w:r w:rsidRPr="00656FA3">
        <w:rPr>
          <w:rFonts w:asciiTheme="majorBidi" w:hAnsiTheme="majorBidi" w:cstheme="majorBidi"/>
          <w:sz w:val="24"/>
          <w:szCs w:val="24"/>
        </w:rPr>
        <w:t>: Movement toward renewables, digital grids, and energy storage threatens traditional technologies.</w:t>
      </w:r>
    </w:p>
    <w:p w14:paraId="2A30E550" w14:textId="77777777" w:rsidR="00656FA3" w:rsidRPr="00656FA3" w:rsidRDefault="00656FA3" w:rsidP="00656FA3">
      <w:pPr>
        <w:numPr>
          <w:ilvl w:val="0"/>
          <w:numId w:val="47"/>
        </w:numPr>
        <w:spacing w:line="360" w:lineRule="auto"/>
        <w:rPr>
          <w:rFonts w:asciiTheme="majorBidi" w:hAnsiTheme="majorBidi" w:cstheme="majorBidi"/>
          <w:sz w:val="24"/>
          <w:szCs w:val="24"/>
        </w:rPr>
      </w:pPr>
      <w:r w:rsidRPr="00656FA3">
        <w:rPr>
          <w:rFonts w:asciiTheme="majorBidi" w:hAnsiTheme="majorBidi" w:cstheme="majorBidi"/>
          <w:b/>
          <w:bCs/>
          <w:sz w:val="24"/>
          <w:szCs w:val="24"/>
        </w:rPr>
        <w:t>Client Internalization</w:t>
      </w:r>
      <w:r w:rsidRPr="00656FA3">
        <w:rPr>
          <w:rFonts w:asciiTheme="majorBidi" w:hAnsiTheme="majorBidi" w:cstheme="majorBidi"/>
          <w:sz w:val="24"/>
          <w:szCs w:val="24"/>
        </w:rPr>
        <w:t>: Big clients may build internal capacity (engineering, manufacturing), substituting vendors.</w:t>
      </w:r>
    </w:p>
    <w:p w14:paraId="30D9FED6" w14:textId="77777777" w:rsidR="00656FA3" w:rsidRPr="00656FA3" w:rsidRDefault="00656FA3" w:rsidP="00656FA3">
      <w:pPr>
        <w:numPr>
          <w:ilvl w:val="0"/>
          <w:numId w:val="47"/>
        </w:numPr>
        <w:spacing w:line="360" w:lineRule="auto"/>
        <w:rPr>
          <w:rFonts w:asciiTheme="majorBidi" w:hAnsiTheme="majorBidi" w:cstheme="majorBidi"/>
          <w:sz w:val="24"/>
          <w:szCs w:val="24"/>
        </w:rPr>
      </w:pPr>
      <w:r w:rsidRPr="00656FA3">
        <w:rPr>
          <w:rFonts w:asciiTheme="majorBidi" w:hAnsiTheme="majorBidi" w:cstheme="majorBidi"/>
          <w:b/>
          <w:bCs/>
          <w:sz w:val="24"/>
          <w:szCs w:val="24"/>
        </w:rPr>
        <w:t>Delaying Investments</w:t>
      </w:r>
      <w:r w:rsidRPr="00656FA3">
        <w:rPr>
          <w:rFonts w:asciiTheme="majorBidi" w:hAnsiTheme="majorBidi" w:cstheme="majorBidi"/>
          <w:sz w:val="24"/>
          <w:szCs w:val="24"/>
        </w:rPr>
        <w:t>: Budget-conscious buyers may defer upgrades or extend asset life, reducing new demand.</w:t>
      </w:r>
      <w:r w:rsidRPr="00656FA3">
        <w:rPr>
          <w:rFonts w:asciiTheme="majorBidi" w:hAnsiTheme="majorBidi" w:cstheme="majorBidi"/>
          <w:sz w:val="24"/>
          <w:szCs w:val="24"/>
        </w:rPr>
        <w:br/>
        <w:t>Substitution drives innovation and portfolio diversification—firms must adapt or lose relevance.</w:t>
      </w:r>
    </w:p>
    <w:p w14:paraId="36122A3D" w14:textId="77777777" w:rsidR="00656FA3" w:rsidRPr="00656FA3" w:rsidRDefault="00656FA3" w:rsidP="00656FA3">
      <w:pPr>
        <w:spacing w:line="360" w:lineRule="auto"/>
        <w:rPr>
          <w:rFonts w:asciiTheme="majorBidi" w:hAnsiTheme="majorBidi" w:cstheme="majorBidi"/>
          <w:b/>
          <w:bCs/>
          <w:sz w:val="24"/>
          <w:szCs w:val="24"/>
        </w:rPr>
      </w:pPr>
      <w:r w:rsidRPr="00656FA3">
        <w:rPr>
          <w:rFonts w:asciiTheme="majorBidi" w:hAnsiTheme="majorBidi" w:cstheme="majorBidi"/>
          <w:b/>
          <w:bCs/>
          <w:sz w:val="24"/>
          <w:szCs w:val="24"/>
        </w:rPr>
        <w:t>5. Rivalry Among Existing Competitors: High</w:t>
      </w:r>
    </w:p>
    <w:p w14:paraId="71EB3F79" w14:textId="77777777" w:rsidR="00656FA3" w:rsidRPr="00656FA3" w:rsidRDefault="00656FA3" w:rsidP="00656FA3">
      <w:pPr>
        <w:numPr>
          <w:ilvl w:val="0"/>
          <w:numId w:val="48"/>
        </w:numPr>
        <w:spacing w:line="360" w:lineRule="auto"/>
        <w:rPr>
          <w:rFonts w:asciiTheme="majorBidi" w:hAnsiTheme="majorBidi" w:cstheme="majorBidi"/>
          <w:sz w:val="24"/>
          <w:szCs w:val="24"/>
        </w:rPr>
      </w:pPr>
      <w:r w:rsidRPr="00656FA3">
        <w:rPr>
          <w:rFonts w:asciiTheme="majorBidi" w:hAnsiTheme="majorBidi" w:cstheme="majorBidi"/>
          <w:b/>
          <w:bCs/>
          <w:sz w:val="24"/>
          <w:szCs w:val="24"/>
        </w:rPr>
        <w:t>Market Dynamics</w:t>
      </w:r>
      <w:r w:rsidRPr="00656FA3">
        <w:rPr>
          <w:rFonts w:asciiTheme="majorBidi" w:hAnsiTheme="majorBidi" w:cstheme="majorBidi"/>
          <w:sz w:val="24"/>
          <w:szCs w:val="24"/>
        </w:rPr>
        <w:t>: Global and local players compete aggressively; frequent bidding compresses margins.</w:t>
      </w:r>
    </w:p>
    <w:p w14:paraId="68EEF293" w14:textId="77777777" w:rsidR="00656FA3" w:rsidRPr="00656FA3" w:rsidRDefault="00656FA3" w:rsidP="00656FA3">
      <w:pPr>
        <w:numPr>
          <w:ilvl w:val="0"/>
          <w:numId w:val="48"/>
        </w:numPr>
        <w:spacing w:line="360" w:lineRule="auto"/>
        <w:rPr>
          <w:rFonts w:asciiTheme="majorBidi" w:hAnsiTheme="majorBidi" w:cstheme="majorBidi"/>
          <w:sz w:val="24"/>
          <w:szCs w:val="24"/>
        </w:rPr>
      </w:pPr>
      <w:r w:rsidRPr="00656FA3">
        <w:rPr>
          <w:rFonts w:asciiTheme="majorBidi" w:hAnsiTheme="majorBidi" w:cstheme="majorBidi"/>
          <w:b/>
          <w:bCs/>
          <w:sz w:val="24"/>
          <w:szCs w:val="24"/>
        </w:rPr>
        <w:t>Localization Impact</w:t>
      </w:r>
      <w:r w:rsidRPr="00656FA3">
        <w:rPr>
          <w:rFonts w:asciiTheme="majorBidi" w:hAnsiTheme="majorBidi" w:cstheme="majorBidi"/>
          <w:sz w:val="24"/>
          <w:szCs w:val="24"/>
        </w:rPr>
        <w:t>: Government policy has spawned new local competitors, raising competitive intensity.</w:t>
      </w:r>
    </w:p>
    <w:p w14:paraId="02B22A0E" w14:textId="0C292A9C" w:rsidR="00656FA3" w:rsidRPr="00656FA3" w:rsidRDefault="00656FA3" w:rsidP="00A26EE8">
      <w:pPr>
        <w:numPr>
          <w:ilvl w:val="0"/>
          <w:numId w:val="48"/>
        </w:numPr>
        <w:spacing w:line="360" w:lineRule="auto"/>
        <w:rPr>
          <w:rFonts w:asciiTheme="majorBidi" w:hAnsiTheme="majorBidi" w:cstheme="majorBidi"/>
          <w:sz w:val="24"/>
          <w:szCs w:val="24"/>
        </w:rPr>
      </w:pPr>
      <w:r w:rsidRPr="00656FA3">
        <w:rPr>
          <w:rFonts w:asciiTheme="majorBidi" w:hAnsiTheme="majorBidi" w:cstheme="majorBidi"/>
          <w:b/>
          <w:bCs/>
          <w:sz w:val="24"/>
          <w:szCs w:val="24"/>
        </w:rPr>
        <w:t>Consortia &amp; Coopetition</w:t>
      </w:r>
      <w:r w:rsidRPr="00656FA3">
        <w:rPr>
          <w:rFonts w:asciiTheme="majorBidi" w:hAnsiTheme="majorBidi" w:cstheme="majorBidi"/>
          <w:sz w:val="24"/>
          <w:szCs w:val="24"/>
        </w:rPr>
        <w:t>: Sometimes firms collaborate to share risks and win projects, balancing rivalry.</w:t>
      </w:r>
      <w:r w:rsidRPr="00656FA3">
        <w:rPr>
          <w:rFonts w:asciiTheme="majorBidi" w:hAnsiTheme="majorBidi" w:cstheme="majorBidi"/>
          <w:sz w:val="24"/>
          <w:szCs w:val="24"/>
        </w:rPr>
        <w:br/>
        <w:t>Price often outweighs differentiation, though innovation and partnerships help firms stay competitive.</w:t>
      </w:r>
    </w:p>
    <w:p w14:paraId="1FA6B0DE" w14:textId="5E3ED892" w:rsidR="00656FA3" w:rsidRPr="00656FA3" w:rsidRDefault="00216960" w:rsidP="004E7018">
      <w:pPr>
        <w:spacing w:line="360" w:lineRule="auto"/>
        <w:rPr>
          <w:rFonts w:asciiTheme="majorBidi" w:hAnsiTheme="majorBidi" w:cstheme="majorBidi"/>
          <w:sz w:val="24"/>
          <w:szCs w:val="24"/>
        </w:rPr>
      </w:pPr>
      <w:r w:rsidRPr="004E7018">
        <w:rPr>
          <w:rFonts w:asciiTheme="majorBidi" w:hAnsiTheme="majorBidi" w:cstheme="majorBidi"/>
          <w:sz w:val="24"/>
          <w:szCs w:val="24"/>
        </w:rPr>
        <w:t xml:space="preserve">In conclusion, </w:t>
      </w:r>
      <w:r w:rsidR="004E7018" w:rsidRPr="004E7018">
        <w:rPr>
          <w:rFonts w:asciiTheme="majorBidi" w:hAnsiTheme="majorBidi" w:cstheme="majorBidi"/>
          <w:sz w:val="24"/>
          <w:szCs w:val="24"/>
        </w:rPr>
        <w:t xml:space="preserve">Porter’s five forces indicate that </w:t>
      </w:r>
      <w:r w:rsidRPr="004E7018">
        <w:rPr>
          <w:rFonts w:asciiTheme="majorBidi" w:hAnsiTheme="majorBidi" w:cstheme="majorBidi"/>
          <w:sz w:val="24"/>
          <w:szCs w:val="24"/>
        </w:rPr>
        <w:t>t</w:t>
      </w:r>
      <w:r w:rsidR="00656FA3" w:rsidRPr="00656FA3">
        <w:rPr>
          <w:rFonts w:asciiTheme="majorBidi" w:hAnsiTheme="majorBidi" w:cstheme="majorBidi"/>
          <w:sz w:val="24"/>
          <w:szCs w:val="24"/>
        </w:rPr>
        <w:t>he Saudi energy sector presents rich opportunities but also intense challenges. High buyer power and fierce competition require companies to adopt strategies centered on localization, innovation, and partnerships. These strategies not only enhance competitiveness but also serve as practical responses to the industry forces shaping the market.</w:t>
      </w:r>
    </w:p>
    <w:p w14:paraId="4089CD53" w14:textId="77777777" w:rsidR="000D678A" w:rsidRPr="00F85BB8" w:rsidRDefault="000D678A" w:rsidP="000D678A">
      <w:pPr>
        <w:spacing w:line="360" w:lineRule="auto"/>
        <w:rPr>
          <w:rFonts w:asciiTheme="majorBidi" w:hAnsiTheme="majorBidi" w:cstheme="majorBidi"/>
          <w:sz w:val="24"/>
          <w:szCs w:val="24"/>
        </w:rPr>
      </w:pPr>
    </w:p>
    <w:p w14:paraId="6BD4375D" w14:textId="05A4EDEB" w:rsidR="00A26EE8" w:rsidRDefault="00A70905" w:rsidP="00D63358">
      <w:pPr>
        <w:spacing w:line="360" w:lineRule="auto"/>
        <w:rPr>
          <w:rFonts w:asciiTheme="majorBidi" w:hAnsiTheme="majorBidi" w:cstheme="majorBidi"/>
          <w:sz w:val="24"/>
          <w:szCs w:val="24"/>
        </w:rPr>
      </w:pPr>
      <w:proofErr w:type="spellStart"/>
      <w:r w:rsidRPr="00A70905">
        <w:rPr>
          <w:rFonts w:asciiTheme="majorBidi" w:hAnsiTheme="majorBidi" w:cstheme="majorBidi"/>
          <w:sz w:val="24"/>
          <w:szCs w:val="24"/>
        </w:rPr>
        <w:t>All together</w:t>
      </w:r>
      <w:proofErr w:type="spellEnd"/>
      <w:r w:rsidRPr="00A70905">
        <w:rPr>
          <w:rFonts w:asciiTheme="majorBidi" w:hAnsiTheme="majorBidi" w:cstheme="majorBidi"/>
          <w:sz w:val="24"/>
          <w:szCs w:val="24"/>
        </w:rPr>
        <w:t>, the results and analysis sections have answered the research questions: effective market entry involves partnership and adaptation; strategic partnerships strongly contribute to success; innovation (especially open collaboration) is crucial; and external analyses (SWOT, PESTLE, Five Forces) explain why those strategies are needed and how companies can find competitive advantage in the Saudi energy sector’s particular context.</w:t>
      </w:r>
    </w:p>
    <w:p w14:paraId="1D46E7D1" w14:textId="77777777" w:rsidR="00D63358" w:rsidRDefault="00D63358" w:rsidP="00D63358">
      <w:pPr>
        <w:spacing w:line="360" w:lineRule="auto"/>
        <w:rPr>
          <w:rFonts w:asciiTheme="majorBidi" w:hAnsiTheme="majorBidi" w:cstheme="majorBidi"/>
          <w:sz w:val="24"/>
          <w:szCs w:val="24"/>
        </w:rPr>
      </w:pPr>
    </w:p>
    <w:p w14:paraId="328F9FC3" w14:textId="77777777" w:rsidR="00D63358" w:rsidRDefault="00D63358" w:rsidP="00D63358">
      <w:pPr>
        <w:spacing w:line="360" w:lineRule="auto"/>
        <w:rPr>
          <w:rFonts w:asciiTheme="majorBidi" w:hAnsiTheme="majorBidi" w:cstheme="majorBidi"/>
          <w:sz w:val="24"/>
          <w:szCs w:val="24"/>
        </w:rPr>
      </w:pPr>
    </w:p>
    <w:p w14:paraId="11EC60C9" w14:textId="77777777" w:rsidR="00D63358" w:rsidRDefault="00D63358" w:rsidP="00D63358">
      <w:pPr>
        <w:spacing w:line="360" w:lineRule="auto"/>
        <w:rPr>
          <w:rFonts w:asciiTheme="majorBidi" w:hAnsiTheme="majorBidi" w:cstheme="majorBidi"/>
          <w:sz w:val="24"/>
          <w:szCs w:val="24"/>
        </w:rPr>
      </w:pPr>
    </w:p>
    <w:p w14:paraId="0C3A2DD4" w14:textId="77777777" w:rsidR="00D63358" w:rsidRDefault="00D63358" w:rsidP="00D63358">
      <w:pPr>
        <w:spacing w:line="360" w:lineRule="auto"/>
        <w:rPr>
          <w:rFonts w:asciiTheme="majorBidi" w:hAnsiTheme="majorBidi" w:cstheme="majorBidi"/>
          <w:sz w:val="24"/>
          <w:szCs w:val="24"/>
        </w:rPr>
      </w:pPr>
    </w:p>
    <w:p w14:paraId="326B328D" w14:textId="77777777" w:rsidR="00D63358" w:rsidRDefault="00D63358" w:rsidP="00D63358">
      <w:pPr>
        <w:spacing w:line="360" w:lineRule="auto"/>
        <w:rPr>
          <w:rFonts w:asciiTheme="majorBidi" w:hAnsiTheme="majorBidi" w:cstheme="majorBidi"/>
          <w:sz w:val="24"/>
          <w:szCs w:val="24"/>
        </w:rPr>
      </w:pPr>
    </w:p>
    <w:p w14:paraId="09E5E6AD" w14:textId="77777777" w:rsidR="00D63358" w:rsidRDefault="00D63358" w:rsidP="00D63358">
      <w:pPr>
        <w:spacing w:line="360" w:lineRule="auto"/>
        <w:rPr>
          <w:rFonts w:asciiTheme="majorBidi" w:hAnsiTheme="majorBidi" w:cstheme="majorBidi"/>
          <w:sz w:val="24"/>
          <w:szCs w:val="24"/>
        </w:rPr>
      </w:pPr>
    </w:p>
    <w:p w14:paraId="50F9D7C0" w14:textId="77777777" w:rsidR="00D63358" w:rsidRDefault="00D63358" w:rsidP="00D63358">
      <w:pPr>
        <w:spacing w:line="360" w:lineRule="auto"/>
        <w:rPr>
          <w:rFonts w:asciiTheme="majorBidi" w:hAnsiTheme="majorBidi" w:cstheme="majorBidi"/>
          <w:sz w:val="24"/>
          <w:szCs w:val="24"/>
        </w:rPr>
      </w:pPr>
    </w:p>
    <w:p w14:paraId="12A79FBD" w14:textId="77777777" w:rsidR="00D747CA" w:rsidRDefault="00D747CA" w:rsidP="00D63358">
      <w:pPr>
        <w:spacing w:line="360" w:lineRule="auto"/>
        <w:rPr>
          <w:rFonts w:asciiTheme="majorBidi" w:hAnsiTheme="majorBidi" w:cstheme="majorBidi"/>
          <w:sz w:val="24"/>
          <w:szCs w:val="24"/>
        </w:rPr>
      </w:pPr>
    </w:p>
    <w:p w14:paraId="162F9D26" w14:textId="77777777" w:rsidR="00D747CA" w:rsidRDefault="00D747CA" w:rsidP="00D63358">
      <w:pPr>
        <w:spacing w:line="360" w:lineRule="auto"/>
        <w:rPr>
          <w:rFonts w:asciiTheme="majorBidi" w:hAnsiTheme="majorBidi" w:cstheme="majorBidi"/>
          <w:sz w:val="24"/>
          <w:szCs w:val="24"/>
        </w:rPr>
      </w:pPr>
    </w:p>
    <w:p w14:paraId="638DB51E" w14:textId="77777777" w:rsidR="00D747CA" w:rsidRDefault="00D747CA" w:rsidP="00D63358">
      <w:pPr>
        <w:spacing w:line="360" w:lineRule="auto"/>
        <w:rPr>
          <w:rFonts w:asciiTheme="majorBidi" w:hAnsiTheme="majorBidi" w:cstheme="majorBidi"/>
          <w:sz w:val="24"/>
          <w:szCs w:val="24"/>
        </w:rPr>
      </w:pPr>
    </w:p>
    <w:p w14:paraId="58393005" w14:textId="77777777" w:rsidR="00D747CA" w:rsidRDefault="00D747CA" w:rsidP="00D63358">
      <w:pPr>
        <w:spacing w:line="360" w:lineRule="auto"/>
        <w:rPr>
          <w:rFonts w:asciiTheme="majorBidi" w:hAnsiTheme="majorBidi" w:cstheme="majorBidi"/>
          <w:sz w:val="24"/>
          <w:szCs w:val="24"/>
        </w:rPr>
      </w:pPr>
    </w:p>
    <w:p w14:paraId="4298F2E4" w14:textId="77777777" w:rsidR="00D747CA" w:rsidRDefault="00D747CA" w:rsidP="00D63358">
      <w:pPr>
        <w:spacing w:line="360" w:lineRule="auto"/>
        <w:rPr>
          <w:rFonts w:asciiTheme="majorBidi" w:hAnsiTheme="majorBidi" w:cstheme="majorBidi"/>
          <w:sz w:val="24"/>
          <w:szCs w:val="24"/>
        </w:rPr>
      </w:pPr>
    </w:p>
    <w:p w14:paraId="38B5663E" w14:textId="77777777" w:rsidR="00D747CA" w:rsidRDefault="00D747CA" w:rsidP="00D63358">
      <w:pPr>
        <w:spacing w:line="360" w:lineRule="auto"/>
        <w:rPr>
          <w:rFonts w:asciiTheme="majorBidi" w:hAnsiTheme="majorBidi" w:cstheme="majorBidi"/>
          <w:sz w:val="24"/>
          <w:szCs w:val="24"/>
        </w:rPr>
      </w:pPr>
    </w:p>
    <w:p w14:paraId="467E4AD6" w14:textId="77777777" w:rsidR="00D747CA" w:rsidRDefault="00D747CA" w:rsidP="00D63358">
      <w:pPr>
        <w:spacing w:line="360" w:lineRule="auto"/>
        <w:rPr>
          <w:rFonts w:asciiTheme="majorBidi" w:hAnsiTheme="majorBidi" w:cstheme="majorBidi"/>
          <w:sz w:val="24"/>
          <w:szCs w:val="24"/>
        </w:rPr>
      </w:pPr>
    </w:p>
    <w:p w14:paraId="72FAE976" w14:textId="77777777" w:rsidR="00D747CA" w:rsidRDefault="00D747CA" w:rsidP="00D63358">
      <w:pPr>
        <w:spacing w:line="360" w:lineRule="auto"/>
        <w:rPr>
          <w:rFonts w:asciiTheme="majorBidi" w:hAnsiTheme="majorBidi" w:cstheme="majorBidi"/>
          <w:sz w:val="24"/>
          <w:szCs w:val="24"/>
        </w:rPr>
      </w:pPr>
    </w:p>
    <w:p w14:paraId="5AFC38E9" w14:textId="77777777" w:rsidR="00D747CA" w:rsidRDefault="00D747CA" w:rsidP="00D63358">
      <w:pPr>
        <w:spacing w:line="360" w:lineRule="auto"/>
        <w:rPr>
          <w:rFonts w:asciiTheme="majorBidi" w:hAnsiTheme="majorBidi" w:cstheme="majorBidi"/>
          <w:sz w:val="24"/>
          <w:szCs w:val="24"/>
        </w:rPr>
      </w:pPr>
    </w:p>
    <w:p w14:paraId="032A8D9B" w14:textId="77777777" w:rsidR="00D747CA" w:rsidRPr="00A70905" w:rsidRDefault="00D747CA" w:rsidP="00D63358">
      <w:pPr>
        <w:spacing w:line="360" w:lineRule="auto"/>
        <w:rPr>
          <w:rFonts w:asciiTheme="majorBidi" w:hAnsiTheme="majorBidi" w:cstheme="majorBidi"/>
          <w:sz w:val="24"/>
          <w:szCs w:val="24"/>
        </w:rPr>
      </w:pPr>
    </w:p>
    <w:p w14:paraId="2F5E7773" w14:textId="77777777" w:rsidR="00C22C8B" w:rsidRPr="00C22C8B" w:rsidRDefault="00C22C8B" w:rsidP="00C22C8B">
      <w:pPr>
        <w:spacing w:line="360" w:lineRule="auto"/>
        <w:rPr>
          <w:rFonts w:asciiTheme="majorBidi" w:hAnsiTheme="majorBidi" w:cstheme="majorBidi"/>
          <w:b/>
          <w:bCs/>
          <w:sz w:val="24"/>
          <w:szCs w:val="24"/>
        </w:rPr>
      </w:pPr>
      <w:r w:rsidRPr="00C22C8B">
        <w:rPr>
          <w:rFonts w:asciiTheme="majorBidi" w:hAnsiTheme="majorBidi" w:cstheme="majorBidi"/>
          <w:b/>
          <w:bCs/>
          <w:sz w:val="24"/>
          <w:szCs w:val="24"/>
        </w:rPr>
        <w:lastRenderedPageBreak/>
        <w:t>Chapter 6: Conclusions</w:t>
      </w:r>
    </w:p>
    <w:p w14:paraId="23FDA393" w14:textId="671CFA06" w:rsidR="0011017B" w:rsidRPr="0011017B" w:rsidRDefault="00C22C8B" w:rsidP="0011017B">
      <w:pPr>
        <w:spacing w:line="360" w:lineRule="auto"/>
        <w:rPr>
          <w:rFonts w:asciiTheme="majorBidi" w:hAnsiTheme="majorBidi" w:cstheme="majorBidi"/>
        </w:rPr>
      </w:pPr>
      <w:r w:rsidRPr="00C22C8B">
        <w:rPr>
          <w:rFonts w:asciiTheme="majorBidi" w:hAnsiTheme="majorBidi" w:cstheme="majorBidi"/>
          <w:sz w:val="24"/>
          <w:szCs w:val="24"/>
        </w:rPr>
        <w:t xml:space="preserve">In summary, </w:t>
      </w:r>
      <w:r w:rsidR="0011017B">
        <w:rPr>
          <w:rFonts w:asciiTheme="majorBidi" w:hAnsiTheme="majorBidi" w:cstheme="majorBidi"/>
          <w:sz w:val="24"/>
          <w:szCs w:val="24"/>
        </w:rPr>
        <w:t>t</w:t>
      </w:r>
      <w:r w:rsidR="0011017B" w:rsidRPr="0011017B">
        <w:rPr>
          <w:rFonts w:asciiTheme="majorBidi" w:hAnsiTheme="majorBidi" w:cstheme="majorBidi"/>
          <w:sz w:val="24"/>
          <w:szCs w:val="24"/>
        </w:rPr>
        <w:t>he Saudi energy sector is experiencing significant transformation, driven by strategic business development, policy reform, and Vision 2030 initiatives. The most effective market entry strategies are those that align with national priorities and regulations. Foreign companies that partnered with local firms or formed joint ventures navigated the market more successfully by leveraging local knowledge and minimizing risks related to regulation and competition. These collaborations are strongly encouraged by the government, which sees partnerships as essential to economic diversification and private sector growth.</w:t>
      </w:r>
    </w:p>
    <w:p w14:paraId="54790EF3" w14:textId="77777777" w:rsidR="0011017B" w:rsidRPr="0011017B" w:rsidRDefault="0011017B" w:rsidP="0011017B">
      <w:pPr>
        <w:spacing w:line="360" w:lineRule="auto"/>
        <w:rPr>
          <w:rFonts w:asciiTheme="majorBidi" w:hAnsiTheme="majorBidi" w:cstheme="majorBidi"/>
          <w:sz w:val="24"/>
          <w:szCs w:val="24"/>
        </w:rPr>
      </w:pPr>
      <w:r w:rsidRPr="0011017B">
        <w:rPr>
          <w:rFonts w:asciiTheme="majorBidi" w:hAnsiTheme="majorBidi" w:cstheme="majorBidi"/>
          <w:sz w:val="24"/>
          <w:szCs w:val="24"/>
        </w:rPr>
        <w:t>Strategic partnerships emerged as a central theme. Public-private alliances, as well as collaborations between Saudi and international firms, accelerated access to capital, technology, and projects. Notable examples include PIF’s partnerships with SoftBank and ACWA Power. These partnerships offer mutual advantages: local companies gain global expertise and financing, while foreign players benefit from market access and regulatory support. When partnerships are built around shared goals like tech transfer or infrastructure investment, they drive business growth and innovation.</w:t>
      </w:r>
    </w:p>
    <w:p w14:paraId="433F643B" w14:textId="77777777" w:rsidR="0011017B" w:rsidRPr="0011017B" w:rsidRDefault="0011017B" w:rsidP="0011017B">
      <w:pPr>
        <w:spacing w:line="360" w:lineRule="auto"/>
        <w:rPr>
          <w:rFonts w:asciiTheme="majorBidi" w:hAnsiTheme="majorBidi" w:cstheme="majorBidi"/>
          <w:sz w:val="24"/>
          <w:szCs w:val="24"/>
        </w:rPr>
      </w:pPr>
      <w:r w:rsidRPr="0011017B">
        <w:rPr>
          <w:rFonts w:asciiTheme="majorBidi" w:hAnsiTheme="majorBidi" w:cstheme="majorBidi"/>
          <w:sz w:val="24"/>
          <w:szCs w:val="24"/>
        </w:rPr>
        <w:t>Innovation is also a critical pillar. Firms that embraced R&amp;D, digital technologies (like smart grids and AI), and new business models gained a competitive edge. Saudi Arabia is boosting national innovation efforts, aiming to raise R&amp;D spending from 0.5% to 2.5% of GDP by 2040. This commitment is supported by initiatives such as the Research, Development, and Innovation Authority, creating an ecosystem that supports experimentation and collaboration between firms, academia, and global experts.</w:t>
      </w:r>
    </w:p>
    <w:p w14:paraId="71F5111C" w14:textId="30F67F2D" w:rsidR="0011017B" w:rsidRPr="0011017B" w:rsidRDefault="0011017B" w:rsidP="0011017B">
      <w:pPr>
        <w:spacing w:line="360" w:lineRule="auto"/>
        <w:rPr>
          <w:rFonts w:asciiTheme="majorBidi" w:hAnsiTheme="majorBidi" w:cstheme="majorBidi"/>
          <w:sz w:val="24"/>
          <w:szCs w:val="24"/>
        </w:rPr>
      </w:pPr>
      <w:r w:rsidRPr="0011017B">
        <w:rPr>
          <w:rFonts w:asciiTheme="majorBidi" w:hAnsiTheme="majorBidi" w:cstheme="majorBidi"/>
          <w:sz w:val="24"/>
          <w:szCs w:val="24"/>
        </w:rPr>
        <w:t>The study concludes that market entry, partnerships, and innovation are interconnected drivers of success. Aligning with Vision 2030’s focus on localization and renewable energy, forming collaborative ventures, and investing in innovation are best practices. Challenges remain</w:t>
      </w:r>
      <w:r w:rsidR="00D63358">
        <w:rPr>
          <w:rFonts w:asciiTheme="majorBidi" w:hAnsiTheme="majorBidi" w:cstheme="majorBidi"/>
          <w:sz w:val="24"/>
          <w:szCs w:val="24"/>
        </w:rPr>
        <w:t xml:space="preserve"> </w:t>
      </w:r>
      <w:r w:rsidRPr="0011017B">
        <w:rPr>
          <w:rFonts w:asciiTheme="majorBidi" w:hAnsiTheme="majorBidi" w:cstheme="majorBidi"/>
          <w:sz w:val="24"/>
          <w:szCs w:val="24"/>
        </w:rPr>
        <w:t>including bureaucracy, talent shortages, and oil market volatility</w:t>
      </w:r>
      <w:r w:rsidR="00D63358">
        <w:rPr>
          <w:rFonts w:asciiTheme="majorBidi" w:hAnsiTheme="majorBidi" w:cstheme="majorBidi"/>
          <w:sz w:val="24"/>
          <w:szCs w:val="24"/>
        </w:rPr>
        <w:t xml:space="preserve"> </w:t>
      </w:r>
      <w:r w:rsidRPr="0011017B">
        <w:rPr>
          <w:rFonts w:asciiTheme="majorBidi" w:hAnsiTheme="majorBidi" w:cstheme="majorBidi"/>
          <w:sz w:val="24"/>
          <w:szCs w:val="24"/>
        </w:rPr>
        <w:t>but companies that respond flexibly and build local capacity demonstrate resilience.</w:t>
      </w:r>
    </w:p>
    <w:p w14:paraId="2CDDA568" w14:textId="0F9C0C8E" w:rsidR="00D63358" w:rsidRDefault="0011017B" w:rsidP="00D63358">
      <w:pPr>
        <w:spacing w:line="360" w:lineRule="auto"/>
        <w:rPr>
          <w:rFonts w:asciiTheme="majorBidi" w:hAnsiTheme="majorBidi" w:cstheme="majorBidi"/>
          <w:sz w:val="24"/>
          <w:szCs w:val="24"/>
        </w:rPr>
      </w:pPr>
      <w:r w:rsidRPr="0011017B">
        <w:rPr>
          <w:rFonts w:asciiTheme="majorBidi" w:hAnsiTheme="majorBidi" w:cstheme="majorBidi"/>
          <w:sz w:val="24"/>
          <w:szCs w:val="24"/>
        </w:rPr>
        <w:t xml:space="preserve">In sum, sustainable growth in the Saudi energy sector requires a synergistic strategy: enter through partnerships, expand through collaboration, and compete through </w:t>
      </w:r>
      <w:r w:rsidRPr="0011017B">
        <w:rPr>
          <w:rFonts w:asciiTheme="majorBidi" w:hAnsiTheme="majorBidi" w:cstheme="majorBidi"/>
          <w:sz w:val="24"/>
          <w:szCs w:val="24"/>
        </w:rPr>
        <w:lastRenderedPageBreak/>
        <w:t>innovation. This integrated approach supports both short-term success and long-term contributions to Saudi Arabia’s evolving energy future.</w:t>
      </w:r>
    </w:p>
    <w:p w14:paraId="7ABD69BF" w14:textId="77777777" w:rsidR="00D63358" w:rsidRDefault="00D63358" w:rsidP="00D63358">
      <w:pPr>
        <w:spacing w:line="360" w:lineRule="auto"/>
        <w:rPr>
          <w:rFonts w:asciiTheme="majorBidi" w:hAnsiTheme="majorBidi" w:cstheme="majorBidi"/>
          <w:sz w:val="24"/>
          <w:szCs w:val="24"/>
        </w:rPr>
      </w:pPr>
    </w:p>
    <w:p w14:paraId="19C0AD83" w14:textId="77777777" w:rsidR="00D63358" w:rsidRDefault="00D63358" w:rsidP="00D63358">
      <w:pPr>
        <w:spacing w:line="360" w:lineRule="auto"/>
        <w:rPr>
          <w:rFonts w:asciiTheme="majorBidi" w:hAnsiTheme="majorBidi" w:cstheme="majorBidi"/>
          <w:sz w:val="24"/>
          <w:szCs w:val="24"/>
        </w:rPr>
      </w:pPr>
    </w:p>
    <w:p w14:paraId="4CA99CA4" w14:textId="77777777" w:rsidR="00D63358" w:rsidRDefault="00D63358" w:rsidP="00D63358">
      <w:pPr>
        <w:spacing w:line="360" w:lineRule="auto"/>
        <w:rPr>
          <w:rFonts w:asciiTheme="majorBidi" w:hAnsiTheme="majorBidi" w:cstheme="majorBidi"/>
          <w:sz w:val="24"/>
          <w:szCs w:val="24"/>
        </w:rPr>
      </w:pPr>
    </w:p>
    <w:p w14:paraId="54EA1C25" w14:textId="77777777" w:rsidR="00D63358" w:rsidRDefault="00D63358" w:rsidP="00D63358">
      <w:pPr>
        <w:spacing w:line="360" w:lineRule="auto"/>
        <w:rPr>
          <w:rFonts w:asciiTheme="majorBidi" w:hAnsiTheme="majorBidi" w:cstheme="majorBidi"/>
          <w:sz w:val="24"/>
          <w:szCs w:val="24"/>
        </w:rPr>
      </w:pPr>
    </w:p>
    <w:p w14:paraId="1188511C" w14:textId="77777777" w:rsidR="00D63358" w:rsidRDefault="00D63358" w:rsidP="00D63358">
      <w:pPr>
        <w:spacing w:line="360" w:lineRule="auto"/>
        <w:rPr>
          <w:rFonts w:asciiTheme="majorBidi" w:hAnsiTheme="majorBidi" w:cstheme="majorBidi"/>
          <w:sz w:val="24"/>
          <w:szCs w:val="24"/>
        </w:rPr>
      </w:pPr>
    </w:p>
    <w:p w14:paraId="48524507" w14:textId="77777777" w:rsidR="00D63358" w:rsidRDefault="00D63358" w:rsidP="00D63358">
      <w:pPr>
        <w:spacing w:line="360" w:lineRule="auto"/>
        <w:rPr>
          <w:rFonts w:asciiTheme="majorBidi" w:hAnsiTheme="majorBidi" w:cstheme="majorBidi"/>
          <w:sz w:val="24"/>
          <w:szCs w:val="24"/>
        </w:rPr>
      </w:pPr>
    </w:p>
    <w:p w14:paraId="02C09AA7" w14:textId="77777777" w:rsidR="00D63358" w:rsidRDefault="00D63358" w:rsidP="00D63358">
      <w:pPr>
        <w:spacing w:line="360" w:lineRule="auto"/>
        <w:rPr>
          <w:rFonts w:asciiTheme="majorBidi" w:hAnsiTheme="majorBidi" w:cstheme="majorBidi"/>
          <w:sz w:val="24"/>
          <w:szCs w:val="24"/>
        </w:rPr>
      </w:pPr>
    </w:p>
    <w:p w14:paraId="52A4153C" w14:textId="77777777" w:rsidR="00D63358" w:rsidRDefault="00D63358" w:rsidP="00D63358">
      <w:pPr>
        <w:spacing w:line="360" w:lineRule="auto"/>
        <w:rPr>
          <w:rFonts w:asciiTheme="majorBidi" w:hAnsiTheme="majorBidi" w:cstheme="majorBidi"/>
          <w:sz w:val="24"/>
          <w:szCs w:val="24"/>
        </w:rPr>
      </w:pPr>
    </w:p>
    <w:p w14:paraId="636D5EB3" w14:textId="77777777" w:rsidR="00D63358" w:rsidRDefault="00D63358" w:rsidP="00D63358">
      <w:pPr>
        <w:spacing w:line="360" w:lineRule="auto"/>
        <w:rPr>
          <w:rFonts w:asciiTheme="majorBidi" w:hAnsiTheme="majorBidi" w:cstheme="majorBidi"/>
          <w:sz w:val="24"/>
          <w:szCs w:val="24"/>
        </w:rPr>
      </w:pPr>
    </w:p>
    <w:p w14:paraId="52946492" w14:textId="77777777" w:rsidR="00D63358" w:rsidRDefault="00D63358" w:rsidP="00D63358">
      <w:pPr>
        <w:spacing w:line="360" w:lineRule="auto"/>
        <w:rPr>
          <w:rFonts w:asciiTheme="majorBidi" w:hAnsiTheme="majorBidi" w:cstheme="majorBidi"/>
          <w:sz w:val="24"/>
          <w:szCs w:val="24"/>
        </w:rPr>
      </w:pPr>
    </w:p>
    <w:p w14:paraId="20CF879E" w14:textId="77777777" w:rsidR="00D63358" w:rsidRDefault="00D63358" w:rsidP="00D63358">
      <w:pPr>
        <w:spacing w:line="360" w:lineRule="auto"/>
        <w:rPr>
          <w:rFonts w:asciiTheme="majorBidi" w:hAnsiTheme="majorBidi" w:cstheme="majorBidi"/>
          <w:sz w:val="24"/>
          <w:szCs w:val="24"/>
        </w:rPr>
      </w:pPr>
    </w:p>
    <w:p w14:paraId="1188F34F" w14:textId="77777777" w:rsidR="00D63358" w:rsidRDefault="00D63358" w:rsidP="00D63358">
      <w:pPr>
        <w:spacing w:line="360" w:lineRule="auto"/>
        <w:rPr>
          <w:rFonts w:asciiTheme="majorBidi" w:hAnsiTheme="majorBidi" w:cstheme="majorBidi"/>
          <w:sz w:val="24"/>
          <w:szCs w:val="24"/>
        </w:rPr>
      </w:pPr>
    </w:p>
    <w:p w14:paraId="42EC0E17" w14:textId="77777777" w:rsidR="00D63358" w:rsidRDefault="00D63358" w:rsidP="00D63358">
      <w:pPr>
        <w:spacing w:line="360" w:lineRule="auto"/>
        <w:rPr>
          <w:rFonts w:asciiTheme="majorBidi" w:hAnsiTheme="majorBidi" w:cstheme="majorBidi"/>
          <w:sz w:val="24"/>
          <w:szCs w:val="24"/>
        </w:rPr>
      </w:pPr>
    </w:p>
    <w:p w14:paraId="1FEC1EB7" w14:textId="77777777" w:rsidR="00D63358" w:rsidRDefault="00D63358" w:rsidP="00D63358">
      <w:pPr>
        <w:spacing w:line="360" w:lineRule="auto"/>
        <w:rPr>
          <w:rFonts w:asciiTheme="majorBidi" w:hAnsiTheme="majorBidi" w:cstheme="majorBidi"/>
          <w:sz w:val="24"/>
          <w:szCs w:val="24"/>
        </w:rPr>
      </w:pPr>
    </w:p>
    <w:p w14:paraId="36382804" w14:textId="77777777" w:rsidR="00D63358" w:rsidRDefault="00D63358" w:rsidP="00D63358">
      <w:pPr>
        <w:spacing w:line="360" w:lineRule="auto"/>
        <w:rPr>
          <w:rFonts w:asciiTheme="majorBidi" w:hAnsiTheme="majorBidi" w:cstheme="majorBidi"/>
          <w:sz w:val="24"/>
          <w:szCs w:val="24"/>
        </w:rPr>
      </w:pPr>
    </w:p>
    <w:p w14:paraId="4C2B0F3F" w14:textId="77777777" w:rsidR="00D63358" w:rsidRDefault="00D63358" w:rsidP="00D63358">
      <w:pPr>
        <w:spacing w:line="360" w:lineRule="auto"/>
        <w:rPr>
          <w:rFonts w:asciiTheme="majorBidi" w:hAnsiTheme="majorBidi" w:cstheme="majorBidi"/>
          <w:sz w:val="24"/>
          <w:szCs w:val="24"/>
        </w:rPr>
      </w:pPr>
    </w:p>
    <w:p w14:paraId="0C52C0E6" w14:textId="77777777" w:rsidR="00D63358" w:rsidRDefault="00D63358" w:rsidP="00D63358">
      <w:pPr>
        <w:spacing w:line="360" w:lineRule="auto"/>
        <w:rPr>
          <w:rFonts w:asciiTheme="majorBidi" w:hAnsiTheme="majorBidi" w:cstheme="majorBidi"/>
          <w:sz w:val="24"/>
          <w:szCs w:val="24"/>
        </w:rPr>
      </w:pPr>
    </w:p>
    <w:p w14:paraId="7FE9A7F9" w14:textId="77777777" w:rsidR="00D63358" w:rsidRDefault="00D63358" w:rsidP="00D63358">
      <w:pPr>
        <w:spacing w:line="360" w:lineRule="auto"/>
        <w:rPr>
          <w:rFonts w:asciiTheme="majorBidi" w:hAnsiTheme="majorBidi" w:cstheme="majorBidi"/>
          <w:sz w:val="24"/>
          <w:szCs w:val="24"/>
        </w:rPr>
      </w:pPr>
    </w:p>
    <w:p w14:paraId="79FB6BEF" w14:textId="77777777" w:rsidR="00D63358" w:rsidRDefault="00D63358" w:rsidP="00D63358">
      <w:pPr>
        <w:spacing w:line="360" w:lineRule="auto"/>
        <w:rPr>
          <w:rFonts w:asciiTheme="majorBidi" w:hAnsiTheme="majorBidi" w:cstheme="majorBidi"/>
          <w:sz w:val="24"/>
          <w:szCs w:val="24"/>
        </w:rPr>
      </w:pPr>
    </w:p>
    <w:p w14:paraId="73D6F2A1" w14:textId="77777777" w:rsidR="00D63358" w:rsidRDefault="00D63358" w:rsidP="00D63358">
      <w:pPr>
        <w:spacing w:line="360" w:lineRule="auto"/>
        <w:rPr>
          <w:rFonts w:asciiTheme="majorBidi" w:hAnsiTheme="majorBidi" w:cstheme="majorBidi"/>
          <w:sz w:val="24"/>
          <w:szCs w:val="24"/>
        </w:rPr>
      </w:pPr>
    </w:p>
    <w:p w14:paraId="2C39A0FA" w14:textId="77777777" w:rsidR="00D63358" w:rsidRPr="00D63358" w:rsidRDefault="00D63358" w:rsidP="00D63358">
      <w:pPr>
        <w:spacing w:line="360" w:lineRule="auto"/>
        <w:rPr>
          <w:rFonts w:asciiTheme="majorBidi" w:hAnsiTheme="majorBidi" w:cstheme="majorBidi"/>
          <w:sz w:val="24"/>
          <w:szCs w:val="24"/>
        </w:rPr>
      </w:pPr>
    </w:p>
    <w:p w14:paraId="4E1F45CC"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lastRenderedPageBreak/>
        <w:t>Chapter 7: Summary of Key Recommendations to Companies</w:t>
      </w:r>
    </w:p>
    <w:p w14:paraId="51F5B7DB" w14:textId="37A20E42"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To drive business development and achieve long-term growth in the Saudi energy sector, companies</w:t>
      </w:r>
      <w:r>
        <w:rPr>
          <w:rFonts w:asciiTheme="majorBidi" w:hAnsiTheme="majorBidi" w:cstheme="majorBidi"/>
          <w:sz w:val="24"/>
          <w:szCs w:val="24"/>
        </w:rPr>
        <w:t xml:space="preserve"> </w:t>
      </w:r>
      <w:r w:rsidRPr="00D63358">
        <w:rPr>
          <w:rFonts w:asciiTheme="majorBidi" w:hAnsiTheme="majorBidi" w:cstheme="majorBidi"/>
          <w:sz w:val="24"/>
          <w:szCs w:val="24"/>
        </w:rPr>
        <w:t>both local and international</w:t>
      </w:r>
      <w:r>
        <w:rPr>
          <w:rFonts w:asciiTheme="majorBidi" w:hAnsiTheme="majorBidi" w:cstheme="majorBidi"/>
          <w:sz w:val="24"/>
          <w:szCs w:val="24"/>
        </w:rPr>
        <w:t xml:space="preserve"> </w:t>
      </w:r>
      <w:r w:rsidRPr="00D63358">
        <w:rPr>
          <w:rFonts w:asciiTheme="majorBidi" w:hAnsiTheme="majorBidi" w:cstheme="majorBidi"/>
          <w:sz w:val="24"/>
          <w:szCs w:val="24"/>
        </w:rPr>
        <w:t>should consider the following strategic actions:</w:t>
      </w:r>
    </w:p>
    <w:p w14:paraId="5A9B2E1D"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1. Facilitate Market Entry through Strategic Local Partnerships</w:t>
      </w:r>
    </w:p>
    <w:p w14:paraId="076D9BB4" w14:textId="656AA415"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Companies looking to enter the Saudi energy market should proactively seek local partners to navigate the regulatory landscape, accelerate licensing, and gain market insights. Forming joint ventures or alliances with Saudi entities not only eases entry but also enhances credibility and speeds up localization efforts. Leveraging local investment centers and existing support structures can also reduce costs and administrative burdens.</w:t>
      </w:r>
    </w:p>
    <w:p w14:paraId="12FAF07B"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2. Prioritize Strategic Partnerships as a Growth Engine</w:t>
      </w:r>
    </w:p>
    <w:p w14:paraId="4FAA54CC" w14:textId="170FCA9A"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Firms should integrate partnerships into their core business strategies</w:t>
      </w:r>
      <w:r>
        <w:rPr>
          <w:rFonts w:asciiTheme="majorBidi" w:hAnsiTheme="majorBidi" w:cstheme="majorBidi"/>
          <w:sz w:val="24"/>
          <w:szCs w:val="24"/>
        </w:rPr>
        <w:t xml:space="preserve"> </w:t>
      </w:r>
      <w:r w:rsidRPr="00D63358">
        <w:rPr>
          <w:rFonts w:asciiTheme="majorBidi" w:hAnsiTheme="majorBidi" w:cstheme="majorBidi"/>
          <w:sz w:val="24"/>
          <w:szCs w:val="24"/>
        </w:rPr>
        <w:t>whether through joint ventures, project consortiums, research collaborations, or supplier development agreements. Engaging in structured partnerships provides access to capital, resources, and local knowledge while aligning with Saudi Arabia’s Vision 2030 objectives. Companies are encouraged to take initiative in formalizing such partnerships and identifying long-term, value-adding collaborators.</w:t>
      </w:r>
    </w:p>
    <w:p w14:paraId="5483F81D"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3. Invest in Human Capital and Innovation Ecosystems</w:t>
      </w:r>
    </w:p>
    <w:p w14:paraId="65D260DA" w14:textId="77777777"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To remain competitive, companies must invest in local workforce development and R&amp;D. Establishing innovation hubs, training centers, or incubators within Saudi Arabia will not only build internal capabilities but also attract government support. Partnering with universities, offering scholarships, and providing internships or apprenticeships will help close talent gaps and ensure a future-ready workforce aligned with industry needs.</w:t>
      </w:r>
    </w:p>
    <w:p w14:paraId="52DA6FC0" w14:textId="113DDF20" w:rsidR="00D63358" w:rsidRPr="00D63358" w:rsidRDefault="00D63358" w:rsidP="00D63358">
      <w:pPr>
        <w:spacing w:line="360" w:lineRule="auto"/>
        <w:rPr>
          <w:rFonts w:asciiTheme="majorBidi" w:hAnsiTheme="majorBidi" w:cstheme="majorBidi"/>
          <w:sz w:val="24"/>
          <w:szCs w:val="24"/>
        </w:rPr>
      </w:pPr>
    </w:p>
    <w:p w14:paraId="20FDE973"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4. Embed Knowledge Transfer and Local Content in Business Models</w:t>
      </w:r>
    </w:p>
    <w:p w14:paraId="1D6C09C6" w14:textId="0B180BEB"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 xml:space="preserve">Companies should integrate knowledge transfer and local content requirements into all projects and contracts. This includes training Saudi staff, sourcing from local suppliers, and creating clear technology transfer mechanisms. Adopting models like Aramco’s </w:t>
      </w:r>
      <w:r w:rsidRPr="00D63358">
        <w:rPr>
          <w:rFonts w:asciiTheme="majorBidi" w:hAnsiTheme="majorBidi" w:cstheme="majorBidi"/>
          <w:sz w:val="24"/>
          <w:szCs w:val="24"/>
        </w:rPr>
        <w:lastRenderedPageBreak/>
        <w:t>IKTVA in their operations will enhance localization, meet regulatory expectations, and build long-term market resilience.</w:t>
      </w:r>
    </w:p>
    <w:p w14:paraId="54BFB7D0"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5. Diversify the Energy Portfolio and Integrate Sustainability</w:t>
      </w:r>
    </w:p>
    <w:p w14:paraId="1F828C37" w14:textId="348DFBFB"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Companies should diversify their offerings by investing in renewables and clean technologies such as green hydrogen, solar, wind, and carbon capture. This aligns with global energy trends and positions companies as strategic partners in Saudi Arabia’s energy transition. Early investment in sustainability-oriented projects also opens up new market segments and potential government-backed opportunities.</w:t>
      </w:r>
    </w:p>
    <w:p w14:paraId="6E49D625"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6. Align with and Adapt to the Policy Environment</w:t>
      </w:r>
    </w:p>
    <w:p w14:paraId="75A93A33" w14:textId="46089C35"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While the government sets the regulatory framework, companies must stay informed and aligned with policy directions. Businesses should monitor developments in public-private partnership laws, energy pricing reforms, and Vision 2030 strategies. Building internal policy engagement capabilities and maintaining strong relationships with regulators can enhance agility and compliance.</w:t>
      </w:r>
    </w:p>
    <w:p w14:paraId="782ABE25" w14:textId="77777777" w:rsidR="00D63358" w:rsidRPr="00D63358" w:rsidRDefault="00D63358" w:rsidP="00D63358">
      <w:pPr>
        <w:spacing w:line="360" w:lineRule="auto"/>
        <w:rPr>
          <w:rFonts w:asciiTheme="majorBidi" w:hAnsiTheme="majorBidi" w:cstheme="majorBidi"/>
          <w:b/>
          <w:bCs/>
          <w:sz w:val="24"/>
          <w:szCs w:val="24"/>
        </w:rPr>
      </w:pPr>
      <w:r w:rsidRPr="00D63358">
        <w:rPr>
          <w:rFonts w:asciiTheme="majorBidi" w:hAnsiTheme="majorBidi" w:cstheme="majorBidi"/>
          <w:b/>
          <w:bCs/>
          <w:sz w:val="24"/>
          <w:szCs w:val="24"/>
        </w:rPr>
        <w:t>7. Track Performance and Engage in Continuous Research</w:t>
      </w:r>
    </w:p>
    <w:p w14:paraId="5A0BC7B0" w14:textId="077787A9"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Companies should implement key performance indicators (KPIs) to evaluate the success of their partnerships, innovation activities, and localization efforts. Metrics such as the number of patents, new products, or efficiency improvements will guide strategic refinement and demonstrate value to stakeholders. Engaging in applied research</w:t>
      </w:r>
      <w:r>
        <w:rPr>
          <w:rFonts w:asciiTheme="majorBidi" w:hAnsiTheme="majorBidi" w:cstheme="majorBidi"/>
          <w:sz w:val="24"/>
          <w:szCs w:val="24"/>
        </w:rPr>
        <w:t xml:space="preserve"> </w:t>
      </w:r>
      <w:r w:rsidRPr="00D63358">
        <w:rPr>
          <w:rFonts w:asciiTheme="majorBidi" w:hAnsiTheme="majorBidi" w:cstheme="majorBidi"/>
          <w:sz w:val="24"/>
          <w:szCs w:val="24"/>
        </w:rPr>
        <w:t>either in-house or in collaboration with academic institutions</w:t>
      </w:r>
      <w:r>
        <w:rPr>
          <w:rFonts w:asciiTheme="majorBidi" w:hAnsiTheme="majorBidi" w:cstheme="majorBidi"/>
          <w:sz w:val="24"/>
          <w:szCs w:val="24"/>
        </w:rPr>
        <w:t xml:space="preserve"> </w:t>
      </w:r>
      <w:r w:rsidRPr="00D63358">
        <w:rPr>
          <w:rFonts w:asciiTheme="majorBidi" w:hAnsiTheme="majorBidi" w:cstheme="majorBidi"/>
          <w:sz w:val="24"/>
          <w:szCs w:val="24"/>
        </w:rPr>
        <w:t>can further enhance competitive positioning.</w:t>
      </w:r>
    </w:p>
    <w:p w14:paraId="10F89CFB" w14:textId="4752E2BD" w:rsidR="00D63358" w:rsidRPr="00D63358" w:rsidRDefault="00D63358" w:rsidP="00D63358">
      <w:pPr>
        <w:spacing w:line="360" w:lineRule="auto"/>
        <w:rPr>
          <w:rFonts w:asciiTheme="majorBidi" w:hAnsiTheme="majorBidi" w:cstheme="majorBidi"/>
          <w:b/>
          <w:bCs/>
          <w:sz w:val="24"/>
          <w:szCs w:val="24"/>
        </w:rPr>
      </w:pPr>
      <w:r>
        <w:rPr>
          <w:rFonts w:asciiTheme="majorBidi" w:hAnsiTheme="majorBidi" w:cstheme="majorBidi"/>
          <w:b/>
          <w:bCs/>
          <w:sz w:val="24"/>
          <w:szCs w:val="24"/>
        </w:rPr>
        <w:t>Summary</w:t>
      </w:r>
      <w:r w:rsidRPr="00D63358">
        <w:rPr>
          <w:rFonts w:asciiTheme="majorBidi" w:hAnsiTheme="majorBidi" w:cstheme="majorBidi"/>
          <w:b/>
          <w:bCs/>
          <w:sz w:val="24"/>
          <w:szCs w:val="24"/>
        </w:rPr>
        <w:t>:</w:t>
      </w:r>
    </w:p>
    <w:p w14:paraId="2CAB0E32" w14:textId="77777777" w:rsidR="00D63358" w:rsidRPr="00D63358" w:rsidRDefault="00D63358" w:rsidP="00D63358">
      <w:pPr>
        <w:spacing w:line="360" w:lineRule="auto"/>
        <w:rPr>
          <w:rFonts w:asciiTheme="majorBidi" w:hAnsiTheme="majorBidi" w:cstheme="majorBidi"/>
          <w:sz w:val="24"/>
          <w:szCs w:val="24"/>
        </w:rPr>
      </w:pPr>
      <w:r w:rsidRPr="00D63358">
        <w:rPr>
          <w:rFonts w:asciiTheme="majorBidi" w:hAnsiTheme="majorBidi" w:cstheme="majorBidi"/>
          <w:sz w:val="24"/>
          <w:szCs w:val="24"/>
        </w:rPr>
        <w:t>By applying these recommendations, companies can thrive in the evolving Saudi energy sector. Strategic partnerships, investment in local talent and innovation, sustainability, and responsiveness to the local context will be essential for long-term success. Those who take proactive steps will not only contribute to Vision 2030’s goals but also secure a lasting role in Saudi Arabia’s diversified and globally competitive energy future.</w:t>
      </w:r>
    </w:p>
    <w:p w14:paraId="75E24652" w14:textId="6A779975" w:rsidR="005E67C7" w:rsidRDefault="004D7261" w:rsidP="005E67C7">
      <w:pPr>
        <w:spacing w:line="360" w:lineRule="auto"/>
        <w:rPr>
          <w:rFonts w:asciiTheme="majorBidi" w:hAnsiTheme="majorBidi" w:cstheme="majorBidi"/>
          <w:sz w:val="24"/>
          <w:szCs w:val="24"/>
        </w:rPr>
      </w:pPr>
      <w:r w:rsidRPr="00E37F5B">
        <w:rPr>
          <w:rFonts w:asciiTheme="majorBidi" w:hAnsiTheme="majorBidi" w:cstheme="majorBidi"/>
          <w:sz w:val="24"/>
          <w:szCs w:val="24"/>
        </w:rPr>
        <w:lastRenderedPageBreak/>
        <w:t>Table </w:t>
      </w:r>
      <w:r w:rsidR="00546F2F">
        <w:rPr>
          <w:rFonts w:asciiTheme="majorBidi" w:hAnsiTheme="majorBidi" w:cstheme="majorBidi"/>
          <w:sz w:val="24"/>
          <w:szCs w:val="24"/>
        </w:rPr>
        <w:t>7.</w:t>
      </w:r>
      <w:r w:rsidR="004F76E7">
        <w:rPr>
          <w:rFonts w:asciiTheme="majorBidi" w:hAnsiTheme="majorBidi" w:cstheme="majorBidi"/>
          <w:sz w:val="24"/>
          <w:szCs w:val="24"/>
        </w:rPr>
        <w:t>1</w:t>
      </w:r>
      <w:r w:rsidR="005E67C7" w:rsidRPr="005E67C7">
        <w:rPr>
          <w:rFonts w:asciiTheme="majorBidi" w:hAnsiTheme="majorBidi" w:cstheme="majorBidi"/>
          <w:sz w:val="24"/>
          <w:szCs w:val="24"/>
        </w:rPr>
        <w:t>: Proposed Growth Strategies and Expected Outcomes for Saudi Arabia’s Energy Sector</w:t>
      </w:r>
    </w:p>
    <w:p w14:paraId="35449E06" w14:textId="2882D886" w:rsidR="005E67C7" w:rsidRPr="005E67C7" w:rsidRDefault="005E67C7" w:rsidP="005E67C7">
      <w:pPr>
        <w:spacing w:line="360" w:lineRule="auto"/>
        <w:rPr>
          <w:rFonts w:asciiTheme="majorBidi" w:hAnsiTheme="majorBidi" w:cstheme="majorBidi"/>
          <w:sz w:val="24"/>
          <w:szCs w:val="24"/>
        </w:rPr>
      </w:pPr>
      <w:r w:rsidRPr="005E67C7">
        <w:rPr>
          <w:noProof/>
        </w:rPr>
        <w:drawing>
          <wp:inline distT="0" distB="0" distL="0" distR="0" wp14:anchorId="02495505" wp14:editId="55270FE7">
            <wp:extent cx="5486400" cy="1064895"/>
            <wp:effectExtent l="0" t="0" r="0" b="1905"/>
            <wp:docPr id="1171533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1064895"/>
                    </a:xfrm>
                    <a:prstGeom prst="rect">
                      <a:avLst/>
                    </a:prstGeom>
                    <a:noFill/>
                    <a:ln>
                      <a:noFill/>
                    </a:ln>
                  </pic:spPr>
                </pic:pic>
              </a:graphicData>
            </a:graphic>
          </wp:inline>
        </w:drawing>
      </w:r>
    </w:p>
    <w:p w14:paraId="42974FBC" w14:textId="04B0ADBB" w:rsidR="005E67C7" w:rsidRDefault="005E67C7" w:rsidP="005E67C7">
      <w:pPr>
        <w:spacing w:line="360" w:lineRule="auto"/>
        <w:rPr>
          <w:rFonts w:asciiTheme="majorBidi" w:hAnsiTheme="majorBidi" w:cstheme="majorBidi"/>
          <w:sz w:val="24"/>
          <w:szCs w:val="24"/>
        </w:rPr>
      </w:pPr>
      <w:r w:rsidRPr="005E67C7">
        <w:rPr>
          <w:rFonts w:asciiTheme="majorBidi" w:hAnsiTheme="majorBidi" w:cstheme="majorBidi"/>
          <w:sz w:val="24"/>
          <w:szCs w:val="24"/>
        </w:rPr>
        <w:t>Strategic recommendations to foster growth and resilience in the Saudi energy sector, with a summary of the anticipated outcomes of each strategy.</w:t>
      </w:r>
    </w:p>
    <w:p w14:paraId="008713AC" w14:textId="77777777" w:rsidR="005E67C7" w:rsidRPr="00C22C8B" w:rsidRDefault="005E67C7" w:rsidP="00C22C8B">
      <w:pPr>
        <w:spacing w:line="360" w:lineRule="auto"/>
        <w:rPr>
          <w:rFonts w:asciiTheme="majorBidi" w:hAnsiTheme="majorBidi" w:cstheme="majorBidi"/>
          <w:sz w:val="24"/>
          <w:szCs w:val="24"/>
        </w:rPr>
      </w:pPr>
    </w:p>
    <w:p w14:paraId="2E0330E7" w14:textId="77777777" w:rsidR="00C22C8B" w:rsidRDefault="00C22C8B" w:rsidP="00C22C8B">
      <w:pPr>
        <w:spacing w:line="360" w:lineRule="auto"/>
        <w:rPr>
          <w:rFonts w:asciiTheme="majorBidi" w:hAnsiTheme="majorBidi" w:cstheme="majorBidi"/>
          <w:b/>
          <w:bCs/>
          <w:sz w:val="24"/>
          <w:szCs w:val="24"/>
        </w:rPr>
      </w:pPr>
    </w:p>
    <w:p w14:paraId="785797C4" w14:textId="77777777" w:rsidR="0064634C" w:rsidRDefault="0064634C" w:rsidP="00C22C8B">
      <w:pPr>
        <w:spacing w:line="360" w:lineRule="auto"/>
        <w:rPr>
          <w:rFonts w:asciiTheme="majorBidi" w:hAnsiTheme="majorBidi" w:cstheme="majorBidi"/>
          <w:b/>
          <w:bCs/>
          <w:sz w:val="24"/>
          <w:szCs w:val="24"/>
        </w:rPr>
      </w:pPr>
    </w:p>
    <w:p w14:paraId="1459F3D7" w14:textId="77777777" w:rsidR="0064634C" w:rsidRDefault="0064634C" w:rsidP="00C22C8B">
      <w:pPr>
        <w:spacing w:line="360" w:lineRule="auto"/>
        <w:rPr>
          <w:rFonts w:asciiTheme="majorBidi" w:hAnsiTheme="majorBidi" w:cstheme="majorBidi"/>
          <w:b/>
          <w:bCs/>
          <w:sz w:val="24"/>
          <w:szCs w:val="24"/>
        </w:rPr>
      </w:pPr>
    </w:p>
    <w:p w14:paraId="57E9D271" w14:textId="77777777" w:rsidR="0064634C" w:rsidRDefault="0064634C" w:rsidP="00C22C8B">
      <w:pPr>
        <w:spacing w:line="360" w:lineRule="auto"/>
        <w:rPr>
          <w:rFonts w:asciiTheme="majorBidi" w:hAnsiTheme="majorBidi" w:cstheme="majorBidi"/>
          <w:b/>
          <w:bCs/>
          <w:sz w:val="24"/>
          <w:szCs w:val="24"/>
        </w:rPr>
      </w:pPr>
    </w:p>
    <w:p w14:paraId="38C8BE8A" w14:textId="77777777" w:rsidR="0064634C" w:rsidRDefault="0064634C" w:rsidP="00C22C8B">
      <w:pPr>
        <w:spacing w:line="360" w:lineRule="auto"/>
        <w:rPr>
          <w:rFonts w:asciiTheme="majorBidi" w:hAnsiTheme="majorBidi" w:cstheme="majorBidi"/>
          <w:b/>
          <w:bCs/>
          <w:sz w:val="24"/>
          <w:szCs w:val="24"/>
        </w:rPr>
      </w:pPr>
    </w:p>
    <w:p w14:paraId="290C3963" w14:textId="77777777" w:rsidR="0064634C" w:rsidRDefault="0064634C" w:rsidP="00C22C8B">
      <w:pPr>
        <w:spacing w:line="360" w:lineRule="auto"/>
        <w:rPr>
          <w:rFonts w:asciiTheme="majorBidi" w:hAnsiTheme="majorBidi" w:cstheme="majorBidi"/>
          <w:b/>
          <w:bCs/>
          <w:sz w:val="24"/>
          <w:szCs w:val="24"/>
        </w:rPr>
      </w:pPr>
    </w:p>
    <w:p w14:paraId="18EDF218" w14:textId="77777777" w:rsidR="00D63358" w:rsidRDefault="00D63358" w:rsidP="00C22C8B">
      <w:pPr>
        <w:spacing w:line="360" w:lineRule="auto"/>
        <w:rPr>
          <w:rFonts w:asciiTheme="majorBidi" w:hAnsiTheme="majorBidi" w:cstheme="majorBidi"/>
          <w:b/>
          <w:bCs/>
          <w:sz w:val="24"/>
          <w:szCs w:val="24"/>
        </w:rPr>
      </w:pPr>
    </w:p>
    <w:p w14:paraId="2ABEAB91" w14:textId="77777777" w:rsidR="00D63358" w:rsidRDefault="00D63358" w:rsidP="00C22C8B">
      <w:pPr>
        <w:spacing w:line="360" w:lineRule="auto"/>
        <w:rPr>
          <w:rFonts w:asciiTheme="majorBidi" w:hAnsiTheme="majorBidi" w:cstheme="majorBidi"/>
          <w:b/>
          <w:bCs/>
          <w:sz w:val="24"/>
          <w:szCs w:val="24"/>
        </w:rPr>
      </w:pPr>
    </w:p>
    <w:p w14:paraId="7EDE402D" w14:textId="77777777" w:rsidR="00D63358" w:rsidRDefault="00D63358" w:rsidP="00C22C8B">
      <w:pPr>
        <w:spacing w:line="360" w:lineRule="auto"/>
        <w:rPr>
          <w:rFonts w:asciiTheme="majorBidi" w:hAnsiTheme="majorBidi" w:cstheme="majorBidi"/>
          <w:b/>
          <w:bCs/>
          <w:sz w:val="24"/>
          <w:szCs w:val="24"/>
        </w:rPr>
      </w:pPr>
    </w:p>
    <w:p w14:paraId="526D2B85" w14:textId="77777777" w:rsidR="00D63358" w:rsidRDefault="00D63358" w:rsidP="00C22C8B">
      <w:pPr>
        <w:spacing w:line="360" w:lineRule="auto"/>
        <w:rPr>
          <w:rFonts w:asciiTheme="majorBidi" w:hAnsiTheme="majorBidi" w:cstheme="majorBidi"/>
          <w:b/>
          <w:bCs/>
          <w:sz w:val="24"/>
          <w:szCs w:val="24"/>
        </w:rPr>
      </w:pPr>
    </w:p>
    <w:p w14:paraId="391E5B55" w14:textId="77777777" w:rsidR="00D63358" w:rsidRDefault="00D63358" w:rsidP="00C22C8B">
      <w:pPr>
        <w:spacing w:line="360" w:lineRule="auto"/>
        <w:rPr>
          <w:rFonts w:asciiTheme="majorBidi" w:hAnsiTheme="majorBidi" w:cstheme="majorBidi"/>
          <w:b/>
          <w:bCs/>
          <w:sz w:val="24"/>
          <w:szCs w:val="24"/>
        </w:rPr>
      </w:pPr>
    </w:p>
    <w:p w14:paraId="67492F2D" w14:textId="77777777" w:rsidR="00D63358" w:rsidRDefault="00D63358" w:rsidP="00C22C8B">
      <w:pPr>
        <w:spacing w:line="360" w:lineRule="auto"/>
        <w:rPr>
          <w:rFonts w:asciiTheme="majorBidi" w:hAnsiTheme="majorBidi" w:cstheme="majorBidi"/>
          <w:b/>
          <w:bCs/>
          <w:sz w:val="24"/>
          <w:szCs w:val="24"/>
        </w:rPr>
      </w:pPr>
    </w:p>
    <w:p w14:paraId="0F159222" w14:textId="77777777" w:rsidR="00D63358" w:rsidRDefault="00D63358" w:rsidP="00C22C8B">
      <w:pPr>
        <w:spacing w:line="360" w:lineRule="auto"/>
        <w:rPr>
          <w:rFonts w:asciiTheme="majorBidi" w:hAnsiTheme="majorBidi" w:cstheme="majorBidi"/>
          <w:b/>
          <w:bCs/>
          <w:sz w:val="24"/>
          <w:szCs w:val="24"/>
        </w:rPr>
      </w:pPr>
    </w:p>
    <w:p w14:paraId="48482EA2" w14:textId="77777777" w:rsidR="00D63358" w:rsidRDefault="00D63358" w:rsidP="00C22C8B">
      <w:pPr>
        <w:spacing w:line="360" w:lineRule="auto"/>
        <w:rPr>
          <w:rFonts w:asciiTheme="majorBidi" w:hAnsiTheme="majorBidi" w:cstheme="majorBidi"/>
          <w:b/>
          <w:bCs/>
          <w:sz w:val="24"/>
          <w:szCs w:val="24"/>
        </w:rPr>
      </w:pPr>
    </w:p>
    <w:p w14:paraId="59B7F6EF" w14:textId="77777777" w:rsidR="00D63358" w:rsidRDefault="00D63358" w:rsidP="00C22C8B">
      <w:pPr>
        <w:spacing w:line="360" w:lineRule="auto"/>
        <w:rPr>
          <w:rFonts w:asciiTheme="majorBidi" w:hAnsiTheme="majorBidi" w:cstheme="majorBidi"/>
          <w:b/>
          <w:bCs/>
          <w:sz w:val="24"/>
          <w:szCs w:val="24"/>
        </w:rPr>
      </w:pPr>
    </w:p>
    <w:p w14:paraId="4740534D" w14:textId="49581F21" w:rsidR="004353A5" w:rsidRDefault="00C22C8B" w:rsidP="005567BB">
      <w:pPr>
        <w:spacing w:line="360" w:lineRule="auto"/>
        <w:rPr>
          <w:rFonts w:asciiTheme="majorBidi" w:hAnsiTheme="majorBidi" w:cstheme="majorBidi"/>
          <w:b/>
          <w:bCs/>
          <w:sz w:val="24"/>
          <w:szCs w:val="24"/>
        </w:rPr>
      </w:pPr>
      <w:r w:rsidRPr="00C22C8B">
        <w:rPr>
          <w:rFonts w:asciiTheme="majorBidi" w:hAnsiTheme="majorBidi" w:cstheme="majorBidi"/>
          <w:b/>
          <w:bCs/>
          <w:sz w:val="24"/>
          <w:szCs w:val="24"/>
        </w:rPr>
        <w:lastRenderedPageBreak/>
        <w:t>References</w:t>
      </w:r>
    </w:p>
    <w:p w14:paraId="0292DDC2"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Oxford Business Group (2024). </w:t>
      </w:r>
      <w:r w:rsidRPr="000A0BD9">
        <w:rPr>
          <w:rFonts w:asciiTheme="majorBidi" w:hAnsiTheme="majorBidi" w:cstheme="majorBidi"/>
          <w:i/>
          <w:iCs/>
          <w:sz w:val="24"/>
          <w:szCs w:val="24"/>
        </w:rPr>
        <w:t>Partnerships support Saudi Arabia's RDI strategy</w:t>
      </w:r>
      <w:r w:rsidRPr="000A0BD9">
        <w:rPr>
          <w:rFonts w:asciiTheme="majorBidi" w:hAnsiTheme="majorBidi" w:cstheme="majorBidi"/>
          <w:sz w:val="24"/>
          <w:szCs w:val="24"/>
        </w:rPr>
        <w:t>. Analysis report, OBG. .</w:t>
      </w:r>
    </w:p>
    <w:p w14:paraId="5752001E"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CEO Today Magazine (2025). </w:t>
      </w:r>
      <w:r w:rsidRPr="000A0BD9">
        <w:rPr>
          <w:rFonts w:asciiTheme="majorBidi" w:hAnsiTheme="majorBidi" w:cstheme="majorBidi"/>
          <w:i/>
          <w:iCs/>
          <w:sz w:val="24"/>
          <w:szCs w:val="24"/>
        </w:rPr>
        <w:t>Saudi Aramco's $9 Billion Localization Push: Transforming Saudi Arabia's Future</w:t>
      </w:r>
      <w:r w:rsidRPr="000A0BD9">
        <w:rPr>
          <w:rFonts w:asciiTheme="majorBidi" w:hAnsiTheme="majorBidi" w:cstheme="majorBidi"/>
          <w:sz w:val="24"/>
          <w:szCs w:val="24"/>
        </w:rPr>
        <w:t>. Published January 14, 2025. .</w:t>
      </w:r>
    </w:p>
    <w:p w14:paraId="7FDB51EB" w14:textId="032BF928"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Siemens Energy (2025). </w:t>
      </w:r>
      <w:r w:rsidRPr="000A0BD9">
        <w:rPr>
          <w:rFonts w:asciiTheme="majorBidi" w:hAnsiTheme="majorBidi" w:cstheme="majorBidi"/>
          <w:i/>
          <w:iCs/>
          <w:sz w:val="24"/>
          <w:szCs w:val="24"/>
        </w:rPr>
        <w:t>In-Kingdom Total Value Add (IKTVA) Forum &amp; Exhibition 2025</w:t>
      </w:r>
      <w:r w:rsidRPr="000A0BD9">
        <w:rPr>
          <w:rFonts w:asciiTheme="majorBidi" w:hAnsiTheme="majorBidi" w:cstheme="majorBidi"/>
          <w:sz w:val="24"/>
          <w:szCs w:val="24"/>
        </w:rPr>
        <w:t xml:space="preserve"> Corporate Event Summary. </w:t>
      </w:r>
      <w:hyperlink r:id="rId30" w:anchor=":~:text=IKTVA%202025%2C%20the%20In,delivers%20to%20the%20Kingdom%27s%20economy" w:tgtFrame="_blank" w:history="1">
        <w:r w:rsidRPr="000A0BD9">
          <w:rPr>
            <w:rStyle w:val="Hyperlink"/>
            <w:rFonts w:asciiTheme="majorBidi" w:hAnsiTheme="majorBidi" w:cstheme="majorBidi"/>
            <w:sz w:val="24"/>
            <w:szCs w:val="24"/>
          </w:rPr>
          <w:t>siemens-energy.com</w:t>
        </w:r>
      </w:hyperlink>
      <w:r w:rsidRPr="000A0BD9">
        <w:rPr>
          <w:rFonts w:asciiTheme="majorBidi" w:hAnsiTheme="majorBidi" w:cstheme="majorBidi"/>
          <w:sz w:val="24"/>
          <w:szCs w:val="24"/>
        </w:rPr>
        <w:t>.</w:t>
      </w:r>
    </w:p>
    <w:p w14:paraId="1BE29F1B"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Technical Review Middle East (2024). </w:t>
      </w:r>
      <w:r w:rsidRPr="000A0BD9">
        <w:rPr>
          <w:rFonts w:asciiTheme="majorBidi" w:hAnsiTheme="majorBidi" w:cstheme="majorBidi"/>
          <w:i/>
          <w:iCs/>
          <w:sz w:val="24"/>
          <w:szCs w:val="24"/>
        </w:rPr>
        <w:t>Schneider Electric to build 20,000 sqm manufacturing facility at SPARK in Saudi Arabia</w:t>
      </w:r>
      <w:r w:rsidRPr="000A0BD9">
        <w:rPr>
          <w:rFonts w:asciiTheme="majorBidi" w:hAnsiTheme="majorBidi" w:cstheme="majorBidi"/>
          <w:sz w:val="24"/>
          <w:szCs w:val="24"/>
        </w:rPr>
        <w:t>. Created 18 January 2024. .</w:t>
      </w:r>
    </w:p>
    <w:p w14:paraId="5FFE96AA" w14:textId="272D9FE4"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International Trade Administration (2024). </w:t>
      </w:r>
      <w:r w:rsidRPr="000A0BD9">
        <w:rPr>
          <w:rFonts w:asciiTheme="majorBidi" w:hAnsiTheme="majorBidi" w:cstheme="majorBidi"/>
          <w:i/>
          <w:iCs/>
          <w:sz w:val="24"/>
          <w:szCs w:val="24"/>
        </w:rPr>
        <w:t>Saudi Arabia - Market Entry Strategy</w:t>
      </w:r>
      <w:r w:rsidRPr="000A0BD9">
        <w:rPr>
          <w:rFonts w:asciiTheme="majorBidi" w:hAnsiTheme="majorBidi" w:cstheme="majorBidi"/>
          <w:sz w:val="24"/>
          <w:szCs w:val="24"/>
        </w:rPr>
        <w:t xml:space="preserve">. Country Commercial Guide, U.S. Dept of Commerce. Last published 2024-01-03. </w:t>
      </w:r>
    </w:p>
    <w:p w14:paraId="44E6D904"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Repsol (2024). </w:t>
      </w:r>
      <w:r w:rsidRPr="000A0BD9">
        <w:rPr>
          <w:rFonts w:asciiTheme="majorBidi" w:hAnsiTheme="majorBidi" w:cstheme="majorBidi"/>
          <w:i/>
          <w:iCs/>
          <w:sz w:val="24"/>
          <w:szCs w:val="24"/>
        </w:rPr>
        <w:t>Open innovation: What is it and advantages of applying it?</w:t>
      </w:r>
      <w:r w:rsidRPr="000A0BD9">
        <w:rPr>
          <w:rFonts w:asciiTheme="majorBidi" w:hAnsiTheme="majorBidi" w:cstheme="majorBidi"/>
          <w:sz w:val="24"/>
          <w:szCs w:val="24"/>
        </w:rPr>
        <w:t xml:space="preserve"> (Article, 23 September 2024). .</w:t>
      </w:r>
    </w:p>
    <w:p w14:paraId="67203F73"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KAPSARC (2023). </w:t>
      </w:r>
      <w:r w:rsidRPr="000A0BD9">
        <w:rPr>
          <w:rFonts w:asciiTheme="majorBidi" w:hAnsiTheme="majorBidi" w:cstheme="majorBidi"/>
          <w:i/>
          <w:iCs/>
          <w:sz w:val="24"/>
          <w:szCs w:val="24"/>
        </w:rPr>
        <w:t>The Economic and Energy Transformation in Saudi Arabia: Exploring the Role of Strategic Investments.</w:t>
      </w:r>
      <w:r w:rsidRPr="000A0BD9">
        <w:rPr>
          <w:rFonts w:asciiTheme="majorBidi" w:hAnsiTheme="majorBidi" w:cstheme="majorBidi"/>
          <w:sz w:val="24"/>
          <w:szCs w:val="24"/>
        </w:rPr>
        <w:t xml:space="preserve"> KAPSARC Discussion Paper KS-2023-II09. .</w:t>
      </w:r>
    </w:p>
    <w:p w14:paraId="5B2F062D"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Columbia SIPA Center on Global Energy Policy (2023). </w:t>
      </w:r>
      <w:r w:rsidRPr="000A0BD9">
        <w:rPr>
          <w:rFonts w:asciiTheme="majorBidi" w:hAnsiTheme="majorBidi" w:cstheme="majorBidi"/>
          <w:i/>
          <w:iCs/>
          <w:sz w:val="24"/>
          <w:szCs w:val="24"/>
        </w:rPr>
        <w:t>Saudi Arabia's Renewable Energy Initiatives and Their Geopolitical Implications</w:t>
      </w:r>
      <w:r w:rsidRPr="000A0BD9">
        <w:rPr>
          <w:rFonts w:asciiTheme="majorBidi" w:hAnsiTheme="majorBidi" w:cstheme="majorBidi"/>
          <w:sz w:val="24"/>
          <w:szCs w:val="24"/>
        </w:rPr>
        <w:t>. (Online analysis). .</w:t>
      </w:r>
    </w:p>
    <w:p w14:paraId="360CDFAA"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Arab News (2023). </w:t>
      </w:r>
      <w:r w:rsidRPr="000A0BD9">
        <w:rPr>
          <w:rFonts w:asciiTheme="majorBidi" w:hAnsiTheme="majorBidi" w:cstheme="majorBidi"/>
          <w:i/>
          <w:iCs/>
          <w:sz w:val="24"/>
          <w:szCs w:val="24"/>
        </w:rPr>
        <w:t>Aramco and KAUST partner on $100m energy transition research.</w:t>
      </w:r>
      <w:r w:rsidRPr="000A0BD9">
        <w:rPr>
          <w:rFonts w:asciiTheme="majorBidi" w:hAnsiTheme="majorBidi" w:cstheme="majorBidi"/>
          <w:sz w:val="24"/>
          <w:szCs w:val="24"/>
        </w:rPr>
        <w:t xml:space="preserve"> Published Aug 2024. .</w:t>
      </w:r>
    </w:p>
    <w:p w14:paraId="26ED4524" w14:textId="77777777" w:rsidR="00C22C8B" w:rsidRPr="000A0BD9" w:rsidRDefault="00C22C8B" w:rsidP="00EB2BA1">
      <w:pPr>
        <w:numPr>
          <w:ilvl w:val="0"/>
          <w:numId w:val="33"/>
        </w:numPr>
        <w:spacing w:line="360" w:lineRule="auto"/>
        <w:rPr>
          <w:rFonts w:asciiTheme="majorBidi" w:hAnsiTheme="majorBidi" w:cstheme="majorBidi"/>
          <w:sz w:val="24"/>
          <w:szCs w:val="24"/>
        </w:rPr>
      </w:pPr>
      <w:proofErr w:type="spellStart"/>
      <w:r w:rsidRPr="000A0BD9">
        <w:rPr>
          <w:rFonts w:asciiTheme="majorBidi" w:hAnsiTheme="majorBidi" w:cstheme="majorBidi"/>
          <w:sz w:val="24"/>
          <w:szCs w:val="24"/>
        </w:rPr>
        <w:t>TradeArabia</w:t>
      </w:r>
      <w:proofErr w:type="spellEnd"/>
      <w:r w:rsidRPr="000A0BD9">
        <w:rPr>
          <w:rFonts w:asciiTheme="majorBidi" w:hAnsiTheme="majorBidi" w:cstheme="majorBidi"/>
          <w:sz w:val="24"/>
          <w:szCs w:val="24"/>
        </w:rPr>
        <w:t xml:space="preserve"> (2025). </w:t>
      </w:r>
      <w:proofErr w:type="spellStart"/>
      <w:r w:rsidRPr="000A0BD9">
        <w:rPr>
          <w:rFonts w:asciiTheme="majorBidi" w:hAnsiTheme="majorBidi" w:cstheme="majorBidi"/>
          <w:i/>
          <w:iCs/>
          <w:sz w:val="24"/>
          <w:szCs w:val="24"/>
        </w:rPr>
        <w:t>Acwa</w:t>
      </w:r>
      <w:proofErr w:type="spellEnd"/>
      <w:r w:rsidRPr="000A0BD9">
        <w:rPr>
          <w:rFonts w:asciiTheme="majorBidi" w:hAnsiTheme="majorBidi" w:cstheme="majorBidi"/>
          <w:i/>
          <w:iCs/>
          <w:sz w:val="24"/>
          <w:szCs w:val="24"/>
        </w:rPr>
        <w:t xml:space="preserve"> Power signs seven partnerships at Innovation Days 2025</w:t>
      </w:r>
      <w:r w:rsidRPr="000A0BD9">
        <w:rPr>
          <w:rFonts w:asciiTheme="majorBidi" w:hAnsiTheme="majorBidi" w:cstheme="majorBidi"/>
          <w:sz w:val="24"/>
          <w:szCs w:val="24"/>
        </w:rPr>
        <w:t>. Published 2025. (Referenced for partnership examples).</w:t>
      </w:r>
    </w:p>
    <w:p w14:paraId="77823B62"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Vision 2030 (2016). </w:t>
      </w:r>
      <w:r w:rsidRPr="000A0BD9">
        <w:rPr>
          <w:rFonts w:asciiTheme="majorBidi" w:hAnsiTheme="majorBidi" w:cstheme="majorBidi"/>
          <w:i/>
          <w:iCs/>
          <w:sz w:val="24"/>
          <w:szCs w:val="24"/>
        </w:rPr>
        <w:t>Saudi Vision 2030 Document.</w:t>
      </w:r>
      <w:r w:rsidRPr="000A0BD9">
        <w:rPr>
          <w:rFonts w:asciiTheme="majorBidi" w:hAnsiTheme="majorBidi" w:cstheme="majorBidi"/>
          <w:sz w:val="24"/>
          <w:szCs w:val="24"/>
        </w:rPr>
        <w:t xml:space="preserve"> Government of Saudi Arabia (for general context on national goals).</w:t>
      </w:r>
    </w:p>
    <w:p w14:paraId="5A2D1F7A" w14:textId="49022DC0"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lastRenderedPageBreak/>
        <w:t xml:space="preserve">Lecture Notes </w:t>
      </w:r>
      <w:proofErr w:type="spellStart"/>
      <w:r w:rsidRPr="000A0BD9">
        <w:rPr>
          <w:rFonts w:asciiTheme="majorBidi" w:hAnsiTheme="majorBidi" w:cstheme="majorBidi"/>
          <w:sz w:val="24"/>
          <w:szCs w:val="24"/>
        </w:rPr>
        <w:t>MidOcean</w:t>
      </w:r>
      <w:proofErr w:type="spellEnd"/>
      <w:r w:rsidRPr="000A0BD9">
        <w:rPr>
          <w:rFonts w:asciiTheme="majorBidi" w:hAnsiTheme="majorBidi" w:cstheme="majorBidi"/>
          <w:sz w:val="24"/>
          <w:szCs w:val="24"/>
        </w:rPr>
        <w:t xml:space="preserve"> University (2025). </w:t>
      </w:r>
      <w:r w:rsidRPr="000A0BD9">
        <w:rPr>
          <w:rFonts w:asciiTheme="majorBidi" w:hAnsiTheme="majorBidi" w:cstheme="majorBidi"/>
          <w:i/>
          <w:iCs/>
          <w:sz w:val="24"/>
          <w:szCs w:val="24"/>
        </w:rPr>
        <w:t>Research Plan and Ethics (Lectures 0-2).</w:t>
      </w:r>
      <w:r w:rsidRPr="000A0BD9">
        <w:rPr>
          <w:rFonts w:asciiTheme="majorBidi" w:hAnsiTheme="majorBidi" w:cstheme="majorBidi"/>
          <w:sz w:val="24"/>
          <w:szCs w:val="24"/>
        </w:rPr>
        <w:t xml:space="preserve"> [For alignment with academic expectations on research structure and ethics, as evidenced in feedback]. .</w:t>
      </w:r>
    </w:p>
    <w:p w14:paraId="101D7559"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Saudi Aramco (2024). </w:t>
      </w:r>
      <w:r w:rsidRPr="000A0BD9">
        <w:rPr>
          <w:rFonts w:asciiTheme="majorBidi" w:hAnsiTheme="majorBidi" w:cstheme="majorBidi"/>
          <w:i/>
          <w:iCs/>
          <w:sz w:val="24"/>
          <w:szCs w:val="24"/>
        </w:rPr>
        <w:t>IKTVA Forum 2024 Press Release.</w:t>
      </w:r>
      <w:r w:rsidRPr="000A0BD9">
        <w:rPr>
          <w:rFonts w:asciiTheme="majorBidi" w:hAnsiTheme="majorBidi" w:cstheme="majorBidi"/>
          <w:sz w:val="24"/>
          <w:szCs w:val="24"/>
        </w:rPr>
        <w:t xml:space="preserve"> (Detailed breakdown of agreements and localization achievements). .</w:t>
      </w:r>
    </w:p>
    <w:p w14:paraId="552B8BA2" w14:textId="77777777" w:rsidR="00C22C8B" w:rsidRPr="000A0BD9"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SWOTandPESTLE.com (2023). </w:t>
      </w:r>
      <w:r w:rsidRPr="000A0BD9">
        <w:rPr>
          <w:rFonts w:asciiTheme="majorBidi" w:hAnsiTheme="majorBidi" w:cstheme="majorBidi"/>
          <w:i/>
          <w:iCs/>
          <w:sz w:val="24"/>
          <w:szCs w:val="24"/>
        </w:rPr>
        <w:t>Saudi Electricity Co. SWOT &amp; PESTLE Analysis.</w:t>
      </w:r>
      <w:r w:rsidRPr="000A0BD9">
        <w:rPr>
          <w:rFonts w:asciiTheme="majorBidi" w:hAnsiTheme="majorBidi" w:cstheme="majorBidi"/>
          <w:sz w:val="24"/>
          <w:szCs w:val="24"/>
        </w:rPr>
        <w:t xml:space="preserve"> (Used for general SWOT factors reference). </w:t>
      </w:r>
      <w:hyperlink r:id="rId31" w:anchor=":~:text=SWOT%20%26%20PESTLE.com%20offers%20deep,view%20of%20internal%20capabilities%20and" w:tgtFrame="_blank" w:history="1">
        <w:r w:rsidRPr="000A0BD9">
          <w:rPr>
            <w:rStyle w:val="Hyperlink"/>
            <w:rFonts w:asciiTheme="majorBidi" w:hAnsiTheme="majorBidi" w:cstheme="majorBidi"/>
            <w:sz w:val="24"/>
            <w:szCs w:val="24"/>
          </w:rPr>
          <w:t>swotandpestle.com</w:t>
        </w:r>
      </w:hyperlink>
      <w:r w:rsidRPr="000A0BD9">
        <w:rPr>
          <w:rFonts w:asciiTheme="majorBidi" w:hAnsiTheme="majorBidi" w:cstheme="majorBidi"/>
          <w:sz w:val="24"/>
          <w:szCs w:val="24"/>
        </w:rPr>
        <w:t>.</w:t>
      </w:r>
    </w:p>
    <w:p w14:paraId="02989774" w14:textId="73A1FDC2" w:rsidR="00C22C8B" w:rsidRDefault="00C22C8B" w:rsidP="00EB2BA1">
      <w:pPr>
        <w:numPr>
          <w:ilvl w:val="0"/>
          <w:numId w:val="33"/>
        </w:numPr>
        <w:spacing w:line="360" w:lineRule="auto"/>
        <w:rPr>
          <w:rFonts w:asciiTheme="majorBidi" w:hAnsiTheme="majorBidi" w:cstheme="majorBidi"/>
          <w:sz w:val="24"/>
          <w:szCs w:val="24"/>
        </w:rPr>
      </w:pPr>
      <w:r w:rsidRPr="000A0BD9">
        <w:rPr>
          <w:rFonts w:asciiTheme="majorBidi" w:hAnsiTheme="majorBidi" w:cstheme="majorBidi"/>
          <w:sz w:val="24"/>
          <w:szCs w:val="24"/>
        </w:rPr>
        <w:t xml:space="preserve">Research Interviews (2025). </w:t>
      </w:r>
      <w:r w:rsidRPr="000A0BD9">
        <w:rPr>
          <w:rFonts w:asciiTheme="majorBidi" w:hAnsiTheme="majorBidi" w:cstheme="majorBidi"/>
          <w:i/>
          <w:iCs/>
          <w:sz w:val="24"/>
          <w:szCs w:val="24"/>
        </w:rPr>
        <w:t>Interviews with industry experts and managers.</w:t>
      </w:r>
      <w:r w:rsidRPr="000A0BD9">
        <w:rPr>
          <w:rFonts w:asciiTheme="majorBidi" w:hAnsiTheme="majorBidi" w:cstheme="majorBidi"/>
          <w:sz w:val="24"/>
          <w:szCs w:val="24"/>
        </w:rPr>
        <w:t xml:space="preserve"> (Transcripts available upon request sources anonymized as per methodology).</w:t>
      </w:r>
    </w:p>
    <w:p w14:paraId="32F6E933"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Al-Falih, K. (2020). The Kingdom’s Energy Transition. Riyadh: Ministry of Energy.</w:t>
      </w:r>
    </w:p>
    <w:p w14:paraId="455D1BE0"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 xml:space="preserve">ACWA Power. (2023). Annual Sustainability Report. Retrieved from </w:t>
      </w:r>
      <w:hyperlink r:id="rId32" w:history="1">
        <w:r w:rsidRPr="00BC4D26">
          <w:rPr>
            <w:rStyle w:val="Hyperlink"/>
            <w:rFonts w:asciiTheme="majorBidi" w:hAnsiTheme="majorBidi" w:cstheme="majorBidi"/>
            <w:sz w:val="24"/>
            <w:szCs w:val="24"/>
          </w:rPr>
          <w:t>https://www.acwapower.com</w:t>
        </w:r>
      </w:hyperlink>
    </w:p>
    <w:p w14:paraId="200342C2"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BP. (2023). Statistical Review of World Energy. London: British Petroleum.</w:t>
      </w:r>
    </w:p>
    <w:p w14:paraId="3824D2E9"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ECRA. (2022). Electricity Industry Report. Riyadh: Electricity &amp; Cogeneration Regulatory Authority.</w:t>
      </w:r>
    </w:p>
    <w:p w14:paraId="77BC0497"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 xml:space="preserve">IEA. (2022). World Energy Outlook 2022. Paris: International Energy Agency. Retrieved from </w:t>
      </w:r>
      <w:hyperlink r:id="rId33" w:history="1">
        <w:r w:rsidRPr="00BC4D26">
          <w:rPr>
            <w:rStyle w:val="Hyperlink"/>
            <w:rFonts w:asciiTheme="majorBidi" w:hAnsiTheme="majorBidi" w:cstheme="majorBidi"/>
            <w:sz w:val="24"/>
            <w:szCs w:val="24"/>
          </w:rPr>
          <w:t>https://www.iea.org</w:t>
        </w:r>
      </w:hyperlink>
    </w:p>
    <w:p w14:paraId="03090DCB"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IMF. (2021). Saudi Arabia Economic Outlook. Washington, D.C.: International Monetary Fund.</w:t>
      </w:r>
    </w:p>
    <w:p w14:paraId="0D62DED2"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KAPSARC. (2023). Innovation and Investment in Saudi Energy Sector. Riyadh: King Abdullah Petroleum Studies and Research Center.</w:t>
      </w:r>
    </w:p>
    <w:p w14:paraId="250AC901"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 xml:space="preserve">McKinsey &amp; Company. (2021). Saudi Arabia: Delivering on Vision 2030. Retrieved from </w:t>
      </w:r>
      <w:hyperlink r:id="rId34" w:history="1">
        <w:r w:rsidRPr="00BC4D26">
          <w:rPr>
            <w:rStyle w:val="Hyperlink"/>
            <w:rFonts w:asciiTheme="majorBidi" w:hAnsiTheme="majorBidi" w:cstheme="majorBidi"/>
            <w:sz w:val="24"/>
            <w:szCs w:val="24"/>
          </w:rPr>
          <w:t>https://www.mckinsey.com</w:t>
        </w:r>
      </w:hyperlink>
    </w:p>
    <w:p w14:paraId="29CDE403"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 xml:space="preserve">PwC. (2022). The Future of Energy in the Middle East. Retrieved from </w:t>
      </w:r>
      <w:hyperlink r:id="rId35" w:history="1">
        <w:r w:rsidRPr="00BC4D26">
          <w:rPr>
            <w:rStyle w:val="Hyperlink"/>
            <w:rFonts w:asciiTheme="majorBidi" w:hAnsiTheme="majorBidi" w:cstheme="majorBidi"/>
            <w:sz w:val="24"/>
            <w:szCs w:val="24"/>
          </w:rPr>
          <w:t>https://www.pwc.com/m1/en/industries/energy</w:t>
        </w:r>
      </w:hyperlink>
    </w:p>
    <w:p w14:paraId="5AB106DA"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lastRenderedPageBreak/>
        <w:t xml:space="preserve">Vision 2030. (2016). Saudi Arabia Vision 2030. Retrieved from </w:t>
      </w:r>
      <w:hyperlink r:id="rId36" w:history="1">
        <w:r w:rsidRPr="00BC4D26">
          <w:rPr>
            <w:rStyle w:val="Hyperlink"/>
            <w:rFonts w:asciiTheme="majorBidi" w:hAnsiTheme="majorBidi" w:cstheme="majorBidi"/>
            <w:sz w:val="24"/>
            <w:szCs w:val="24"/>
          </w:rPr>
          <w:t>https://www.vision2030.gov.sa</w:t>
        </w:r>
      </w:hyperlink>
    </w:p>
    <w:p w14:paraId="5460C923" w14:textId="77777777" w:rsidR="00C22C8B" w:rsidRDefault="00C22C8B" w:rsidP="00EB2BA1">
      <w:pPr>
        <w:numPr>
          <w:ilvl w:val="0"/>
          <w:numId w:val="33"/>
        </w:numPr>
        <w:spacing w:line="360" w:lineRule="auto"/>
        <w:rPr>
          <w:rFonts w:asciiTheme="majorBidi" w:hAnsiTheme="majorBidi" w:cstheme="majorBidi"/>
          <w:sz w:val="24"/>
          <w:szCs w:val="24"/>
        </w:rPr>
      </w:pPr>
      <w:r w:rsidRPr="00350B71">
        <w:rPr>
          <w:rFonts w:asciiTheme="majorBidi" w:hAnsiTheme="majorBidi" w:cstheme="majorBidi"/>
          <w:sz w:val="24"/>
          <w:szCs w:val="24"/>
        </w:rPr>
        <w:t>World Bank. (2023). Doing Business in Saudi Arabia. Washington, D.C.: World Bank Group.</w:t>
      </w:r>
    </w:p>
    <w:p w14:paraId="18365053" w14:textId="77777777" w:rsidR="004353A5" w:rsidRPr="00C22C8B" w:rsidRDefault="004353A5" w:rsidP="004353A5">
      <w:pPr>
        <w:spacing w:line="360" w:lineRule="auto"/>
        <w:rPr>
          <w:rFonts w:asciiTheme="majorBidi" w:hAnsiTheme="majorBidi" w:cstheme="majorBidi"/>
          <w:b/>
          <w:bCs/>
          <w:sz w:val="24"/>
          <w:szCs w:val="24"/>
        </w:rPr>
      </w:pPr>
      <w:r w:rsidRPr="00C22C8B">
        <w:rPr>
          <w:rFonts w:asciiTheme="majorBidi" w:hAnsiTheme="majorBidi" w:cstheme="majorBidi"/>
          <w:b/>
          <w:bCs/>
          <w:sz w:val="24"/>
          <w:szCs w:val="24"/>
        </w:rPr>
        <w:t>English References</w:t>
      </w:r>
    </w:p>
    <w:p w14:paraId="76B44083" w14:textId="77777777"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Government of Saudi Arabia (Council of Economic and Development Affairs). (2016).</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Saudi Vision 2030</w:t>
      </w:r>
      <w:r w:rsidRPr="00C22C8B">
        <w:rPr>
          <w:rFonts w:asciiTheme="majorBidi" w:hAnsiTheme="majorBidi" w:cstheme="majorBidi"/>
          <w:sz w:val="24"/>
          <w:szCs w:val="24"/>
        </w:rPr>
        <w:t xml:space="preserve">. Riyadh: CEDA. </w:t>
      </w:r>
      <w:r w:rsidRPr="00C22C8B">
        <w:rPr>
          <w:rFonts w:asciiTheme="majorBidi" w:hAnsiTheme="majorBidi" w:cstheme="majorBidi"/>
          <w:i/>
          <w:iCs/>
          <w:sz w:val="24"/>
          <w:szCs w:val="24"/>
        </w:rPr>
        <w:t>(Key national blueprint for economic diversification; emphasizes private sector partnerships and reducing oil dependence.)</w:t>
      </w:r>
    </w:p>
    <w:p w14:paraId="7C1BE2EA" w14:textId="2890F89C"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Oxford Business Group. (2024).</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Partnerships support Saudi Arabia’s RDI strategy Saudi Arabia Energy/Industry Report</w:t>
      </w:r>
      <w:r w:rsidRPr="00C22C8B">
        <w:rPr>
          <w:rFonts w:asciiTheme="majorBidi" w:hAnsiTheme="majorBidi" w:cstheme="majorBidi"/>
          <w:sz w:val="24"/>
          <w:szCs w:val="24"/>
        </w:rPr>
        <w:t xml:space="preserve">. Oxford Business Group. </w:t>
      </w:r>
      <w:r w:rsidRPr="00C22C8B">
        <w:rPr>
          <w:rFonts w:asciiTheme="majorBidi" w:hAnsiTheme="majorBidi" w:cstheme="majorBidi"/>
          <w:i/>
          <w:iCs/>
          <w:sz w:val="24"/>
          <w:szCs w:val="24"/>
        </w:rPr>
        <w:t>(Analysis of Saudi Arabia’s push for research, development, and innovation, including targets to raise RDI investment and improve innovation ecosystem).</w:t>
      </w:r>
    </w:p>
    <w:p w14:paraId="54DD18A1" w14:textId="77777777"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Zehri, C. (2025).</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Renewable energy and industrial innovation: Catalysts for economic and trade growth</w:t>
      </w:r>
      <w:r w:rsidRPr="00C22C8B">
        <w:rPr>
          <w:rFonts w:asciiTheme="majorBidi" w:hAnsiTheme="majorBidi" w:cstheme="majorBidi"/>
          <w:sz w:val="24"/>
          <w:szCs w:val="24"/>
        </w:rPr>
        <w:t xml:space="preserve">. Russian Journal of Economics, 11(1), 93–122. </w:t>
      </w:r>
      <w:r w:rsidRPr="00C22C8B">
        <w:rPr>
          <w:rFonts w:asciiTheme="majorBidi" w:hAnsiTheme="majorBidi" w:cstheme="majorBidi"/>
          <w:i/>
          <w:iCs/>
          <w:sz w:val="24"/>
          <w:szCs w:val="24"/>
        </w:rPr>
        <w:t>(Empirical study on the impact of renewable energy investments and industrial innovation on Saudi Arabia’s economic growth; notes Saudi plan for 50% renewable electricity by 2030).</w:t>
      </w:r>
    </w:p>
    <w:p w14:paraId="4106A870" w14:textId="77777777"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KAPSARC. (2023).</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The Economic and Energy Transformation in Saudi Arabia: Exploring the Role of Strategic Investments.</w:t>
      </w:r>
      <w:r w:rsidRPr="00C22C8B">
        <w:rPr>
          <w:rFonts w:asciiTheme="majorBidi" w:hAnsiTheme="majorBidi" w:cstheme="majorBidi"/>
          <w:sz w:val="24"/>
          <w:szCs w:val="24"/>
        </w:rPr>
        <w:t xml:space="preserve"> Riyadh: King Abdullah Petroleum Studies and Research Center. </w:t>
      </w:r>
      <w:r w:rsidRPr="00C22C8B">
        <w:rPr>
          <w:rFonts w:asciiTheme="majorBidi" w:hAnsiTheme="majorBidi" w:cstheme="majorBidi"/>
          <w:i/>
          <w:iCs/>
          <w:sz w:val="24"/>
          <w:szCs w:val="24"/>
        </w:rPr>
        <w:t>(Report highlighting the role of strategic partnerships (e.g., PIF with SoftBank, ACWA Power) in advancing Saudi energy initiatives.)</w:t>
      </w:r>
    </w:p>
    <w:p w14:paraId="3778A342" w14:textId="77777777"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Saudi Arabian General Investment Authority (SAGIA). (2020).</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Investor Guide: Energy Sector in Saudi Arabia</w:t>
      </w:r>
      <w:r w:rsidRPr="00C22C8B">
        <w:rPr>
          <w:rFonts w:asciiTheme="majorBidi" w:hAnsiTheme="majorBidi" w:cstheme="majorBidi"/>
          <w:sz w:val="24"/>
          <w:szCs w:val="24"/>
        </w:rPr>
        <w:t xml:space="preserve">. Riyadh: SAGIA. </w:t>
      </w:r>
      <w:r w:rsidRPr="00C22C8B">
        <w:rPr>
          <w:rFonts w:asciiTheme="majorBidi" w:hAnsiTheme="majorBidi" w:cstheme="majorBidi"/>
          <w:i/>
          <w:iCs/>
          <w:sz w:val="24"/>
          <w:szCs w:val="24"/>
        </w:rPr>
        <w:t>(Guide for investors outlining market entry procedures, incentives, and local partnership opportunities in the Saudi energy sector.)</w:t>
      </w:r>
    </w:p>
    <w:p w14:paraId="2A1BFB43" w14:textId="77777777" w:rsidR="004353A5" w:rsidRPr="00C22C8B"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lastRenderedPageBreak/>
        <w:t>Albassam, B. A. (2015).</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Economic Diversification in Saudi Arabia: Myth or Reality?</w:t>
      </w:r>
      <w:r w:rsidRPr="00C22C8B">
        <w:rPr>
          <w:rFonts w:asciiTheme="majorBidi" w:hAnsiTheme="majorBidi" w:cstheme="majorBidi"/>
          <w:sz w:val="24"/>
          <w:szCs w:val="24"/>
        </w:rPr>
        <w:t xml:space="preserve"> Resources Policy, 44, 112–117. </w:t>
      </w:r>
      <w:r w:rsidRPr="00C22C8B">
        <w:rPr>
          <w:rFonts w:asciiTheme="majorBidi" w:hAnsiTheme="majorBidi" w:cstheme="majorBidi"/>
          <w:i/>
          <w:iCs/>
          <w:sz w:val="24"/>
          <w:szCs w:val="24"/>
        </w:rPr>
        <w:t>(Discusses the challenges and progress of economic diversification efforts, providing context for Vision 2030 and the need for strategic initiatives in sectors like energy.)</w:t>
      </w:r>
    </w:p>
    <w:p w14:paraId="301B0908" w14:textId="5C9E3955" w:rsidR="004353A5" w:rsidRPr="004353A5" w:rsidRDefault="004353A5" w:rsidP="00EB2BA1">
      <w:pPr>
        <w:numPr>
          <w:ilvl w:val="0"/>
          <w:numId w:val="36"/>
        </w:numPr>
        <w:spacing w:line="360" w:lineRule="auto"/>
        <w:rPr>
          <w:rFonts w:asciiTheme="majorBidi" w:hAnsiTheme="majorBidi" w:cstheme="majorBidi"/>
          <w:sz w:val="24"/>
          <w:szCs w:val="24"/>
        </w:rPr>
      </w:pPr>
      <w:r w:rsidRPr="00C22C8B">
        <w:rPr>
          <w:rFonts w:asciiTheme="majorBidi" w:hAnsiTheme="majorBidi" w:cstheme="majorBidi"/>
          <w:b/>
          <w:bCs/>
          <w:sz w:val="24"/>
          <w:szCs w:val="24"/>
        </w:rPr>
        <w:t>Porter, M. E. (1985).</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Competitive Advantage</w:t>
      </w:r>
      <w:r w:rsidRPr="00C22C8B">
        <w:rPr>
          <w:rFonts w:asciiTheme="majorBidi" w:hAnsiTheme="majorBidi" w:cstheme="majorBidi"/>
          <w:sz w:val="24"/>
          <w:szCs w:val="24"/>
        </w:rPr>
        <w:t xml:space="preserve">. New York: Free Press. </w:t>
      </w:r>
      <w:r w:rsidRPr="00C22C8B">
        <w:rPr>
          <w:rFonts w:asciiTheme="majorBidi" w:hAnsiTheme="majorBidi" w:cstheme="majorBidi"/>
          <w:i/>
          <w:iCs/>
          <w:sz w:val="24"/>
          <w:szCs w:val="24"/>
        </w:rPr>
        <w:t>(Foundational text on business strategy useful in understanding how firms can develop advantages through partnerships and innovation; applied in analysis of case study strategies.)</w:t>
      </w:r>
    </w:p>
    <w:p w14:paraId="20112BCB" w14:textId="3D0A68B7" w:rsidR="00C22C8B" w:rsidRPr="004353A5" w:rsidRDefault="00C22C8B" w:rsidP="00C22C8B">
      <w:pPr>
        <w:pStyle w:val="ListParagraph"/>
        <w:spacing w:line="360" w:lineRule="auto"/>
        <w:rPr>
          <w:rFonts w:asciiTheme="majorBidi" w:hAnsiTheme="majorBidi" w:cstheme="majorBidi"/>
          <w:b/>
          <w:bCs/>
          <w:sz w:val="24"/>
          <w:szCs w:val="24"/>
        </w:rPr>
      </w:pPr>
      <w:r w:rsidRPr="004353A5">
        <w:rPr>
          <w:rFonts w:asciiTheme="majorBidi" w:hAnsiTheme="majorBidi" w:cstheme="majorBidi"/>
          <w:b/>
          <w:bCs/>
          <w:sz w:val="24"/>
          <w:szCs w:val="24"/>
        </w:rPr>
        <w:t>References Arabic Sources</w:t>
      </w:r>
    </w:p>
    <w:p w14:paraId="4DC9C9AF" w14:textId="77777777" w:rsidR="00C22C8B" w:rsidRPr="00350B71" w:rsidRDefault="00C22C8B" w:rsidP="00C22C8B">
      <w:pPr>
        <w:pStyle w:val="ListParagraph"/>
        <w:spacing w:line="360" w:lineRule="auto"/>
        <w:rPr>
          <w:rFonts w:asciiTheme="majorBidi" w:hAnsiTheme="majorBidi" w:cstheme="majorBidi"/>
          <w:sz w:val="24"/>
          <w:szCs w:val="24"/>
        </w:rPr>
      </w:pPr>
    </w:p>
    <w:p w14:paraId="514B2E97" w14:textId="77777777" w:rsidR="00C22C8B" w:rsidRPr="00350B71" w:rsidRDefault="00C22C8B" w:rsidP="00EB2BA1">
      <w:pPr>
        <w:pStyle w:val="ListParagraph"/>
        <w:numPr>
          <w:ilvl w:val="0"/>
          <w:numId w:val="34"/>
        </w:numPr>
        <w:bidi/>
        <w:spacing w:line="360" w:lineRule="auto"/>
        <w:rPr>
          <w:rFonts w:asciiTheme="majorBidi" w:hAnsiTheme="majorBidi" w:cstheme="majorBidi"/>
          <w:sz w:val="24"/>
          <w:szCs w:val="24"/>
        </w:rPr>
      </w:pPr>
      <w:r w:rsidRPr="00350B71">
        <w:rPr>
          <w:rFonts w:asciiTheme="majorBidi" w:hAnsiTheme="majorBidi" w:cs="Times New Roman"/>
          <w:sz w:val="24"/>
          <w:szCs w:val="24"/>
          <w:rtl/>
        </w:rPr>
        <w:t>وزارة الطاقة. (2022). الطاقة المتجددة في المملكة: تقرير الأداء السنوي. الرياض: وزارة الطاقة</w:t>
      </w:r>
      <w:r w:rsidRPr="00350B71">
        <w:rPr>
          <w:rFonts w:asciiTheme="majorBidi" w:hAnsiTheme="majorBidi" w:cstheme="majorBidi"/>
          <w:sz w:val="24"/>
          <w:szCs w:val="24"/>
        </w:rPr>
        <w:t>.</w:t>
      </w:r>
    </w:p>
    <w:p w14:paraId="4C4745E6" w14:textId="77777777" w:rsidR="00C22C8B" w:rsidRPr="00350B71" w:rsidRDefault="00C22C8B" w:rsidP="00EB2BA1">
      <w:pPr>
        <w:pStyle w:val="ListParagraph"/>
        <w:numPr>
          <w:ilvl w:val="0"/>
          <w:numId w:val="34"/>
        </w:numPr>
        <w:bidi/>
        <w:spacing w:line="360" w:lineRule="auto"/>
        <w:rPr>
          <w:rFonts w:asciiTheme="majorBidi" w:hAnsiTheme="majorBidi" w:cstheme="majorBidi"/>
          <w:sz w:val="24"/>
          <w:szCs w:val="24"/>
        </w:rPr>
      </w:pPr>
      <w:r w:rsidRPr="00350B71">
        <w:rPr>
          <w:rFonts w:asciiTheme="majorBidi" w:hAnsiTheme="majorBidi" w:cs="Times New Roman"/>
          <w:sz w:val="24"/>
          <w:szCs w:val="24"/>
          <w:rtl/>
        </w:rPr>
        <w:t>رؤية 2030. (2016). وثيقة رؤية المملكة العربية السعودية 2030. الرياض: مركز الإنجاز والتدخل السريع</w:t>
      </w:r>
      <w:r w:rsidRPr="00350B71">
        <w:rPr>
          <w:rFonts w:asciiTheme="majorBidi" w:hAnsiTheme="majorBidi" w:cstheme="majorBidi"/>
          <w:sz w:val="24"/>
          <w:szCs w:val="24"/>
        </w:rPr>
        <w:t>.</w:t>
      </w:r>
    </w:p>
    <w:p w14:paraId="655169BC" w14:textId="77777777" w:rsidR="00C22C8B" w:rsidRPr="00350B71" w:rsidRDefault="00C22C8B" w:rsidP="00EB2BA1">
      <w:pPr>
        <w:pStyle w:val="ListParagraph"/>
        <w:numPr>
          <w:ilvl w:val="0"/>
          <w:numId w:val="34"/>
        </w:numPr>
        <w:bidi/>
        <w:spacing w:line="360" w:lineRule="auto"/>
        <w:rPr>
          <w:rFonts w:asciiTheme="majorBidi" w:hAnsiTheme="majorBidi" w:cstheme="majorBidi"/>
          <w:sz w:val="24"/>
          <w:szCs w:val="24"/>
        </w:rPr>
      </w:pPr>
      <w:r w:rsidRPr="00350B71">
        <w:rPr>
          <w:rFonts w:asciiTheme="majorBidi" w:hAnsiTheme="majorBidi" w:cs="Times New Roman"/>
          <w:sz w:val="24"/>
          <w:szCs w:val="24"/>
          <w:rtl/>
        </w:rPr>
        <w:t>صندوق الاستثمارات العامة. (2023). تقرير مشاريع الطاقة المستدامة. الرياض: صندوق الاستثمارات العامة</w:t>
      </w:r>
      <w:r w:rsidRPr="00350B71">
        <w:rPr>
          <w:rFonts w:asciiTheme="majorBidi" w:hAnsiTheme="majorBidi" w:cstheme="majorBidi"/>
          <w:sz w:val="24"/>
          <w:szCs w:val="24"/>
        </w:rPr>
        <w:t>.</w:t>
      </w:r>
    </w:p>
    <w:p w14:paraId="11AEE876" w14:textId="2EA6E8C9" w:rsidR="00C22C8B" w:rsidRPr="00A81672" w:rsidRDefault="00C22C8B" w:rsidP="00A81672">
      <w:pPr>
        <w:pStyle w:val="ListParagraph"/>
        <w:numPr>
          <w:ilvl w:val="0"/>
          <w:numId w:val="34"/>
        </w:numPr>
        <w:bidi/>
        <w:spacing w:line="360" w:lineRule="auto"/>
        <w:rPr>
          <w:rFonts w:asciiTheme="majorBidi" w:hAnsiTheme="majorBidi" w:cstheme="majorBidi"/>
          <w:sz w:val="24"/>
          <w:szCs w:val="24"/>
        </w:rPr>
      </w:pPr>
      <w:r w:rsidRPr="00350B71">
        <w:rPr>
          <w:rFonts w:asciiTheme="majorBidi" w:hAnsiTheme="majorBidi" w:cs="Times New Roman"/>
          <w:sz w:val="24"/>
          <w:szCs w:val="24"/>
          <w:rtl/>
        </w:rPr>
        <w:t>الهيئة العامة للإحصاء. (2022). النشرة الاقتصادية السنوية. الرياض: الهيئة العامة للإحصاء</w:t>
      </w:r>
      <w:r w:rsidRPr="00350B71">
        <w:rPr>
          <w:rFonts w:asciiTheme="majorBidi" w:hAnsiTheme="majorBidi" w:cstheme="majorBidi"/>
          <w:sz w:val="24"/>
          <w:szCs w:val="24"/>
        </w:rPr>
        <w:t>.</w:t>
      </w:r>
    </w:p>
    <w:p w14:paraId="0D22A37D" w14:textId="77777777" w:rsidR="00C22C8B" w:rsidRPr="00C22C8B" w:rsidRDefault="00C22C8B" w:rsidP="00EB2BA1">
      <w:pPr>
        <w:numPr>
          <w:ilvl w:val="0"/>
          <w:numId w:val="37"/>
        </w:numPr>
        <w:spacing w:line="360" w:lineRule="auto"/>
        <w:rPr>
          <w:rFonts w:asciiTheme="majorBidi" w:hAnsiTheme="majorBidi" w:cstheme="majorBidi"/>
          <w:sz w:val="24"/>
          <w:szCs w:val="24"/>
        </w:rPr>
      </w:pPr>
      <w:r w:rsidRPr="00C22C8B">
        <w:rPr>
          <w:rFonts w:asciiTheme="majorBidi" w:hAnsiTheme="majorBidi" w:cstheme="majorBidi"/>
          <w:b/>
          <w:bCs/>
          <w:sz w:val="24"/>
          <w:szCs w:val="24"/>
          <w:rtl/>
        </w:rPr>
        <w:t>مجلس الشؤون الاقتصادية والتنمية</w:t>
      </w:r>
      <w:r w:rsidRPr="00C22C8B">
        <w:rPr>
          <w:rFonts w:asciiTheme="majorBidi" w:hAnsiTheme="majorBidi" w:cstheme="majorBidi"/>
          <w:b/>
          <w:bCs/>
          <w:sz w:val="24"/>
          <w:szCs w:val="24"/>
        </w:rPr>
        <w:t>. (2016).</w:t>
      </w:r>
      <w:r w:rsidRPr="00C22C8B">
        <w:rPr>
          <w:rFonts w:asciiTheme="majorBidi" w:hAnsiTheme="majorBidi" w:cstheme="majorBidi"/>
          <w:sz w:val="24"/>
          <w:szCs w:val="24"/>
        </w:rPr>
        <w:t xml:space="preserve"> </w:t>
      </w:r>
      <w:r w:rsidRPr="00C22C8B">
        <w:rPr>
          <w:rFonts w:asciiTheme="majorBidi" w:hAnsiTheme="majorBidi" w:cstheme="majorBidi"/>
          <w:sz w:val="24"/>
          <w:szCs w:val="24"/>
          <w:rtl/>
        </w:rPr>
        <w:t>رؤية المملكة العربية السعودية 2030. الرياض: مجلس الشؤون الاقتصادية والتنمية</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w:t>
      </w:r>
      <w:r w:rsidRPr="00C22C8B">
        <w:rPr>
          <w:rFonts w:asciiTheme="majorBidi" w:hAnsiTheme="majorBidi" w:cstheme="majorBidi"/>
          <w:i/>
          <w:iCs/>
          <w:sz w:val="24"/>
          <w:szCs w:val="24"/>
          <w:rtl/>
        </w:rPr>
        <w:t>النسخة العربية من رؤية 2030؛ وثيقة استراتيجية تهدف إلى تنويع الاقتصاد السعودي وتقليل الاعتماد على النفط وتعزيز الشراكات مع القطاع الخاص</w:t>
      </w:r>
      <w:r w:rsidRPr="00C22C8B">
        <w:rPr>
          <w:rFonts w:asciiTheme="majorBidi" w:hAnsiTheme="majorBidi" w:cstheme="majorBidi"/>
          <w:i/>
          <w:iCs/>
          <w:sz w:val="24"/>
          <w:szCs w:val="24"/>
        </w:rPr>
        <w:t>.)</w:t>
      </w:r>
    </w:p>
    <w:p w14:paraId="04E698C7" w14:textId="77777777" w:rsidR="00C22C8B" w:rsidRPr="00C22C8B" w:rsidRDefault="00C22C8B" w:rsidP="00EB2BA1">
      <w:pPr>
        <w:numPr>
          <w:ilvl w:val="0"/>
          <w:numId w:val="37"/>
        </w:numPr>
        <w:spacing w:line="360" w:lineRule="auto"/>
        <w:rPr>
          <w:rFonts w:asciiTheme="majorBidi" w:hAnsiTheme="majorBidi" w:cstheme="majorBidi"/>
          <w:sz w:val="24"/>
          <w:szCs w:val="24"/>
        </w:rPr>
      </w:pPr>
      <w:r w:rsidRPr="00C22C8B">
        <w:rPr>
          <w:rFonts w:asciiTheme="majorBidi" w:hAnsiTheme="majorBidi" w:cstheme="majorBidi"/>
          <w:b/>
          <w:bCs/>
          <w:sz w:val="24"/>
          <w:szCs w:val="24"/>
          <w:rtl/>
        </w:rPr>
        <w:t>وزارة الطاقة</w:t>
      </w:r>
      <w:r w:rsidRPr="00C22C8B">
        <w:rPr>
          <w:rFonts w:asciiTheme="majorBidi" w:hAnsiTheme="majorBidi" w:cstheme="majorBidi"/>
          <w:b/>
          <w:bCs/>
          <w:sz w:val="24"/>
          <w:szCs w:val="24"/>
        </w:rPr>
        <w:t>. (2022).</w:t>
      </w:r>
      <w:r w:rsidRPr="00C22C8B">
        <w:rPr>
          <w:rFonts w:asciiTheme="majorBidi" w:hAnsiTheme="majorBidi" w:cstheme="majorBidi"/>
          <w:sz w:val="24"/>
          <w:szCs w:val="24"/>
        </w:rPr>
        <w:t xml:space="preserve"> </w:t>
      </w:r>
      <w:r w:rsidRPr="00C22C8B">
        <w:rPr>
          <w:rFonts w:asciiTheme="majorBidi" w:hAnsiTheme="majorBidi" w:cstheme="majorBidi"/>
          <w:sz w:val="24"/>
          <w:szCs w:val="24"/>
          <w:rtl/>
        </w:rPr>
        <w:t>التقرير السنوي لقطاع الطاقة المتجددة في المملكة العربية السعودية. الرياض: وزارة الطاقة</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w:t>
      </w:r>
      <w:r w:rsidRPr="00C22C8B">
        <w:rPr>
          <w:rFonts w:asciiTheme="majorBidi" w:hAnsiTheme="majorBidi" w:cstheme="majorBidi"/>
          <w:i/>
          <w:iCs/>
          <w:sz w:val="24"/>
          <w:szCs w:val="24"/>
          <w:rtl/>
        </w:rPr>
        <w:t>تقرير حكومي يستعرض مستجدات ومؤشرات قطاع الطاقة المتجددة في المملكة، بما في ذلك مبادرات الشراكة مع الشركات العالمية ومستوى التقدم نحو أهداف</w:t>
      </w:r>
      <w:r w:rsidRPr="00C22C8B">
        <w:rPr>
          <w:rFonts w:asciiTheme="majorBidi" w:hAnsiTheme="majorBidi" w:cstheme="majorBidi"/>
          <w:i/>
          <w:iCs/>
          <w:sz w:val="24"/>
          <w:szCs w:val="24"/>
        </w:rPr>
        <w:t xml:space="preserve"> Vision 2030 </w:t>
      </w:r>
      <w:r w:rsidRPr="00C22C8B">
        <w:rPr>
          <w:rFonts w:asciiTheme="majorBidi" w:hAnsiTheme="majorBidi" w:cstheme="majorBidi"/>
          <w:i/>
          <w:iCs/>
          <w:sz w:val="24"/>
          <w:szCs w:val="24"/>
          <w:rtl/>
        </w:rPr>
        <w:t>في مجال الطاقة</w:t>
      </w:r>
      <w:r w:rsidRPr="00C22C8B">
        <w:rPr>
          <w:rFonts w:asciiTheme="majorBidi" w:hAnsiTheme="majorBidi" w:cstheme="majorBidi"/>
          <w:i/>
          <w:iCs/>
          <w:sz w:val="24"/>
          <w:szCs w:val="24"/>
        </w:rPr>
        <w:t>.)</w:t>
      </w:r>
    </w:p>
    <w:p w14:paraId="1D7FBDC5" w14:textId="77777777" w:rsidR="00C22C8B" w:rsidRPr="00C22C8B" w:rsidRDefault="00C22C8B" w:rsidP="00EB2BA1">
      <w:pPr>
        <w:numPr>
          <w:ilvl w:val="0"/>
          <w:numId w:val="37"/>
        </w:numPr>
        <w:spacing w:line="360" w:lineRule="auto"/>
        <w:rPr>
          <w:rFonts w:asciiTheme="majorBidi" w:hAnsiTheme="majorBidi" w:cstheme="majorBidi"/>
          <w:sz w:val="24"/>
          <w:szCs w:val="24"/>
        </w:rPr>
      </w:pPr>
      <w:r w:rsidRPr="00C22C8B">
        <w:rPr>
          <w:rFonts w:asciiTheme="majorBidi" w:hAnsiTheme="majorBidi" w:cstheme="majorBidi"/>
          <w:b/>
          <w:bCs/>
          <w:sz w:val="24"/>
          <w:szCs w:val="24"/>
          <w:rtl/>
        </w:rPr>
        <w:t>الشركة السعودية للكهرباء</w:t>
      </w:r>
      <w:r w:rsidRPr="00C22C8B">
        <w:rPr>
          <w:rFonts w:asciiTheme="majorBidi" w:hAnsiTheme="majorBidi" w:cstheme="majorBidi"/>
          <w:b/>
          <w:bCs/>
          <w:sz w:val="24"/>
          <w:szCs w:val="24"/>
        </w:rPr>
        <w:t>. (2021).</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tl/>
        </w:rPr>
        <w:t>تقرير الاستدامة</w:t>
      </w:r>
      <w:r w:rsidRPr="00C22C8B">
        <w:rPr>
          <w:rFonts w:asciiTheme="majorBidi" w:hAnsiTheme="majorBidi" w:cstheme="majorBidi"/>
          <w:sz w:val="24"/>
          <w:szCs w:val="24"/>
        </w:rPr>
        <w:t xml:space="preserve">. </w:t>
      </w:r>
      <w:r w:rsidRPr="00C22C8B">
        <w:rPr>
          <w:rFonts w:asciiTheme="majorBidi" w:hAnsiTheme="majorBidi" w:cstheme="majorBidi"/>
          <w:sz w:val="24"/>
          <w:szCs w:val="24"/>
          <w:rtl/>
        </w:rPr>
        <w:t>الرياض: الشركة السعودية للكهرباء</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Pr>
        <w:t>(</w:t>
      </w:r>
      <w:r w:rsidRPr="00C22C8B">
        <w:rPr>
          <w:rFonts w:asciiTheme="majorBidi" w:hAnsiTheme="majorBidi" w:cstheme="majorBidi"/>
          <w:i/>
          <w:iCs/>
          <w:sz w:val="24"/>
          <w:szCs w:val="24"/>
          <w:rtl/>
        </w:rPr>
        <w:t>تقرير يوضح جهود الشركة في مجالات الاستدامة والابتكار والشراكات الاستراتيجية لتطوير خدمات الكهرباء تماشياً مع رؤية المملكة</w:t>
      </w:r>
      <w:r w:rsidRPr="00C22C8B">
        <w:rPr>
          <w:rFonts w:asciiTheme="majorBidi" w:hAnsiTheme="majorBidi" w:cstheme="majorBidi"/>
          <w:i/>
          <w:iCs/>
          <w:sz w:val="24"/>
          <w:szCs w:val="24"/>
        </w:rPr>
        <w:t>.)</w:t>
      </w:r>
    </w:p>
    <w:p w14:paraId="75CD20BF" w14:textId="343D3C54" w:rsidR="004353A5" w:rsidRPr="00A81672" w:rsidRDefault="00C22C8B" w:rsidP="00A81672">
      <w:pPr>
        <w:numPr>
          <w:ilvl w:val="0"/>
          <w:numId w:val="37"/>
        </w:numPr>
        <w:spacing w:line="360" w:lineRule="auto"/>
        <w:rPr>
          <w:rFonts w:asciiTheme="majorBidi" w:hAnsiTheme="majorBidi" w:cstheme="majorBidi"/>
          <w:sz w:val="24"/>
          <w:szCs w:val="24"/>
        </w:rPr>
      </w:pPr>
      <w:r w:rsidRPr="00C22C8B">
        <w:rPr>
          <w:rFonts w:asciiTheme="majorBidi" w:hAnsiTheme="majorBidi" w:cstheme="majorBidi"/>
          <w:b/>
          <w:bCs/>
          <w:sz w:val="24"/>
          <w:szCs w:val="24"/>
          <w:rtl/>
        </w:rPr>
        <w:t>الغامدي، أحمد</w:t>
      </w:r>
      <w:r w:rsidRPr="00C22C8B">
        <w:rPr>
          <w:rFonts w:asciiTheme="majorBidi" w:hAnsiTheme="majorBidi" w:cstheme="majorBidi"/>
          <w:b/>
          <w:bCs/>
          <w:sz w:val="24"/>
          <w:szCs w:val="24"/>
        </w:rPr>
        <w:t>. (2020).</w:t>
      </w:r>
      <w:r w:rsidRPr="00C22C8B">
        <w:rPr>
          <w:rFonts w:asciiTheme="majorBidi" w:hAnsiTheme="majorBidi" w:cstheme="majorBidi"/>
          <w:sz w:val="24"/>
          <w:szCs w:val="24"/>
        </w:rPr>
        <w:t xml:space="preserve"> </w:t>
      </w:r>
      <w:r w:rsidRPr="00C22C8B">
        <w:rPr>
          <w:rFonts w:asciiTheme="majorBidi" w:hAnsiTheme="majorBidi" w:cstheme="majorBidi"/>
          <w:sz w:val="24"/>
          <w:szCs w:val="24"/>
          <w:rtl/>
        </w:rPr>
        <w:t>استراتيجية الشراكة بين القطاعين العام والخاص في قطاع الطاقة السعودي</w:t>
      </w:r>
      <w:r w:rsidRPr="00C22C8B">
        <w:rPr>
          <w:rFonts w:asciiTheme="majorBidi" w:hAnsiTheme="majorBidi" w:cstheme="majorBidi"/>
          <w:sz w:val="24"/>
          <w:szCs w:val="24"/>
        </w:rPr>
        <w:t xml:space="preserve">. </w:t>
      </w:r>
      <w:r w:rsidRPr="00C22C8B">
        <w:rPr>
          <w:rFonts w:asciiTheme="majorBidi" w:hAnsiTheme="majorBidi" w:cstheme="majorBidi"/>
          <w:i/>
          <w:iCs/>
          <w:sz w:val="24"/>
          <w:szCs w:val="24"/>
          <w:rtl/>
        </w:rPr>
        <w:t>مجلة الإدارة العامة</w:t>
      </w:r>
      <w:r w:rsidRPr="00C22C8B">
        <w:rPr>
          <w:rFonts w:asciiTheme="majorBidi" w:hAnsiTheme="majorBidi" w:cstheme="majorBidi"/>
          <w:sz w:val="24"/>
          <w:szCs w:val="24"/>
        </w:rPr>
        <w:t xml:space="preserve">, 60(2), 33–47. </w:t>
      </w:r>
      <w:r w:rsidRPr="00C22C8B">
        <w:rPr>
          <w:rFonts w:asciiTheme="majorBidi" w:hAnsiTheme="majorBidi" w:cstheme="majorBidi"/>
          <w:i/>
          <w:iCs/>
          <w:sz w:val="24"/>
          <w:szCs w:val="24"/>
        </w:rPr>
        <w:t>(</w:t>
      </w:r>
      <w:r w:rsidRPr="00C22C8B">
        <w:rPr>
          <w:rFonts w:asciiTheme="majorBidi" w:hAnsiTheme="majorBidi" w:cstheme="majorBidi"/>
          <w:i/>
          <w:iCs/>
          <w:sz w:val="24"/>
          <w:szCs w:val="24"/>
          <w:rtl/>
        </w:rPr>
        <w:t>دراسة تحليلية باللغة العربية حول نماذج الشراكة بين الحكومة والشركات الخاصة في قطاع الطاقة السعودي، وفوائدها في نقل المعرفة وجذب الاستثمار</w:t>
      </w:r>
      <w:r w:rsidRPr="00C22C8B">
        <w:rPr>
          <w:rFonts w:asciiTheme="majorBidi" w:hAnsiTheme="majorBidi" w:cstheme="majorBidi"/>
          <w:i/>
          <w:iCs/>
          <w:sz w:val="24"/>
          <w:szCs w:val="24"/>
        </w:rPr>
        <w:t>.)</w:t>
      </w:r>
    </w:p>
    <w:p w14:paraId="1ABC35BC" w14:textId="5B23C3C5" w:rsidR="00585467" w:rsidRPr="00585467" w:rsidRDefault="00C22C8B" w:rsidP="00585467">
      <w:pPr>
        <w:spacing w:line="360" w:lineRule="auto"/>
        <w:rPr>
          <w:rFonts w:asciiTheme="majorBidi" w:hAnsiTheme="majorBidi" w:cstheme="majorBidi"/>
          <w:b/>
          <w:bCs/>
          <w:sz w:val="24"/>
          <w:szCs w:val="24"/>
        </w:rPr>
      </w:pPr>
      <w:r w:rsidRPr="00262421">
        <w:rPr>
          <w:rFonts w:asciiTheme="majorBidi" w:hAnsiTheme="majorBidi" w:cstheme="majorBidi"/>
          <w:b/>
          <w:bCs/>
          <w:sz w:val="24"/>
          <w:szCs w:val="24"/>
        </w:rPr>
        <w:lastRenderedPageBreak/>
        <w:t>Appendices</w:t>
      </w:r>
    </w:p>
    <w:p w14:paraId="41662BDD" w14:textId="77777777" w:rsidR="00585467" w:rsidRPr="00585467" w:rsidRDefault="00585467" w:rsidP="00585467">
      <w:pPr>
        <w:spacing w:line="360" w:lineRule="auto"/>
        <w:rPr>
          <w:rFonts w:asciiTheme="majorBidi" w:hAnsiTheme="majorBidi" w:cstheme="majorBidi"/>
          <w:b/>
          <w:bCs/>
          <w:sz w:val="24"/>
          <w:szCs w:val="24"/>
        </w:rPr>
      </w:pPr>
      <w:r w:rsidRPr="00585467">
        <w:rPr>
          <w:rFonts w:asciiTheme="majorBidi" w:hAnsiTheme="majorBidi" w:cstheme="majorBidi"/>
          <w:b/>
          <w:bCs/>
          <w:sz w:val="24"/>
          <w:szCs w:val="24"/>
        </w:rPr>
        <w:t>Appendix A: Summary of Case Study Companies</w:t>
      </w:r>
    </w:p>
    <w:p w14:paraId="07AD8A77" w14:textId="77777777" w:rsidR="00585467" w:rsidRPr="00585467" w:rsidRDefault="00585467" w:rsidP="00585467">
      <w:pPr>
        <w:spacing w:line="360" w:lineRule="auto"/>
        <w:rPr>
          <w:rFonts w:asciiTheme="majorBidi" w:hAnsiTheme="majorBidi" w:cstheme="majorBidi"/>
          <w:sz w:val="24"/>
          <w:szCs w:val="24"/>
        </w:rPr>
      </w:pPr>
      <w:r w:rsidRPr="00585467">
        <w:rPr>
          <w:rFonts w:asciiTheme="majorBidi" w:hAnsiTheme="majorBidi" w:cstheme="majorBidi"/>
          <w:b/>
          <w:bCs/>
          <w:i/>
          <w:iCs/>
          <w:sz w:val="24"/>
          <w:szCs w:val="24"/>
        </w:rPr>
        <w:t>ACWA Power (Saudi Arabia)</w:t>
      </w:r>
      <w:r w:rsidRPr="00585467">
        <w:rPr>
          <w:rFonts w:asciiTheme="majorBidi" w:hAnsiTheme="majorBidi" w:cstheme="majorBidi"/>
          <w:sz w:val="24"/>
          <w:szCs w:val="24"/>
        </w:rPr>
        <w:br/>
        <w:t>A leading Saudi developer and operator of power and water plants, ACWA Power has expanded significantly through public-private partnerships and global consortia. The company plays a key role in renewable energy initiatives—such as the NEOM green hydrogen project—and is recognized for its innovative financial models and early adoption of solar energy technologies.</w:t>
      </w:r>
    </w:p>
    <w:p w14:paraId="27A5AE28" w14:textId="77777777" w:rsidR="00585467" w:rsidRPr="00585467" w:rsidRDefault="00585467" w:rsidP="00585467">
      <w:pPr>
        <w:spacing w:line="360" w:lineRule="auto"/>
        <w:rPr>
          <w:rFonts w:asciiTheme="majorBidi" w:hAnsiTheme="majorBidi" w:cstheme="majorBidi"/>
          <w:sz w:val="24"/>
          <w:szCs w:val="24"/>
        </w:rPr>
      </w:pPr>
      <w:r w:rsidRPr="00585467">
        <w:rPr>
          <w:rFonts w:asciiTheme="majorBidi" w:hAnsiTheme="majorBidi" w:cstheme="majorBidi"/>
          <w:b/>
          <w:bCs/>
          <w:i/>
          <w:iCs/>
          <w:sz w:val="24"/>
          <w:szCs w:val="24"/>
        </w:rPr>
        <w:t>Saudi Aramco (Saudi Arabia)</w:t>
      </w:r>
      <w:r w:rsidRPr="00585467">
        <w:rPr>
          <w:rFonts w:asciiTheme="majorBidi" w:hAnsiTheme="majorBidi" w:cstheme="majorBidi"/>
          <w:sz w:val="24"/>
          <w:szCs w:val="24"/>
        </w:rPr>
        <w:br/>
        <w:t xml:space="preserve">As the national oil company and a global energy powerhouse, Aramco exemplifies strategic diversification through sustained investment in R&amp;D, innovation centers, and startup incubation programs (e.g., </w:t>
      </w:r>
      <w:proofErr w:type="spellStart"/>
      <w:r w:rsidRPr="00585467">
        <w:rPr>
          <w:rFonts w:asciiTheme="majorBidi" w:hAnsiTheme="majorBidi" w:cstheme="majorBidi"/>
          <w:sz w:val="24"/>
          <w:szCs w:val="24"/>
        </w:rPr>
        <w:t>Wa’ed</w:t>
      </w:r>
      <w:proofErr w:type="spellEnd"/>
      <w:r w:rsidRPr="00585467">
        <w:rPr>
          <w:rFonts w:asciiTheme="majorBidi" w:hAnsiTheme="majorBidi" w:cstheme="majorBidi"/>
          <w:sz w:val="24"/>
          <w:szCs w:val="24"/>
        </w:rPr>
        <w:t>). Its localization initiatives, notably the IKTVA program, have helped build resilient domestic supply chains and advance industrial growth aligned with Vision 2030.</w:t>
      </w:r>
    </w:p>
    <w:p w14:paraId="1A16ED7B" w14:textId="77777777" w:rsidR="00585467" w:rsidRPr="00585467" w:rsidRDefault="00585467" w:rsidP="00585467">
      <w:pPr>
        <w:spacing w:line="360" w:lineRule="auto"/>
        <w:rPr>
          <w:rFonts w:asciiTheme="majorBidi" w:hAnsiTheme="majorBidi" w:cstheme="majorBidi"/>
          <w:sz w:val="24"/>
          <w:szCs w:val="24"/>
        </w:rPr>
      </w:pPr>
      <w:r w:rsidRPr="00585467">
        <w:rPr>
          <w:rFonts w:asciiTheme="majorBidi" w:hAnsiTheme="majorBidi" w:cstheme="majorBidi"/>
          <w:b/>
          <w:bCs/>
          <w:i/>
          <w:iCs/>
          <w:sz w:val="24"/>
          <w:szCs w:val="24"/>
        </w:rPr>
        <w:t>General Electric (USA)</w:t>
      </w:r>
      <w:r w:rsidRPr="00585467">
        <w:rPr>
          <w:rFonts w:asciiTheme="majorBidi" w:hAnsiTheme="majorBidi" w:cstheme="majorBidi"/>
          <w:sz w:val="24"/>
          <w:szCs w:val="24"/>
        </w:rPr>
        <w:br/>
        <w:t>GE has had a longstanding presence in Saudi Arabia, evolving from an equipment supplier into a key local partner in manufacturing and innovation. Through joint ventures, collaborations with Aramco and SEC, and academic partnerships, GE has contributed to workforce development and introduced advanced technologies tailored to the Saudi energy context.</w:t>
      </w:r>
    </w:p>
    <w:p w14:paraId="7CA13CF4" w14:textId="77777777" w:rsidR="00585467" w:rsidRPr="00585467" w:rsidRDefault="00585467" w:rsidP="00585467">
      <w:pPr>
        <w:spacing w:line="360" w:lineRule="auto"/>
        <w:rPr>
          <w:rFonts w:asciiTheme="majorBidi" w:hAnsiTheme="majorBidi" w:cstheme="majorBidi"/>
          <w:sz w:val="24"/>
          <w:szCs w:val="24"/>
        </w:rPr>
      </w:pPr>
      <w:r w:rsidRPr="00585467">
        <w:rPr>
          <w:rFonts w:asciiTheme="majorBidi" w:hAnsiTheme="majorBidi" w:cstheme="majorBidi"/>
          <w:b/>
          <w:bCs/>
          <w:sz w:val="24"/>
          <w:szCs w:val="24"/>
        </w:rPr>
        <w:t>Combined Insights</w:t>
      </w:r>
      <w:r w:rsidRPr="00585467">
        <w:rPr>
          <w:rFonts w:asciiTheme="majorBidi" w:hAnsiTheme="majorBidi" w:cstheme="majorBidi"/>
          <w:sz w:val="24"/>
          <w:szCs w:val="24"/>
        </w:rPr>
        <w:br/>
        <w:t>These case studies represent three distinct yet complementary strategies:</w:t>
      </w:r>
    </w:p>
    <w:p w14:paraId="50AC6276" w14:textId="77777777" w:rsidR="00585467" w:rsidRPr="00585467" w:rsidRDefault="00585467" w:rsidP="00585467">
      <w:pPr>
        <w:numPr>
          <w:ilvl w:val="0"/>
          <w:numId w:val="50"/>
        </w:numPr>
        <w:spacing w:line="360" w:lineRule="auto"/>
        <w:rPr>
          <w:rFonts w:asciiTheme="majorBidi" w:hAnsiTheme="majorBidi" w:cstheme="majorBidi"/>
          <w:sz w:val="24"/>
          <w:szCs w:val="24"/>
        </w:rPr>
      </w:pPr>
      <w:r w:rsidRPr="00585467">
        <w:rPr>
          <w:rFonts w:asciiTheme="majorBidi" w:hAnsiTheme="majorBidi" w:cstheme="majorBidi"/>
          <w:sz w:val="24"/>
          <w:szCs w:val="24"/>
        </w:rPr>
        <w:t>Domestic firms scaling through global alliances (e.g., ACWA Power)</w:t>
      </w:r>
    </w:p>
    <w:p w14:paraId="004A3298" w14:textId="77777777" w:rsidR="00585467" w:rsidRPr="00585467" w:rsidRDefault="00585467" w:rsidP="00585467">
      <w:pPr>
        <w:numPr>
          <w:ilvl w:val="0"/>
          <w:numId w:val="50"/>
        </w:numPr>
        <w:spacing w:line="360" w:lineRule="auto"/>
        <w:rPr>
          <w:rFonts w:asciiTheme="majorBidi" w:hAnsiTheme="majorBidi" w:cstheme="majorBidi"/>
          <w:sz w:val="24"/>
          <w:szCs w:val="24"/>
        </w:rPr>
      </w:pPr>
      <w:r w:rsidRPr="00585467">
        <w:rPr>
          <w:rFonts w:asciiTheme="majorBidi" w:hAnsiTheme="majorBidi" w:cstheme="majorBidi"/>
          <w:sz w:val="24"/>
          <w:szCs w:val="24"/>
        </w:rPr>
        <w:t>National incumbents advancing innovation and diversification (e.g., Aramco)</w:t>
      </w:r>
    </w:p>
    <w:p w14:paraId="3983B002" w14:textId="77777777" w:rsidR="00585467" w:rsidRPr="00585467" w:rsidRDefault="00585467" w:rsidP="00585467">
      <w:pPr>
        <w:numPr>
          <w:ilvl w:val="0"/>
          <w:numId w:val="50"/>
        </w:numPr>
        <w:spacing w:line="360" w:lineRule="auto"/>
        <w:rPr>
          <w:rFonts w:asciiTheme="majorBidi" w:hAnsiTheme="majorBidi" w:cstheme="majorBidi"/>
          <w:sz w:val="24"/>
          <w:szCs w:val="24"/>
        </w:rPr>
      </w:pPr>
      <w:r w:rsidRPr="00585467">
        <w:rPr>
          <w:rFonts w:asciiTheme="majorBidi" w:hAnsiTheme="majorBidi" w:cstheme="majorBidi"/>
          <w:sz w:val="24"/>
          <w:szCs w:val="24"/>
        </w:rPr>
        <w:t>International entrants embedding locally through partnerships (e.g., GE)</w:t>
      </w:r>
    </w:p>
    <w:p w14:paraId="151ECA83" w14:textId="0C8577A5" w:rsidR="00585467" w:rsidRPr="00585467" w:rsidRDefault="00585467" w:rsidP="00262421">
      <w:pPr>
        <w:spacing w:line="360" w:lineRule="auto"/>
        <w:rPr>
          <w:rFonts w:asciiTheme="majorBidi" w:hAnsiTheme="majorBidi" w:cstheme="majorBidi"/>
          <w:sz w:val="24"/>
          <w:szCs w:val="24"/>
        </w:rPr>
      </w:pPr>
      <w:r w:rsidRPr="00585467">
        <w:rPr>
          <w:rFonts w:asciiTheme="majorBidi" w:hAnsiTheme="majorBidi" w:cstheme="majorBidi"/>
          <w:sz w:val="24"/>
          <w:szCs w:val="24"/>
        </w:rPr>
        <w:t>Collectively, they reinforce the core finding of this research: market entry strategy, strategic partnerships, and innovation are key enablers of long-term business development in Saudi Arabia’s energy sector.</w:t>
      </w:r>
    </w:p>
    <w:p w14:paraId="594BB8DD" w14:textId="77777777" w:rsidR="00585467" w:rsidRPr="00585467" w:rsidRDefault="00585467" w:rsidP="00585467">
      <w:pPr>
        <w:spacing w:line="360" w:lineRule="auto"/>
        <w:rPr>
          <w:rFonts w:asciiTheme="majorBidi" w:hAnsiTheme="majorBidi" w:cstheme="majorBidi"/>
          <w:b/>
          <w:bCs/>
          <w:sz w:val="24"/>
          <w:szCs w:val="24"/>
        </w:rPr>
      </w:pPr>
      <w:r w:rsidRPr="00585467">
        <w:rPr>
          <w:rFonts w:asciiTheme="majorBidi" w:hAnsiTheme="majorBidi" w:cstheme="majorBidi"/>
          <w:b/>
          <w:bCs/>
          <w:sz w:val="24"/>
          <w:szCs w:val="24"/>
        </w:rPr>
        <w:lastRenderedPageBreak/>
        <w:t>Appendix B: SWOT Matrix of the Saudi Energy Sector</w:t>
      </w:r>
    </w:p>
    <w:p w14:paraId="48FFD5BE" w14:textId="77777777" w:rsidR="00585467" w:rsidRPr="00585467" w:rsidRDefault="00585467" w:rsidP="00262421">
      <w:pPr>
        <w:spacing w:line="276" w:lineRule="auto"/>
        <w:rPr>
          <w:rFonts w:asciiTheme="majorBidi" w:hAnsiTheme="majorBidi" w:cstheme="majorBidi"/>
          <w:b/>
          <w:bCs/>
          <w:i/>
          <w:iCs/>
          <w:sz w:val="24"/>
          <w:szCs w:val="24"/>
        </w:rPr>
      </w:pPr>
      <w:r w:rsidRPr="00585467">
        <w:rPr>
          <w:rFonts w:asciiTheme="majorBidi" w:hAnsiTheme="majorBidi" w:cstheme="majorBidi"/>
          <w:b/>
          <w:bCs/>
          <w:i/>
          <w:iCs/>
          <w:sz w:val="24"/>
          <w:szCs w:val="24"/>
        </w:rPr>
        <w:t>Strengths</w:t>
      </w:r>
    </w:p>
    <w:p w14:paraId="19B7C39A" w14:textId="77777777" w:rsidR="00585467" w:rsidRPr="00585467" w:rsidRDefault="00585467" w:rsidP="00262421">
      <w:pPr>
        <w:numPr>
          <w:ilvl w:val="0"/>
          <w:numId w:val="51"/>
        </w:numPr>
        <w:spacing w:line="276" w:lineRule="auto"/>
        <w:rPr>
          <w:rFonts w:asciiTheme="majorBidi" w:hAnsiTheme="majorBidi" w:cstheme="majorBidi"/>
          <w:sz w:val="24"/>
          <w:szCs w:val="24"/>
        </w:rPr>
      </w:pPr>
      <w:r w:rsidRPr="00585467">
        <w:rPr>
          <w:rFonts w:asciiTheme="majorBidi" w:hAnsiTheme="majorBidi" w:cstheme="majorBidi"/>
          <w:sz w:val="24"/>
          <w:szCs w:val="24"/>
        </w:rPr>
        <w:t>Abundant natural resources (oil and gas)</w:t>
      </w:r>
    </w:p>
    <w:p w14:paraId="39D79BCD" w14:textId="77777777" w:rsidR="00585467" w:rsidRPr="00585467" w:rsidRDefault="00585467" w:rsidP="00262421">
      <w:pPr>
        <w:numPr>
          <w:ilvl w:val="0"/>
          <w:numId w:val="51"/>
        </w:numPr>
        <w:spacing w:line="276" w:lineRule="auto"/>
        <w:rPr>
          <w:rFonts w:asciiTheme="majorBidi" w:hAnsiTheme="majorBidi" w:cstheme="majorBidi"/>
          <w:sz w:val="24"/>
          <w:szCs w:val="24"/>
        </w:rPr>
      </w:pPr>
      <w:r w:rsidRPr="00585467">
        <w:rPr>
          <w:rFonts w:asciiTheme="majorBidi" w:hAnsiTheme="majorBidi" w:cstheme="majorBidi"/>
          <w:sz w:val="24"/>
          <w:szCs w:val="24"/>
        </w:rPr>
        <w:t>Strong policy direction and support under Vision 2030</w:t>
      </w:r>
    </w:p>
    <w:p w14:paraId="1F80CB6F" w14:textId="77777777" w:rsidR="00585467" w:rsidRPr="00585467" w:rsidRDefault="00585467" w:rsidP="00262421">
      <w:pPr>
        <w:numPr>
          <w:ilvl w:val="0"/>
          <w:numId w:val="51"/>
        </w:numPr>
        <w:spacing w:line="276" w:lineRule="auto"/>
        <w:rPr>
          <w:rFonts w:asciiTheme="majorBidi" w:hAnsiTheme="majorBidi" w:cstheme="majorBidi"/>
          <w:sz w:val="24"/>
          <w:szCs w:val="24"/>
        </w:rPr>
      </w:pPr>
      <w:r w:rsidRPr="00585467">
        <w:rPr>
          <w:rFonts w:asciiTheme="majorBidi" w:hAnsiTheme="majorBidi" w:cstheme="majorBidi"/>
          <w:sz w:val="24"/>
          <w:szCs w:val="24"/>
        </w:rPr>
        <w:t>World-class infrastructure and leading national players (e.g., Aramco, SABIC)</w:t>
      </w:r>
    </w:p>
    <w:p w14:paraId="2B093180" w14:textId="77777777" w:rsidR="00585467" w:rsidRPr="00585467" w:rsidRDefault="00585467" w:rsidP="00262421">
      <w:pPr>
        <w:spacing w:line="276" w:lineRule="auto"/>
        <w:rPr>
          <w:rFonts w:asciiTheme="majorBidi" w:hAnsiTheme="majorBidi" w:cstheme="majorBidi"/>
          <w:b/>
          <w:bCs/>
          <w:i/>
          <w:iCs/>
          <w:sz w:val="24"/>
          <w:szCs w:val="24"/>
        </w:rPr>
      </w:pPr>
      <w:r w:rsidRPr="00585467">
        <w:rPr>
          <w:rFonts w:asciiTheme="majorBidi" w:hAnsiTheme="majorBidi" w:cstheme="majorBidi"/>
          <w:b/>
          <w:bCs/>
          <w:i/>
          <w:iCs/>
          <w:sz w:val="24"/>
          <w:szCs w:val="24"/>
        </w:rPr>
        <w:t>Weaknesses</w:t>
      </w:r>
    </w:p>
    <w:p w14:paraId="1ABCBC9E" w14:textId="77777777" w:rsidR="00585467" w:rsidRPr="00585467" w:rsidRDefault="00585467" w:rsidP="00262421">
      <w:pPr>
        <w:numPr>
          <w:ilvl w:val="0"/>
          <w:numId w:val="52"/>
        </w:numPr>
        <w:spacing w:line="276" w:lineRule="auto"/>
        <w:rPr>
          <w:rFonts w:asciiTheme="majorBidi" w:hAnsiTheme="majorBidi" w:cstheme="majorBidi"/>
          <w:sz w:val="24"/>
          <w:szCs w:val="24"/>
        </w:rPr>
      </w:pPr>
      <w:r w:rsidRPr="00585467">
        <w:rPr>
          <w:rFonts w:asciiTheme="majorBidi" w:hAnsiTheme="majorBidi" w:cstheme="majorBidi"/>
          <w:sz w:val="24"/>
          <w:szCs w:val="24"/>
        </w:rPr>
        <w:t>Historic over-reliance on oil revenues</w:t>
      </w:r>
    </w:p>
    <w:p w14:paraId="559CA6F4" w14:textId="77777777" w:rsidR="00585467" w:rsidRPr="00585467" w:rsidRDefault="00585467" w:rsidP="00262421">
      <w:pPr>
        <w:numPr>
          <w:ilvl w:val="0"/>
          <w:numId w:val="52"/>
        </w:numPr>
        <w:spacing w:line="276" w:lineRule="auto"/>
        <w:rPr>
          <w:rFonts w:asciiTheme="majorBidi" w:hAnsiTheme="majorBidi" w:cstheme="majorBidi"/>
          <w:sz w:val="24"/>
          <w:szCs w:val="24"/>
        </w:rPr>
      </w:pPr>
      <w:r w:rsidRPr="00585467">
        <w:rPr>
          <w:rFonts w:asciiTheme="majorBidi" w:hAnsiTheme="majorBidi" w:cstheme="majorBidi"/>
          <w:sz w:val="24"/>
          <w:szCs w:val="24"/>
        </w:rPr>
        <w:t>Underdeveloped renewable energy segments until recently</w:t>
      </w:r>
    </w:p>
    <w:p w14:paraId="75BDC943" w14:textId="77777777" w:rsidR="00585467" w:rsidRPr="00585467" w:rsidRDefault="00585467" w:rsidP="00262421">
      <w:pPr>
        <w:numPr>
          <w:ilvl w:val="0"/>
          <w:numId w:val="52"/>
        </w:numPr>
        <w:spacing w:line="276" w:lineRule="auto"/>
        <w:rPr>
          <w:rFonts w:asciiTheme="majorBidi" w:hAnsiTheme="majorBidi" w:cstheme="majorBidi"/>
          <w:sz w:val="24"/>
          <w:szCs w:val="24"/>
        </w:rPr>
      </w:pPr>
      <w:r w:rsidRPr="00585467">
        <w:rPr>
          <w:rFonts w:asciiTheme="majorBidi" w:hAnsiTheme="majorBidi" w:cstheme="majorBidi"/>
          <w:sz w:val="24"/>
          <w:szCs w:val="24"/>
        </w:rPr>
        <w:t>Skills shortages in advanced technologies and R&amp;D</w:t>
      </w:r>
    </w:p>
    <w:p w14:paraId="0CDEFB64" w14:textId="77777777" w:rsidR="00585467" w:rsidRPr="00585467" w:rsidRDefault="00585467" w:rsidP="00262421">
      <w:pPr>
        <w:numPr>
          <w:ilvl w:val="0"/>
          <w:numId w:val="52"/>
        </w:numPr>
        <w:spacing w:line="276" w:lineRule="auto"/>
        <w:rPr>
          <w:rFonts w:asciiTheme="majorBidi" w:hAnsiTheme="majorBidi" w:cstheme="majorBidi"/>
          <w:sz w:val="24"/>
          <w:szCs w:val="24"/>
        </w:rPr>
      </w:pPr>
      <w:r w:rsidRPr="00585467">
        <w:rPr>
          <w:rFonts w:asciiTheme="majorBidi" w:hAnsiTheme="majorBidi" w:cstheme="majorBidi"/>
          <w:sz w:val="24"/>
          <w:szCs w:val="24"/>
        </w:rPr>
        <w:t>Inefficient energy use due to legacy subsidy structures</w:t>
      </w:r>
    </w:p>
    <w:p w14:paraId="615EDC1B" w14:textId="77777777" w:rsidR="00585467" w:rsidRPr="00585467" w:rsidRDefault="00585467" w:rsidP="00262421">
      <w:pPr>
        <w:spacing w:line="276" w:lineRule="auto"/>
        <w:rPr>
          <w:rFonts w:asciiTheme="majorBidi" w:hAnsiTheme="majorBidi" w:cstheme="majorBidi"/>
          <w:b/>
          <w:bCs/>
          <w:i/>
          <w:iCs/>
          <w:sz w:val="24"/>
          <w:szCs w:val="24"/>
        </w:rPr>
      </w:pPr>
      <w:r w:rsidRPr="00585467">
        <w:rPr>
          <w:rFonts w:asciiTheme="majorBidi" w:hAnsiTheme="majorBidi" w:cstheme="majorBidi"/>
          <w:b/>
          <w:bCs/>
          <w:i/>
          <w:iCs/>
          <w:sz w:val="24"/>
          <w:szCs w:val="24"/>
        </w:rPr>
        <w:t>Opportunities</w:t>
      </w:r>
    </w:p>
    <w:p w14:paraId="0F2EDB2B" w14:textId="77777777" w:rsidR="00585467" w:rsidRPr="00585467" w:rsidRDefault="00585467" w:rsidP="00262421">
      <w:pPr>
        <w:numPr>
          <w:ilvl w:val="0"/>
          <w:numId w:val="53"/>
        </w:numPr>
        <w:spacing w:line="276" w:lineRule="auto"/>
        <w:rPr>
          <w:rFonts w:asciiTheme="majorBidi" w:hAnsiTheme="majorBidi" w:cstheme="majorBidi"/>
          <w:sz w:val="24"/>
          <w:szCs w:val="24"/>
        </w:rPr>
      </w:pPr>
      <w:r w:rsidRPr="00585467">
        <w:rPr>
          <w:rFonts w:asciiTheme="majorBidi" w:hAnsiTheme="majorBidi" w:cstheme="majorBidi"/>
          <w:sz w:val="24"/>
          <w:szCs w:val="24"/>
        </w:rPr>
        <w:t>Significant potential for solar and wind energy development</w:t>
      </w:r>
    </w:p>
    <w:p w14:paraId="139AAE8E" w14:textId="77777777" w:rsidR="00585467" w:rsidRPr="00585467" w:rsidRDefault="00585467" w:rsidP="00262421">
      <w:pPr>
        <w:numPr>
          <w:ilvl w:val="0"/>
          <w:numId w:val="53"/>
        </w:numPr>
        <w:spacing w:line="276" w:lineRule="auto"/>
        <w:rPr>
          <w:rFonts w:asciiTheme="majorBidi" w:hAnsiTheme="majorBidi" w:cstheme="majorBidi"/>
          <w:sz w:val="24"/>
          <w:szCs w:val="24"/>
        </w:rPr>
      </w:pPr>
      <w:r w:rsidRPr="00585467">
        <w:rPr>
          <w:rFonts w:asciiTheme="majorBidi" w:hAnsiTheme="majorBidi" w:cstheme="majorBidi"/>
          <w:sz w:val="24"/>
          <w:szCs w:val="24"/>
        </w:rPr>
        <w:t>Increased interest from foreign investors and liberalized market access</w:t>
      </w:r>
    </w:p>
    <w:p w14:paraId="30273E53" w14:textId="77777777" w:rsidR="00585467" w:rsidRPr="00585467" w:rsidRDefault="00585467" w:rsidP="00262421">
      <w:pPr>
        <w:numPr>
          <w:ilvl w:val="0"/>
          <w:numId w:val="53"/>
        </w:numPr>
        <w:spacing w:line="276" w:lineRule="auto"/>
        <w:rPr>
          <w:rFonts w:asciiTheme="majorBidi" w:hAnsiTheme="majorBidi" w:cstheme="majorBidi"/>
          <w:sz w:val="24"/>
          <w:szCs w:val="24"/>
        </w:rPr>
      </w:pPr>
      <w:r w:rsidRPr="00585467">
        <w:rPr>
          <w:rFonts w:asciiTheme="majorBidi" w:hAnsiTheme="majorBidi" w:cstheme="majorBidi"/>
          <w:sz w:val="24"/>
          <w:szCs w:val="24"/>
        </w:rPr>
        <w:t>Ambitious reforms, including privatization and energy sector tenders</w:t>
      </w:r>
    </w:p>
    <w:p w14:paraId="6C8ECD97" w14:textId="77777777" w:rsidR="00585467" w:rsidRPr="00585467" w:rsidRDefault="00585467" w:rsidP="00262421">
      <w:pPr>
        <w:numPr>
          <w:ilvl w:val="0"/>
          <w:numId w:val="53"/>
        </w:numPr>
        <w:spacing w:line="276" w:lineRule="auto"/>
        <w:rPr>
          <w:rFonts w:asciiTheme="majorBidi" w:hAnsiTheme="majorBidi" w:cstheme="majorBidi"/>
          <w:sz w:val="24"/>
          <w:szCs w:val="24"/>
        </w:rPr>
      </w:pPr>
      <w:r w:rsidRPr="00585467">
        <w:rPr>
          <w:rFonts w:asciiTheme="majorBidi" w:hAnsiTheme="majorBidi" w:cstheme="majorBidi"/>
          <w:sz w:val="24"/>
          <w:szCs w:val="24"/>
        </w:rPr>
        <w:t>Strategic national goals such as generating 50% of electricity from renewables by 2030</w:t>
      </w:r>
    </w:p>
    <w:p w14:paraId="3D721916" w14:textId="77777777" w:rsidR="00585467" w:rsidRPr="00585467" w:rsidRDefault="00585467" w:rsidP="00262421">
      <w:pPr>
        <w:spacing w:line="276" w:lineRule="auto"/>
        <w:rPr>
          <w:rFonts w:asciiTheme="majorBidi" w:hAnsiTheme="majorBidi" w:cstheme="majorBidi"/>
          <w:b/>
          <w:bCs/>
          <w:i/>
          <w:iCs/>
          <w:sz w:val="24"/>
          <w:szCs w:val="24"/>
        </w:rPr>
      </w:pPr>
      <w:r w:rsidRPr="00585467">
        <w:rPr>
          <w:rFonts w:asciiTheme="majorBidi" w:hAnsiTheme="majorBidi" w:cstheme="majorBidi"/>
          <w:b/>
          <w:bCs/>
          <w:i/>
          <w:iCs/>
          <w:sz w:val="24"/>
          <w:szCs w:val="24"/>
        </w:rPr>
        <w:t>Threats</w:t>
      </w:r>
    </w:p>
    <w:p w14:paraId="5D3924F3" w14:textId="77777777" w:rsidR="00585467" w:rsidRPr="00585467" w:rsidRDefault="00585467" w:rsidP="00262421">
      <w:pPr>
        <w:numPr>
          <w:ilvl w:val="0"/>
          <w:numId w:val="54"/>
        </w:numPr>
        <w:spacing w:line="276" w:lineRule="auto"/>
        <w:rPr>
          <w:rFonts w:asciiTheme="majorBidi" w:hAnsiTheme="majorBidi" w:cstheme="majorBidi"/>
          <w:sz w:val="24"/>
          <w:szCs w:val="24"/>
        </w:rPr>
      </w:pPr>
      <w:r w:rsidRPr="00585467">
        <w:rPr>
          <w:rFonts w:asciiTheme="majorBidi" w:hAnsiTheme="majorBidi" w:cstheme="majorBidi"/>
          <w:sz w:val="24"/>
          <w:szCs w:val="24"/>
        </w:rPr>
        <w:t>Global shift toward clean energy may reduce long-term oil demand</w:t>
      </w:r>
    </w:p>
    <w:p w14:paraId="744B74D0" w14:textId="77777777" w:rsidR="00585467" w:rsidRPr="00585467" w:rsidRDefault="00585467" w:rsidP="00262421">
      <w:pPr>
        <w:numPr>
          <w:ilvl w:val="0"/>
          <w:numId w:val="54"/>
        </w:numPr>
        <w:spacing w:line="276" w:lineRule="auto"/>
        <w:rPr>
          <w:rFonts w:asciiTheme="majorBidi" w:hAnsiTheme="majorBidi" w:cstheme="majorBidi"/>
          <w:sz w:val="24"/>
          <w:szCs w:val="24"/>
        </w:rPr>
      </w:pPr>
      <w:r w:rsidRPr="00585467">
        <w:rPr>
          <w:rFonts w:asciiTheme="majorBidi" w:hAnsiTheme="majorBidi" w:cstheme="majorBidi"/>
          <w:sz w:val="24"/>
          <w:szCs w:val="24"/>
        </w:rPr>
        <w:t>Volatility in oil prices affecting fiscal stability and investment flows</w:t>
      </w:r>
    </w:p>
    <w:p w14:paraId="0DCD370B" w14:textId="77777777" w:rsidR="00585467" w:rsidRPr="00585467" w:rsidRDefault="00585467" w:rsidP="00262421">
      <w:pPr>
        <w:numPr>
          <w:ilvl w:val="0"/>
          <w:numId w:val="54"/>
        </w:numPr>
        <w:spacing w:line="276" w:lineRule="auto"/>
        <w:rPr>
          <w:rFonts w:asciiTheme="majorBidi" w:hAnsiTheme="majorBidi" w:cstheme="majorBidi"/>
          <w:sz w:val="24"/>
          <w:szCs w:val="24"/>
        </w:rPr>
      </w:pPr>
      <w:r w:rsidRPr="00585467">
        <w:rPr>
          <w:rFonts w:asciiTheme="majorBidi" w:hAnsiTheme="majorBidi" w:cstheme="majorBidi"/>
          <w:sz w:val="24"/>
          <w:szCs w:val="24"/>
        </w:rPr>
        <w:t>Regional geopolitical risks impacting energy infrastructure and investor confidence</w:t>
      </w:r>
    </w:p>
    <w:p w14:paraId="14C54EA1" w14:textId="77777777" w:rsidR="00585467" w:rsidRPr="00585467" w:rsidRDefault="00585467" w:rsidP="00585467">
      <w:pPr>
        <w:spacing w:line="360" w:lineRule="auto"/>
        <w:rPr>
          <w:rFonts w:asciiTheme="majorBidi" w:hAnsiTheme="majorBidi" w:cstheme="majorBidi"/>
          <w:sz w:val="24"/>
          <w:szCs w:val="24"/>
        </w:rPr>
      </w:pPr>
      <w:r w:rsidRPr="00585467">
        <w:rPr>
          <w:rFonts w:asciiTheme="majorBidi" w:hAnsiTheme="majorBidi" w:cstheme="majorBidi"/>
          <w:b/>
          <w:bCs/>
          <w:sz w:val="24"/>
          <w:szCs w:val="24"/>
        </w:rPr>
        <w:t>Conclusion</w:t>
      </w:r>
      <w:r w:rsidRPr="00585467">
        <w:rPr>
          <w:rFonts w:asciiTheme="majorBidi" w:hAnsiTheme="majorBidi" w:cstheme="majorBidi"/>
          <w:sz w:val="24"/>
          <w:szCs w:val="24"/>
        </w:rPr>
        <w:br/>
        <w:t>This SWOT analysis highlights the Saudi energy sector’s robust foundation and favorable policy environment. However, to fully capitalize on emerging opportunities, stakeholders must reduce oil dependency, cultivate human capital, and address external risks through strategic innovation and diversification. These findings directly inform the recommendations presented in Chapter 7.</w:t>
      </w:r>
    </w:p>
    <w:p w14:paraId="6DBA5B75" w14:textId="77777777" w:rsidR="00585467" w:rsidRDefault="00585467" w:rsidP="005B051A">
      <w:pPr>
        <w:spacing w:line="360" w:lineRule="auto"/>
        <w:rPr>
          <w:rFonts w:asciiTheme="majorBidi" w:hAnsiTheme="majorBidi" w:cstheme="majorBidi"/>
          <w:b/>
          <w:bCs/>
          <w:sz w:val="24"/>
          <w:szCs w:val="24"/>
        </w:rPr>
      </w:pPr>
    </w:p>
    <w:p w14:paraId="1C9D0309" w14:textId="77777777" w:rsidR="00065BEF" w:rsidRPr="00065BEF" w:rsidRDefault="00065BEF" w:rsidP="00065BEF">
      <w:pPr>
        <w:bidi/>
        <w:spacing w:line="360" w:lineRule="auto"/>
        <w:jc w:val="center"/>
        <w:rPr>
          <w:rFonts w:asciiTheme="majorBidi" w:hAnsiTheme="majorBidi" w:cstheme="majorBidi"/>
          <w:b/>
          <w:bCs/>
          <w:sz w:val="28"/>
          <w:szCs w:val="28"/>
        </w:rPr>
      </w:pPr>
      <w:r w:rsidRPr="00065BEF">
        <w:rPr>
          <w:rFonts w:asciiTheme="majorBidi" w:hAnsiTheme="majorBidi" w:cstheme="majorBidi"/>
          <w:b/>
          <w:bCs/>
          <w:sz w:val="28"/>
          <w:szCs w:val="28"/>
          <w:rtl/>
        </w:rPr>
        <w:lastRenderedPageBreak/>
        <w:t>الشكر والتقدير</w:t>
      </w:r>
    </w:p>
    <w:p w14:paraId="4E8A446A"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أولاً وقبل كل شيء، أحمد الله سبحانه وتعالى وأشكره على ما منحني من قوة وصبر وتوفيق لإتمام هذه الرحلة العلمية</w:t>
      </w:r>
      <w:r w:rsidRPr="00065BEF">
        <w:rPr>
          <w:rFonts w:asciiTheme="majorBidi" w:hAnsiTheme="majorBidi" w:cstheme="majorBidi"/>
          <w:sz w:val="24"/>
          <w:szCs w:val="24"/>
        </w:rPr>
        <w:t>.</w:t>
      </w:r>
    </w:p>
    <w:p w14:paraId="296F6FAD"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أتوجّه بجزيل الشكر والامتنان إلى والدي ووالدتي، فدعاؤهما ودعمهما وقيمهما كانت الأساس لكل ما حققته</w:t>
      </w:r>
      <w:r w:rsidRPr="00065BEF">
        <w:rPr>
          <w:rFonts w:asciiTheme="majorBidi" w:hAnsiTheme="majorBidi" w:cstheme="majorBidi"/>
          <w:sz w:val="24"/>
          <w:szCs w:val="24"/>
        </w:rPr>
        <w:t>.</w:t>
      </w:r>
      <w:r w:rsidRPr="00065BEF">
        <w:rPr>
          <w:rFonts w:asciiTheme="majorBidi" w:hAnsiTheme="majorBidi" w:cstheme="majorBidi"/>
          <w:sz w:val="24"/>
          <w:szCs w:val="24"/>
        </w:rPr>
        <w:br/>
      </w:r>
      <w:r w:rsidRPr="00065BEF">
        <w:rPr>
          <w:rFonts w:asciiTheme="majorBidi" w:hAnsiTheme="majorBidi" w:cstheme="majorBidi"/>
          <w:sz w:val="24"/>
          <w:szCs w:val="24"/>
          <w:rtl/>
        </w:rPr>
        <w:t>كما أعبر عن خالص امتناني لـزوجتي العزيزة، على صبرها وتضحياتها وتشجيعها المستمر طوال هذه المرحلة</w:t>
      </w:r>
      <w:r w:rsidRPr="00065BEF">
        <w:rPr>
          <w:rFonts w:asciiTheme="majorBidi" w:hAnsiTheme="majorBidi" w:cstheme="majorBidi"/>
          <w:sz w:val="24"/>
          <w:szCs w:val="24"/>
        </w:rPr>
        <w:t>.</w:t>
      </w:r>
      <w:r w:rsidRPr="00065BEF">
        <w:rPr>
          <w:rFonts w:asciiTheme="majorBidi" w:hAnsiTheme="majorBidi" w:cstheme="majorBidi"/>
          <w:sz w:val="24"/>
          <w:szCs w:val="24"/>
        </w:rPr>
        <w:br/>
      </w:r>
      <w:r w:rsidRPr="00065BEF">
        <w:rPr>
          <w:rFonts w:asciiTheme="majorBidi" w:hAnsiTheme="majorBidi" w:cstheme="majorBidi"/>
          <w:sz w:val="24"/>
          <w:szCs w:val="24"/>
          <w:rtl/>
        </w:rPr>
        <w:t>وإلى ابني مهند وابنتَيّ العزيزتين، لقد كانت محبتكم مصدر إلهام ودافع لا ينضب</w:t>
      </w:r>
      <w:r w:rsidRPr="00065BEF">
        <w:rPr>
          <w:rFonts w:asciiTheme="majorBidi" w:hAnsiTheme="majorBidi" w:cstheme="majorBidi"/>
          <w:sz w:val="24"/>
          <w:szCs w:val="24"/>
        </w:rPr>
        <w:t>.</w:t>
      </w:r>
      <w:r w:rsidRPr="00065BEF">
        <w:rPr>
          <w:rFonts w:asciiTheme="majorBidi" w:hAnsiTheme="majorBidi" w:cstheme="majorBidi"/>
          <w:sz w:val="24"/>
          <w:szCs w:val="24"/>
        </w:rPr>
        <w:br/>
      </w:r>
      <w:r w:rsidRPr="00065BEF">
        <w:rPr>
          <w:rFonts w:asciiTheme="majorBidi" w:hAnsiTheme="majorBidi" w:cstheme="majorBidi"/>
          <w:sz w:val="24"/>
          <w:szCs w:val="24"/>
          <w:rtl/>
        </w:rPr>
        <w:t>كما لا أنسى إخواني وأختي، فشكرًا على دعمكم الدائم وثقتكم بي</w:t>
      </w:r>
      <w:r w:rsidRPr="00065BEF">
        <w:rPr>
          <w:rFonts w:asciiTheme="majorBidi" w:hAnsiTheme="majorBidi" w:cstheme="majorBidi"/>
          <w:sz w:val="24"/>
          <w:szCs w:val="24"/>
        </w:rPr>
        <w:t>.</w:t>
      </w:r>
    </w:p>
    <w:p w14:paraId="331BF92B"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وأخص بالشكر صديقي العزيز عمّار الخليفة، على دعمه المعنوي المتواصل وتشجيعه الدائم</w:t>
      </w:r>
      <w:r w:rsidRPr="00065BEF">
        <w:rPr>
          <w:rFonts w:asciiTheme="majorBidi" w:hAnsiTheme="majorBidi" w:cstheme="majorBidi"/>
          <w:sz w:val="24"/>
          <w:szCs w:val="24"/>
        </w:rPr>
        <w:t>.</w:t>
      </w:r>
    </w:p>
    <w:p w14:paraId="5332BEBC"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 xml:space="preserve">أُعرب عن خالص امتناني لـجامعة </w:t>
      </w:r>
      <w:proofErr w:type="spellStart"/>
      <w:r w:rsidRPr="00065BEF">
        <w:rPr>
          <w:rFonts w:asciiTheme="majorBidi" w:hAnsiTheme="majorBidi" w:cstheme="majorBidi"/>
          <w:sz w:val="24"/>
          <w:szCs w:val="24"/>
          <w:rtl/>
        </w:rPr>
        <w:t>ميدأوشن</w:t>
      </w:r>
      <w:proofErr w:type="spellEnd"/>
      <w:r w:rsidRPr="00065BEF">
        <w:rPr>
          <w:rFonts w:asciiTheme="majorBidi" w:hAnsiTheme="majorBidi" w:cstheme="majorBidi"/>
          <w:sz w:val="24"/>
          <w:szCs w:val="24"/>
          <w:rtl/>
        </w:rPr>
        <w:t>، وخاصة كلية الإدارة، على توفير بيئة أكاديمية محفّزة وموارد تعليمية ساهمت في إثراء تجربتي في برنامج ماجستير إدارة الأعمال</w:t>
      </w:r>
      <w:r w:rsidRPr="00065BEF">
        <w:rPr>
          <w:rFonts w:asciiTheme="majorBidi" w:hAnsiTheme="majorBidi" w:cstheme="majorBidi"/>
          <w:sz w:val="24"/>
          <w:szCs w:val="24"/>
        </w:rPr>
        <w:t>.</w:t>
      </w:r>
    </w:p>
    <w:p w14:paraId="5CCC2383"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وأتقدّم بجزيل الشكر والعرفان إلى الدكتور الفيصل عبد الحميد، مشرفي الأساسي، على توجيهه القيّم وإرشاده المستمر طوال فترة إعداد هذا البحث</w:t>
      </w:r>
      <w:r w:rsidRPr="00065BEF">
        <w:rPr>
          <w:rFonts w:asciiTheme="majorBidi" w:hAnsiTheme="majorBidi" w:cstheme="majorBidi"/>
          <w:sz w:val="24"/>
          <w:szCs w:val="24"/>
        </w:rPr>
        <w:t>.</w:t>
      </w:r>
      <w:r w:rsidRPr="00065BEF">
        <w:rPr>
          <w:rFonts w:asciiTheme="majorBidi" w:hAnsiTheme="majorBidi" w:cstheme="majorBidi"/>
          <w:sz w:val="24"/>
          <w:szCs w:val="24"/>
        </w:rPr>
        <w:br/>
      </w:r>
      <w:r w:rsidRPr="00065BEF">
        <w:rPr>
          <w:rFonts w:asciiTheme="majorBidi" w:hAnsiTheme="majorBidi" w:cstheme="majorBidi"/>
          <w:sz w:val="24"/>
          <w:szCs w:val="24"/>
          <w:rtl/>
        </w:rPr>
        <w:t>كما أشكر الدكتور فايز جراد، المشرف المشارك، على ملاحظاته البنّاءة ودعمه الذي أضاف قيمة كبيرة للدراسة</w:t>
      </w:r>
      <w:r w:rsidRPr="00065BEF">
        <w:rPr>
          <w:rFonts w:asciiTheme="majorBidi" w:hAnsiTheme="majorBidi" w:cstheme="majorBidi"/>
          <w:sz w:val="24"/>
          <w:szCs w:val="24"/>
        </w:rPr>
        <w:t>.</w:t>
      </w:r>
    </w:p>
    <w:p w14:paraId="1E7B440A"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كما أقدّر جهود أعضاء هيئة التدريس والموظفين في كلية الإدارة على مساهماتهم القيّمة في هذا العمل</w:t>
      </w:r>
      <w:r w:rsidRPr="00065BEF">
        <w:rPr>
          <w:rFonts w:asciiTheme="majorBidi" w:hAnsiTheme="majorBidi" w:cstheme="majorBidi"/>
          <w:sz w:val="24"/>
          <w:szCs w:val="24"/>
        </w:rPr>
        <w:t>.</w:t>
      </w:r>
    </w:p>
    <w:p w14:paraId="79EDF93D" w14:textId="77777777"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وأخيرًا، إلى كل من قدّم لي الدعم أو العون أو الإلهام في أي مرحلة، شكرًا من القلب</w:t>
      </w:r>
      <w:r w:rsidRPr="00065BEF">
        <w:rPr>
          <w:rFonts w:asciiTheme="majorBidi" w:hAnsiTheme="majorBidi" w:cstheme="majorBidi"/>
          <w:sz w:val="24"/>
          <w:szCs w:val="24"/>
        </w:rPr>
        <w:t xml:space="preserve">. </w:t>
      </w:r>
      <w:r w:rsidRPr="00065BEF">
        <w:rPr>
          <w:rFonts w:asciiTheme="majorBidi" w:hAnsiTheme="majorBidi" w:cstheme="majorBidi"/>
          <w:sz w:val="24"/>
          <w:szCs w:val="24"/>
          <w:rtl/>
        </w:rPr>
        <w:t>هذا الإنجاز ما كان ليتحقق لولاكم</w:t>
      </w:r>
      <w:r w:rsidRPr="00065BEF">
        <w:rPr>
          <w:rFonts w:asciiTheme="majorBidi" w:hAnsiTheme="majorBidi" w:cstheme="majorBidi"/>
          <w:sz w:val="24"/>
          <w:szCs w:val="24"/>
        </w:rPr>
        <w:t>.</w:t>
      </w:r>
    </w:p>
    <w:p w14:paraId="5307EEFD" w14:textId="77777777" w:rsidR="00065BEF" w:rsidRDefault="00065BEF" w:rsidP="00065BEF">
      <w:pPr>
        <w:bidi/>
        <w:spacing w:line="360" w:lineRule="auto"/>
        <w:rPr>
          <w:rFonts w:asciiTheme="majorBidi" w:hAnsiTheme="majorBidi" w:cstheme="majorBidi"/>
          <w:sz w:val="24"/>
          <w:szCs w:val="24"/>
        </w:rPr>
      </w:pPr>
    </w:p>
    <w:p w14:paraId="397F8F8C" w14:textId="78F7BC83" w:rsidR="00065BEF" w:rsidRPr="00065BEF" w:rsidRDefault="00065BEF" w:rsidP="00065BEF">
      <w:pPr>
        <w:bidi/>
        <w:spacing w:line="360" w:lineRule="auto"/>
        <w:rPr>
          <w:rFonts w:asciiTheme="majorBidi" w:hAnsiTheme="majorBidi" w:cstheme="majorBidi"/>
          <w:sz w:val="24"/>
          <w:szCs w:val="24"/>
        </w:rPr>
      </w:pPr>
      <w:r w:rsidRPr="00065BEF">
        <w:rPr>
          <w:rFonts w:asciiTheme="majorBidi" w:hAnsiTheme="majorBidi" w:cstheme="majorBidi"/>
          <w:sz w:val="24"/>
          <w:szCs w:val="24"/>
          <w:rtl/>
        </w:rPr>
        <w:t>علي السليمان</w:t>
      </w:r>
    </w:p>
    <w:p w14:paraId="74A67DF9" w14:textId="77777777" w:rsidR="00065BEF" w:rsidRDefault="00065BEF" w:rsidP="005B051A">
      <w:pPr>
        <w:spacing w:line="360" w:lineRule="auto"/>
        <w:rPr>
          <w:rFonts w:asciiTheme="majorBidi" w:hAnsiTheme="majorBidi" w:cstheme="majorBidi"/>
          <w:b/>
          <w:bCs/>
          <w:sz w:val="24"/>
          <w:szCs w:val="24"/>
        </w:rPr>
      </w:pPr>
    </w:p>
    <w:p w14:paraId="11144A9A" w14:textId="77777777" w:rsidR="00065BEF" w:rsidRDefault="00065BEF" w:rsidP="005B051A">
      <w:pPr>
        <w:spacing w:line="360" w:lineRule="auto"/>
        <w:rPr>
          <w:rFonts w:asciiTheme="majorBidi" w:hAnsiTheme="majorBidi" w:cstheme="majorBidi"/>
          <w:b/>
          <w:bCs/>
          <w:sz w:val="24"/>
          <w:szCs w:val="24"/>
        </w:rPr>
      </w:pPr>
    </w:p>
    <w:p w14:paraId="5FFCE87E" w14:textId="77777777" w:rsidR="00065BEF" w:rsidRDefault="00065BEF" w:rsidP="005B051A">
      <w:pPr>
        <w:spacing w:line="360" w:lineRule="auto"/>
        <w:rPr>
          <w:rFonts w:asciiTheme="majorBidi" w:hAnsiTheme="majorBidi" w:cstheme="majorBidi"/>
          <w:b/>
          <w:bCs/>
          <w:sz w:val="24"/>
          <w:szCs w:val="24"/>
        </w:rPr>
      </w:pPr>
    </w:p>
    <w:p w14:paraId="5910A6A7" w14:textId="77777777" w:rsidR="00065BEF" w:rsidRDefault="00065BEF" w:rsidP="005B051A">
      <w:pPr>
        <w:spacing w:line="360" w:lineRule="auto"/>
        <w:rPr>
          <w:rFonts w:asciiTheme="majorBidi" w:hAnsiTheme="majorBidi" w:cstheme="majorBidi"/>
          <w:b/>
          <w:bCs/>
          <w:sz w:val="24"/>
          <w:szCs w:val="24"/>
        </w:rPr>
      </w:pPr>
    </w:p>
    <w:p w14:paraId="2C74E3DD" w14:textId="77777777" w:rsidR="00065BEF" w:rsidRDefault="00065BEF" w:rsidP="005B051A">
      <w:pPr>
        <w:spacing w:line="360" w:lineRule="auto"/>
        <w:rPr>
          <w:rFonts w:asciiTheme="majorBidi" w:hAnsiTheme="majorBidi" w:cstheme="majorBidi"/>
          <w:b/>
          <w:bCs/>
          <w:sz w:val="24"/>
          <w:szCs w:val="24"/>
        </w:rPr>
      </w:pPr>
    </w:p>
    <w:p w14:paraId="5968A48B" w14:textId="77777777" w:rsidR="00065BEF" w:rsidRDefault="00065BEF" w:rsidP="005B051A">
      <w:pPr>
        <w:spacing w:line="360" w:lineRule="auto"/>
        <w:rPr>
          <w:rFonts w:asciiTheme="majorBidi" w:hAnsiTheme="majorBidi" w:cstheme="majorBidi"/>
          <w:b/>
          <w:bCs/>
          <w:sz w:val="24"/>
          <w:szCs w:val="24"/>
        </w:rPr>
      </w:pPr>
    </w:p>
    <w:p w14:paraId="489FD54F" w14:textId="77777777" w:rsidR="00065BEF" w:rsidRDefault="00065BEF" w:rsidP="005B051A">
      <w:pPr>
        <w:spacing w:line="360" w:lineRule="auto"/>
        <w:rPr>
          <w:rFonts w:asciiTheme="majorBidi" w:hAnsiTheme="majorBidi" w:cstheme="majorBidi"/>
          <w:b/>
          <w:bCs/>
          <w:sz w:val="24"/>
          <w:szCs w:val="24"/>
        </w:rPr>
      </w:pPr>
    </w:p>
    <w:p w14:paraId="6FF33C13" w14:textId="346C4204" w:rsidR="00E33D02" w:rsidRPr="00600E38" w:rsidRDefault="00E33D02" w:rsidP="00E33D02">
      <w:pPr>
        <w:spacing w:line="360" w:lineRule="auto"/>
        <w:rPr>
          <w:rFonts w:asciiTheme="majorBidi" w:hAnsiTheme="majorBidi" w:cstheme="majorBidi"/>
          <w:b/>
          <w:bCs/>
          <w:sz w:val="28"/>
          <w:szCs w:val="28"/>
        </w:rPr>
      </w:pPr>
    </w:p>
    <w:p w14:paraId="4B554C15" w14:textId="1A0BA759" w:rsidR="001B65D4" w:rsidRPr="001B65D4" w:rsidRDefault="00585467" w:rsidP="001B65D4">
      <w:pPr>
        <w:bidi/>
        <w:spacing w:line="360" w:lineRule="auto"/>
        <w:rPr>
          <w:rFonts w:asciiTheme="majorBidi" w:hAnsiTheme="majorBidi" w:cstheme="majorBidi"/>
          <w:b/>
          <w:bCs/>
          <w:noProof/>
          <w:sz w:val="28"/>
          <w:szCs w:val="28"/>
        </w:rPr>
      </w:pPr>
      <w:r w:rsidRPr="00600E38">
        <w:rPr>
          <w:rFonts w:asciiTheme="majorBidi" w:hAnsiTheme="majorBidi" w:cstheme="majorBidi"/>
          <w:b/>
          <w:bCs/>
          <w:noProof/>
          <w:sz w:val="28"/>
          <w:szCs w:val="28"/>
        </w:rPr>
        <w:drawing>
          <wp:anchor distT="0" distB="0" distL="114300" distR="114300" simplePos="0" relativeHeight="251659776" behindDoc="0" locked="0" layoutInCell="1" allowOverlap="1" wp14:anchorId="0A33B54A" wp14:editId="20DF452D">
            <wp:simplePos x="0" y="0"/>
            <wp:positionH relativeFrom="margin">
              <wp:posOffset>-548640</wp:posOffset>
            </wp:positionH>
            <wp:positionV relativeFrom="margin">
              <wp:posOffset>-281940</wp:posOffset>
            </wp:positionV>
            <wp:extent cx="2226945" cy="2066925"/>
            <wp:effectExtent l="0" t="0" r="1905" b="9525"/>
            <wp:wrapSquare wrapText="bothSides"/>
            <wp:docPr id="177091415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1B65D4" w:rsidRPr="001B65D4">
        <w:rPr>
          <w:rFonts w:ascii="Times New Roman" w:eastAsia="Times New Roman" w:hAnsi="Times New Roman" w:cs="Times New Roman"/>
          <w:kern w:val="0"/>
          <w:sz w:val="24"/>
          <w:szCs w:val="24"/>
          <w:rtl/>
          <w14:ligatures w14:val="none"/>
        </w:rPr>
        <w:t xml:space="preserve"> </w:t>
      </w:r>
      <w:r w:rsidR="001B65D4" w:rsidRPr="001B65D4">
        <w:rPr>
          <w:rFonts w:asciiTheme="majorBidi" w:hAnsiTheme="majorBidi" w:cstheme="majorBidi"/>
          <w:b/>
          <w:bCs/>
          <w:noProof/>
          <w:sz w:val="28"/>
          <w:szCs w:val="28"/>
          <w:rtl/>
        </w:rPr>
        <w:t>جامعة ميدأوشن</w:t>
      </w:r>
      <w:r w:rsidR="001B65D4" w:rsidRPr="001B65D4">
        <w:rPr>
          <w:rFonts w:asciiTheme="majorBidi" w:hAnsiTheme="majorBidi" w:cstheme="majorBidi"/>
          <w:b/>
          <w:bCs/>
          <w:noProof/>
          <w:sz w:val="28"/>
          <w:szCs w:val="28"/>
        </w:rPr>
        <w:br/>
      </w:r>
      <w:r w:rsidR="001B65D4" w:rsidRPr="001B65D4">
        <w:rPr>
          <w:rFonts w:asciiTheme="majorBidi" w:hAnsiTheme="majorBidi" w:cstheme="majorBidi"/>
          <w:b/>
          <w:bCs/>
          <w:noProof/>
          <w:sz w:val="28"/>
          <w:szCs w:val="28"/>
          <w:rtl/>
        </w:rPr>
        <w:t>كلية الإدارة</w:t>
      </w:r>
      <w:r w:rsidR="001B65D4" w:rsidRPr="001B65D4">
        <w:rPr>
          <w:rFonts w:asciiTheme="majorBidi" w:hAnsiTheme="majorBidi" w:cstheme="majorBidi"/>
          <w:b/>
          <w:bCs/>
          <w:noProof/>
          <w:sz w:val="28"/>
          <w:szCs w:val="28"/>
        </w:rPr>
        <w:br/>
      </w:r>
      <w:r w:rsidR="001B65D4" w:rsidRPr="001B65D4">
        <w:rPr>
          <w:rFonts w:asciiTheme="majorBidi" w:hAnsiTheme="majorBidi" w:cstheme="majorBidi"/>
          <w:b/>
          <w:bCs/>
          <w:noProof/>
          <w:sz w:val="28"/>
          <w:szCs w:val="28"/>
          <w:rtl/>
        </w:rPr>
        <w:t>القسم / التخصص</w:t>
      </w:r>
      <w:r w:rsidR="001B65D4" w:rsidRPr="001B65D4">
        <w:rPr>
          <w:rFonts w:asciiTheme="majorBidi" w:hAnsiTheme="majorBidi" w:cstheme="majorBidi"/>
          <w:b/>
          <w:bCs/>
          <w:noProof/>
          <w:sz w:val="28"/>
          <w:szCs w:val="28"/>
        </w:rPr>
        <w:t>:</w:t>
      </w:r>
      <w:r w:rsidR="001B65D4" w:rsidRPr="001B65D4">
        <w:rPr>
          <w:rFonts w:asciiTheme="majorBidi" w:hAnsiTheme="majorBidi" w:cstheme="majorBidi"/>
          <w:b/>
          <w:bCs/>
          <w:noProof/>
          <w:sz w:val="28"/>
          <w:szCs w:val="28"/>
        </w:rPr>
        <w:br/>
      </w:r>
      <w:r w:rsidR="001B65D4" w:rsidRPr="001B65D4">
        <w:rPr>
          <w:rFonts w:asciiTheme="majorBidi" w:hAnsiTheme="majorBidi" w:cstheme="majorBidi"/>
          <w:b/>
          <w:bCs/>
          <w:noProof/>
          <w:sz w:val="28"/>
          <w:szCs w:val="28"/>
          <w:rtl/>
        </w:rPr>
        <w:t>ماجستير إدارة الأعمال</w:t>
      </w:r>
    </w:p>
    <w:p w14:paraId="6154AA33" w14:textId="2254933A" w:rsidR="00E33D02" w:rsidRPr="00600E38" w:rsidRDefault="00E33D02" w:rsidP="00E33D02">
      <w:pPr>
        <w:spacing w:line="360" w:lineRule="auto"/>
        <w:rPr>
          <w:rFonts w:asciiTheme="majorBidi" w:hAnsiTheme="majorBidi" w:cstheme="majorBidi"/>
          <w:b/>
          <w:bCs/>
          <w:sz w:val="28"/>
          <w:szCs w:val="28"/>
        </w:rPr>
      </w:pPr>
    </w:p>
    <w:p w14:paraId="081245C4" w14:textId="77777777" w:rsidR="00E33D02" w:rsidRPr="00600E38" w:rsidRDefault="00E33D02" w:rsidP="00E33D02">
      <w:pPr>
        <w:spacing w:line="360" w:lineRule="auto"/>
        <w:jc w:val="center"/>
        <w:rPr>
          <w:rFonts w:asciiTheme="majorBidi" w:hAnsiTheme="majorBidi" w:cstheme="majorBidi"/>
          <w:b/>
          <w:bCs/>
          <w:sz w:val="28"/>
          <w:szCs w:val="28"/>
        </w:rPr>
      </w:pPr>
    </w:p>
    <w:p w14:paraId="059E44CF" w14:textId="6B9D3362" w:rsidR="00E33D02" w:rsidRPr="00600E38" w:rsidRDefault="00A84249" w:rsidP="00FC5F14">
      <w:pPr>
        <w:spacing w:line="360" w:lineRule="auto"/>
        <w:jc w:val="center"/>
        <w:rPr>
          <w:rFonts w:asciiTheme="majorBidi" w:hAnsiTheme="majorBidi" w:cstheme="majorBidi"/>
          <w:b/>
          <w:bCs/>
          <w:sz w:val="28"/>
          <w:szCs w:val="28"/>
        </w:rPr>
      </w:pPr>
      <w:r w:rsidRPr="00A84249">
        <w:rPr>
          <w:rFonts w:asciiTheme="majorBidi" w:hAnsiTheme="majorBidi" w:cstheme="majorBidi"/>
          <w:b/>
          <w:bCs/>
          <w:sz w:val="28"/>
          <w:szCs w:val="28"/>
          <w:rtl/>
        </w:rPr>
        <w:t>عنوان البحث</w:t>
      </w:r>
      <w:r w:rsidR="00E33D02" w:rsidRPr="00600E38">
        <w:rPr>
          <w:rFonts w:asciiTheme="majorBidi" w:hAnsiTheme="majorBidi" w:cstheme="majorBidi"/>
          <w:b/>
          <w:bCs/>
          <w:sz w:val="28"/>
          <w:szCs w:val="28"/>
        </w:rPr>
        <w:br/>
      </w:r>
      <w:r w:rsidR="00E33D02" w:rsidRPr="00600E38">
        <w:rPr>
          <w:rFonts w:asciiTheme="majorBidi" w:hAnsiTheme="majorBidi" w:cstheme="majorBidi"/>
          <w:b/>
          <w:bCs/>
          <w:sz w:val="28"/>
          <w:szCs w:val="28"/>
        </w:rPr>
        <w:br/>
      </w:r>
      <w:r w:rsidR="00E33D02" w:rsidRPr="00600E38">
        <w:rPr>
          <w:rFonts w:asciiTheme="majorBidi" w:hAnsiTheme="majorBidi" w:cstheme="majorBidi"/>
          <w:b/>
          <w:bCs/>
          <w:sz w:val="28"/>
          <w:szCs w:val="28"/>
          <w:rtl/>
        </w:rPr>
        <w:t>استراتيجيات تطوير ونمو الأعمال في قطاع الطاقة السعودي: دراسة تطبيقية حول دخول السوق، الشراكات الاستراتيجية، والابتكار</w:t>
      </w:r>
    </w:p>
    <w:p w14:paraId="23C27C0A" w14:textId="39D14C14" w:rsidR="00E33D02" w:rsidRPr="00600E38" w:rsidRDefault="00205E06" w:rsidP="00205E06">
      <w:pPr>
        <w:bidi/>
        <w:spacing w:line="360" w:lineRule="auto"/>
        <w:jc w:val="center"/>
        <w:rPr>
          <w:rFonts w:asciiTheme="majorBidi" w:hAnsiTheme="majorBidi" w:cstheme="majorBidi"/>
          <w:b/>
          <w:bCs/>
          <w:sz w:val="28"/>
          <w:szCs w:val="28"/>
        </w:rPr>
      </w:pPr>
      <w:r w:rsidRPr="00205E06">
        <w:rPr>
          <w:rFonts w:asciiTheme="majorBidi" w:hAnsiTheme="majorBidi" w:cstheme="majorBidi"/>
          <w:b/>
          <w:bCs/>
          <w:sz w:val="28"/>
          <w:szCs w:val="28"/>
          <w:rtl/>
        </w:rPr>
        <w:t>إعداد</w:t>
      </w:r>
      <w:r w:rsidRPr="00205E06">
        <w:rPr>
          <w:rFonts w:asciiTheme="majorBidi" w:hAnsiTheme="majorBidi" w:cstheme="majorBidi"/>
          <w:b/>
          <w:bCs/>
          <w:sz w:val="28"/>
          <w:szCs w:val="28"/>
        </w:rPr>
        <w:t>:</w:t>
      </w:r>
    </w:p>
    <w:p w14:paraId="382D654B" w14:textId="60ACD49D" w:rsidR="00E33D02" w:rsidRDefault="00043631" w:rsidP="00B72404">
      <w:pPr>
        <w:bidi/>
        <w:spacing w:line="360" w:lineRule="auto"/>
        <w:jc w:val="center"/>
        <w:rPr>
          <w:rFonts w:asciiTheme="majorBidi" w:hAnsiTheme="majorBidi" w:cstheme="majorBidi"/>
          <w:i/>
          <w:iCs/>
          <w:sz w:val="28"/>
          <w:szCs w:val="28"/>
        </w:rPr>
      </w:pPr>
      <w:r w:rsidRPr="00043631">
        <w:rPr>
          <w:rFonts w:asciiTheme="majorBidi" w:hAnsiTheme="majorBidi" w:cstheme="majorBidi"/>
          <w:i/>
          <w:iCs/>
          <w:sz w:val="28"/>
          <w:szCs w:val="28"/>
          <w:rtl/>
        </w:rPr>
        <w:t>علي أحمد السليمان</w:t>
      </w:r>
    </w:p>
    <w:p w14:paraId="592BA0CF" w14:textId="5B0A4C5C" w:rsidR="00B72404" w:rsidRPr="00B72404" w:rsidRDefault="00564DFB" w:rsidP="00B72404">
      <w:pPr>
        <w:bidi/>
        <w:spacing w:line="360" w:lineRule="auto"/>
        <w:jc w:val="center"/>
        <w:rPr>
          <w:rFonts w:asciiTheme="majorBidi" w:hAnsiTheme="majorBidi" w:cstheme="majorBidi"/>
          <w:i/>
          <w:iCs/>
          <w:sz w:val="28"/>
          <w:szCs w:val="28"/>
        </w:rPr>
      </w:pPr>
      <w:r w:rsidRPr="00564DFB">
        <w:rPr>
          <w:rFonts w:asciiTheme="majorBidi" w:hAnsiTheme="majorBidi" w:cs="Times New Roman"/>
          <w:i/>
          <w:iCs/>
          <w:sz w:val="28"/>
          <w:szCs w:val="28"/>
          <w:rtl/>
        </w:rPr>
        <w:t>243001532</w:t>
      </w:r>
    </w:p>
    <w:p w14:paraId="43550B23" w14:textId="77777777" w:rsidR="001B65D4" w:rsidRDefault="001B65D4" w:rsidP="00B72404">
      <w:pPr>
        <w:bidi/>
        <w:spacing w:line="360" w:lineRule="auto"/>
        <w:jc w:val="center"/>
        <w:rPr>
          <w:rFonts w:asciiTheme="majorBidi" w:hAnsiTheme="majorBidi" w:cstheme="majorBidi"/>
          <w:b/>
          <w:bCs/>
          <w:sz w:val="28"/>
          <w:szCs w:val="28"/>
        </w:rPr>
      </w:pPr>
    </w:p>
    <w:p w14:paraId="7B299FC4" w14:textId="2514DC79" w:rsidR="001B65D4" w:rsidRDefault="00D636FC" w:rsidP="00250A23">
      <w:pPr>
        <w:bidi/>
        <w:spacing w:line="360" w:lineRule="auto"/>
        <w:jc w:val="center"/>
        <w:rPr>
          <w:rFonts w:asciiTheme="majorBidi" w:hAnsiTheme="majorBidi" w:cstheme="majorBidi"/>
          <w:b/>
          <w:bCs/>
          <w:sz w:val="28"/>
          <w:szCs w:val="28"/>
        </w:rPr>
      </w:pPr>
      <w:r w:rsidRPr="00D636FC">
        <w:rPr>
          <w:rFonts w:asciiTheme="majorBidi" w:hAnsiTheme="majorBidi" w:cstheme="majorBidi"/>
          <w:b/>
          <w:bCs/>
          <w:sz w:val="28"/>
          <w:szCs w:val="28"/>
          <w:rtl/>
        </w:rPr>
        <w:t>إشراف</w:t>
      </w:r>
      <w:r w:rsidRPr="00D636FC">
        <w:rPr>
          <w:rFonts w:asciiTheme="majorBidi" w:hAnsiTheme="majorBidi" w:cstheme="majorBidi"/>
          <w:b/>
          <w:bCs/>
          <w:sz w:val="28"/>
          <w:szCs w:val="28"/>
        </w:rPr>
        <w:t>:</w:t>
      </w:r>
      <w:r w:rsidR="00E33D02" w:rsidRPr="00600E38">
        <w:rPr>
          <w:rFonts w:asciiTheme="majorBidi" w:hAnsiTheme="majorBidi" w:cstheme="majorBidi"/>
          <w:b/>
          <w:bCs/>
          <w:sz w:val="28"/>
          <w:szCs w:val="28"/>
        </w:rPr>
        <w:br/>
      </w:r>
      <w:r w:rsidRPr="00B72404">
        <w:rPr>
          <w:rFonts w:asciiTheme="majorBidi" w:hAnsiTheme="majorBidi" w:cstheme="majorBidi"/>
          <w:i/>
          <w:iCs/>
          <w:sz w:val="28"/>
          <w:szCs w:val="28"/>
          <w:rtl/>
        </w:rPr>
        <w:t>د. الفيصل عبد الحميد</w:t>
      </w:r>
      <w:r w:rsidRPr="00B72404">
        <w:rPr>
          <w:rFonts w:asciiTheme="majorBidi" w:hAnsiTheme="majorBidi" w:cstheme="majorBidi"/>
          <w:i/>
          <w:iCs/>
          <w:sz w:val="28"/>
          <w:szCs w:val="28"/>
        </w:rPr>
        <w:br/>
      </w:r>
      <w:r w:rsidRPr="00B72404">
        <w:rPr>
          <w:rFonts w:asciiTheme="majorBidi" w:hAnsiTheme="majorBidi" w:cstheme="majorBidi"/>
          <w:i/>
          <w:iCs/>
          <w:sz w:val="28"/>
          <w:szCs w:val="28"/>
          <w:rtl/>
        </w:rPr>
        <w:t>د. فايز جراد</w:t>
      </w:r>
    </w:p>
    <w:p w14:paraId="5013BF54" w14:textId="77777777" w:rsidR="001B65D4" w:rsidRDefault="001B65D4" w:rsidP="001B65D4">
      <w:pPr>
        <w:bidi/>
        <w:spacing w:line="360" w:lineRule="auto"/>
        <w:jc w:val="center"/>
        <w:rPr>
          <w:rFonts w:asciiTheme="majorBidi" w:hAnsiTheme="majorBidi" w:cstheme="majorBidi"/>
          <w:b/>
          <w:bCs/>
          <w:sz w:val="28"/>
          <w:szCs w:val="28"/>
        </w:rPr>
      </w:pPr>
    </w:p>
    <w:p w14:paraId="43503CAF" w14:textId="06E3111A" w:rsidR="00E33D02" w:rsidRDefault="00B72404" w:rsidP="001B65D4">
      <w:pPr>
        <w:bidi/>
        <w:spacing w:line="360" w:lineRule="auto"/>
        <w:jc w:val="center"/>
        <w:rPr>
          <w:rFonts w:asciiTheme="majorBidi" w:hAnsiTheme="majorBidi" w:cstheme="majorBidi"/>
          <w:b/>
          <w:bCs/>
          <w:sz w:val="24"/>
          <w:szCs w:val="24"/>
        </w:rPr>
      </w:pPr>
      <w:r w:rsidRPr="00B72404">
        <w:rPr>
          <w:rFonts w:asciiTheme="majorBidi" w:hAnsiTheme="majorBidi" w:cstheme="majorBidi"/>
          <w:b/>
          <w:bCs/>
          <w:sz w:val="28"/>
          <w:szCs w:val="28"/>
          <w:rtl/>
        </w:rPr>
        <w:t>العام الأكاديمي</w:t>
      </w:r>
      <w:r w:rsidRPr="00B72404">
        <w:rPr>
          <w:rFonts w:asciiTheme="majorBidi" w:hAnsiTheme="majorBidi" w:cstheme="majorBidi"/>
          <w:b/>
          <w:bCs/>
          <w:sz w:val="28"/>
          <w:szCs w:val="28"/>
        </w:rPr>
        <w:t>:</w:t>
      </w:r>
      <w:r w:rsidRPr="00B72404">
        <w:rPr>
          <w:rFonts w:asciiTheme="majorBidi" w:hAnsiTheme="majorBidi" w:cstheme="majorBidi"/>
          <w:b/>
          <w:bCs/>
          <w:sz w:val="28"/>
          <w:szCs w:val="28"/>
        </w:rPr>
        <w:br/>
      </w:r>
      <w:r w:rsidRPr="00B72404">
        <w:rPr>
          <w:rFonts w:asciiTheme="majorBidi" w:hAnsiTheme="majorBidi" w:cstheme="majorBidi"/>
          <w:sz w:val="28"/>
          <w:szCs w:val="28"/>
        </w:rPr>
        <w:t>2025</w:t>
      </w:r>
    </w:p>
    <w:sectPr w:rsidR="00E33D02" w:rsidSect="00396A08">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CE464" w14:textId="77777777" w:rsidR="0063101B" w:rsidRDefault="0063101B" w:rsidP="00760D3A">
      <w:pPr>
        <w:spacing w:after="0" w:line="240" w:lineRule="auto"/>
      </w:pPr>
      <w:r>
        <w:separator/>
      </w:r>
    </w:p>
  </w:endnote>
  <w:endnote w:type="continuationSeparator" w:id="0">
    <w:p w14:paraId="4D892692" w14:textId="77777777" w:rsidR="0063101B" w:rsidRDefault="0063101B" w:rsidP="00760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560589"/>
      <w:docPartObj>
        <w:docPartGallery w:val="Page Numbers (Bottom of Page)"/>
        <w:docPartUnique/>
      </w:docPartObj>
    </w:sdtPr>
    <w:sdtEndPr>
      <w:rPr>
        <w:noProof/>
      </w:rPr>
    </w:sdtEndPr>
    <w:sdtContent>
      <w:p w14:paraId="0DD80199" w14:textId="1509E4F4" w:rsidR="002B2F90" w:rsidRDefault="002B2F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FD5884" w14:textId="77777777" w:rsidR="00760D3A" w:rsidRDefault="00760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FF21" w14:textId="77777777" w:rsidR="0063101B" w:rsidRDefault="0063101B" w:rsidP="00760D3A">
      <w:pPr>
        <w:spacing w:after="0" w:line="240" w:lineRule="auto"/>
      </w:pPr>
      <w:r>
        <w:separator/>
      </w:r>
    </w:p>
  </w:footnote>
  <w:footnote w:type="continuationSeparator" w:id="0">
    <w:p w14:paraId="0648B4FC" w14:textId="77777777" w:rsidR="0063101B" w:rsidRDefault="0063101B" w:rsidP="00760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0B4"/>
    <w:multiLevelType w:val="multilevel"/>
    <w:tmpl w:val="F8AE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632E0"/>
    <w:multiLevelType w:val="multilevel"/>
    <w:tmpl w:val="D01C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F3ABE"/>
    <w:multiLevelType w:val="multilevel"/>
    <w:tmpl w:val="78503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F62A1"/>
    <w:multiLevelType w:val="multilevel"/>
    <w:tmpl w:val="1B0C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B7BC4"/>
    <w:multiLevelType w:val="multilevel"/>
    <w:tmpl w:val="CEB2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8783B"/>
    <w:multiLevelType w:val="multilevel"/>
    <w:tmpl w:val="A5B48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77F23"/>
    <w:multiLevelType w:val="multilevel"/>
    <w:tmpl w:val="7CD0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15392"/>
    <w:multiLevelType w:val="multilevel"/>
    <w:tmpl w:val="8CAE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A1FC8"/>
    <w:multiLevelType w:val="multilevel"/>
    <w:tmpl w:val="FCD87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9640C3"/>
    <w:multiLevelType w:val="multilevel"/>
    <w:tmpl w:val="7CDE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24C7F"/>
    <w:multiLevelType w:val="multilevel"/>
    <w:tmpl w:val="ED22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10A15"/>
    <w:multiLevelType w:val="multilevel"/>
    <w:tmpl w:val="F366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395238"/>
    <w:multiLevelType w:val="multilevel"/>
    <w:tmpl w:val="CBCE2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97437"/>
    <w:multiLevelType w:val="multilevel"/>
    <w:tmpl w:val="7606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F848DA"/>
    <w:multiLevelType w:val="multilevel"/>
    <w:tmpl w:val="23BA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AE63AA"/>
    <w:multiLevelType w:val="hybridMultilevel"/>
    <w:tmpl w:val="7CF89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737F5D"/>
    <w:multiLevelType w:val="multilevel"/>
    <w:tmpl w:val="DA7E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F622B2"/>
    <w:multiLevelType w:val="multilevel"/>
    <w:tmpl w:val="71E8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DB38CC"/>
    <w:multiLevelType w:val="multilevel"/>
    <w:tmpl w:val="5A84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132DD3"/>
    <w:multiLevelType w:val="multilevel"/>
    <w:tmpl w:val="6BFC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8C548F"/>
    <w:multiLevelType w:val="multilevel"/>
    <w:tmpl w:val="69A6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301B7A"/>
    <w:multiLevelType w:val="multilevel"/>
    <w:tmpl w:val="809E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706635"/>
    <w:multiLevelType w:val="multilevel"/>
    <w:tmpl w:val="93DA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327208"/>
    <w:multiLevelType w:val="multilevel"/>
    <w:tmpl w:val="CB4E0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5A6D20"/>
    <w:multiLevelType w:val="multilevel"/>
    <w:tmpl w:val="62EE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E42DD1"/>
    <w:multiLevelType w:val="multilevel"/>
    <w:tmpl w:val="C4E4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D73403"/>
    <w:multiLevelType w:val="multilevel"/>
    <w:tmpl w:val="07D0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94F56"/>
    <w:multiLevelType w:val="multilevel"/>
    <w:tmpl w:val="B728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DF275C"/>
    <w:multiLevelType w:val="multilevel"/>
    <w:tmpl w:val="7FDE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681A5B"/>
    <w:multiLevelType w:val="multilevel"/>
    <w:tmpl w:val="B8C4E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D3481F"/>
    <w:multiLevelType w:val="multilevel"/>
    <w:tmpl w:val="41F60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0971F0"/>
    <w:multiLevelType w:val="multilevel"/>
    <w:tmpl w:val="88B0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E3701A"/>
    <w:multiLevelType w:val="multilevel"/>
    <w:tmpl w:val="BDE0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EE0C9F"/>
    <w:multiLevelType w:val="multilevel"/>
    <w:tmpl w:val="CD5E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67705F"/>
    <w:multiLevelType w:val="multilevel"/>
    <w:tmpl w:val="5B12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7554D2"/>
    <w:multiLevelType w:val="multilevel"/>
    <w:tmpl w:val="6968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F366FC"/>
    <w:multiLevelType w:val="multilevel"/>
    <w:tmpl w:val="53A2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70587D"/>
    <w:multiLevelType w:val="multilevel"/>
    <w:tmpl w:val="FA704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891A2B"/>
    <w:multiLevelType w:val="multilevel"/>
    <w:tmpl w:val="522CB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644A9B"/>
    <w:multiLevelType w:val="multilevel"/>
    <w:tmpl w:val="A192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6C5BC4"/>
    <w:multiLevelType w:val="multilevel"/>
    <w:tmpl w:val="90E4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DC2A29"/>
    <w:multiLevelType w:val="multilevel"/>
    <w:tmpl w:val="394E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284C21"/>
    <w:multiLevelType w:val="multilevel"/>
    <w:tmpl w:val="A06C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7C3DAC"/>
    <w:multiLevelType w:val="multilevel"/>
    <w:tmpl w:val="5CB2A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B533DA"/>
    <w:multiLevelType w:val="multilevel"/>
    <w:tmpl w:val="EB40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25183D"/>
    <w:multiLevelType w:val="multilevel"/>
    <w:tmpl w:val="2606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2F546A"/>
    <w:multiLevelType w:val="multilevel"/>
    <w:tmpl w:val="689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832538"/>
    <w:multiLevelType w:val="multilevel"/>
    <w:tmpl w:val="234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E068DC"/>
    <w:multiLevelType w:val="multilevel"/>
    <w:tmpl w:val="088A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6C36D5"/>
    <w:multiLevelType w:val="multilevel"/>
    <w:tmpl w:val="8CFA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F02D0B"/>
    <w:multiLevelType w:val="multilevel"/>
    <w:tmpl w:val="86F4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C55EBF"/>
    <w:multiLevelType w:val="multilevel"/>
    <w:tmpl w:val="20BC3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490C44"/>
    <w:multiLevelType w:val="multilevel"/>
    <w:tmpl w:val="5A4E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8B7F02"/>
    <w:multiLevelType w:val="multilevel"/>
    <w:tmpl w:val="97A8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0346716">
    <w:abstractNumId w:val="5"/>
  </w:num>
  <w:num w:numId="2" w16cid:durableId="1266645542">
    <w:abstractNumId w:val="9"/>
  </w:num>
  <w:num w:numId="3" w16cid:durableId="999650394">
    <w:abstractNumId w:val="45"/>
  </w:num>
  <w:num w:numId="4" w16cid:durableId="1581211255">
    <w:abstractNumId w:val="47"/>
  </w:num>
  <w:num w:numId="5" w16cid:durableId="1667198780">
    <w:abstractNumId w:val="29"/>
  </w:num>
  <w:num w:numId="6" w16cid:durableId="1721126264">
    <w:abstractNumId w:val="10"/>
  </w:num>
  <w:num w:numId="7" w16cid:durableId="145781418">
    <w:abstractNumId w:val="35"/>
  </w:num>
  <w:num w:numId="8" w16cid:durableId="6715322">
    <w:abstractNumId w:val="16"/>
  </w:num>
  <w:num w:numId="9" w16cid:durableId="2015257973">
    <w:abstractNumId w:val="44"/>
  </w:num>
  <w:num w:numId="10" w16cid:durableId="369913536">
    <w:abstractNumId w:val="0"/>
  </w:num>
  <w:num w:numId="11" w16cid:durableId="1492021567">
    <w:abstractNumId w:val="6"/>
  </w:num>
  <w:num w:numId="12" w16cid:durableId="1750686873">
    <w:abstractNumId w:val="38"/>
  </w:num>
  <w:num w:numId="13" w16cid:durableId="780492403">
    <w:abstractNumId w:val="12"/>
  </w:num>
  <w:num w:numId="14" w16cid:durableId="476649963">
    <w:abstractNumId w:val="30"/>
  </w:num>
  <w:num w:numId="15" w16cid:durableId="1752000814">
    <w:abstractNumId w:val="53"/>
  </w:num>
  <w:num w:numId="16" w16cid:durableId="354237518">
    <w:abstractNumId w:val="43"/>
  </w:num>
  <w:num w:numId="17" w16cid:durableId="1892155822">
    <w:abstractNumId w:val="31"/>
  </w:num>
  <w:num w:numId="18" w16cid:durableId="951982578">
    <w:abstractNumId w:val="25"/>
  </w:num>
  <w:num w:numId="19" w16cid:durableId="2145195409">
    <w:abstractNumId w:val="17"/>
  </w:num>
  <w:num w:numId="20" w16cid:durableId="113334000">
    <w:abstractNumId w:val="11"/>
  </w:num>
  <w:num w:numId="21" w16cid:durableId="2000378625">
    <w:abstractNumId w:val="51"/>
  </w:num>
  <w:num w:numId="22" w16cid:durableId="358968687">
    <w:abstractNumId w:val="1"/>
  </w:num>
  <w:num w:numId="23" w16cid:durableId="785275670">
    <w:abstractNumId w:val="7"/>
  </w:num>
  <w:num w:numId="24" w16cid:durableId="1799105332">
    <w:abstractNumId w:val="22"/>
  </w:num>
  <w:num w:numId="25" w16cid:durableId="617491033">
    <w:abstractNumId w:val="14"/>
  </w:num>
  <w:num w:numId="26" w16cid:durableId="197623170">
    <w:abstractNumId w:val="42"/>
  </w:num>
  <w:num w:numId="27" w16cid:durableId="1336880892">
    <w:abstractNumId w:val="33"/>
  </w:num>
  <w:num w:numId="28" w16cid:durableId="241184032">
    <w:abstractNumId w:val="24"/>
  </w:num>
  <w:num w:numId="29" w16cid:durableId="875312897">
    <w:abstractNumId w:val="48"/>
  </w:num>
  <w:num w:numId="30" w16cid:durableId="422991354">
    <w:abstractNumId w:val="39"/>
  </w:num>
  <w:num w:numId="31" w16cid:durableId="524291497">
    <w:abstractNumId w:val="21"/>
  </w:num>
  <w:num w:numId="32" w16cid:durableId="540434867">
    <w:abstractNumId w:val="37"/>
  </w:num>
  <w:num w:numId="33" w16cid:durableId="1839617599">
    <w:abstractNumId w:val="2"/>
  </w:num>
  <w:num w:numId="34" w16cid:durableId="1186864920">
    <w:abstractNumId w:val="15"/>
  </w:num>
  <w:num w:numId="35" w16cid:durableId="811413141">
    <w:abstractNumId w:val="34"/>
  </w:num>
  <w:num w:numId="36" w16cid:durableId="296567049">
    <w:abstractNumId w:val="41"/>
  </w:num>
  <w:num w:numId="37" w16cid:durableId="1623807355">
    <w:abstractNumId w:val="26"/>
  </w:num>
  <w:num w:numId="38" w16cid:durableId="1601179117">
    <w:abstractNumId w:val="23"/>
  </w:num>
  <w:num w:numId="39" w16cid:durableId="523246656">
    <w:abstractNumId w:val="49"/>
  </w:num>
  <w:num w:numId="40" w16cid:durableId="2076969798">
    <w:abstractNumId w:val="3"/>
  </w:num>
  <w:num w:numId="41" w16cid:durableId="2062822214">
    <w:abstractNumId w:val="19"/>
  </w:num>
  <w:num w:numId="42" w16cid:durableId="1967153784">
    <w:abstractNumId w:val="32"/>
  </w:num>
  <w:num w:numId="43" w16cid:durableId="694157832">
    <w:abstractNumId w:val="50"/>
  </w:num>
  <w:num w:numId="44" w16cid:durableId="966205582">
    <w:abstractNumId w:val="20"/>
  </w:num>
  <w:num w:numId="45" w16cid:durableId="1237276312">
    <w:abstractNumId w:val="18"/>
  </w:num>
  <w:num w:numId="46" w16cid:durableId="1557624597">
    <w:abstractNumId w:val="40"/>
  </w:num>
  <w:num w:numId="47" w16cid:durableId="1825270295">
    <w:abstractNumId w:val="27"/>
  </w:num>
  <w:num w:numId="48" w16cid:durableId="1991202573">
    <w:abstractNumId w:val="28"/>
  </w:num>
  <w:num w:numId="49" w16cid:durableId="522671268">
    <w:abstractNumId w:val="8"/>
  </w:num>
  <w:num w:numId="50" w16cid:durableId="561404946">
    <w:abstractNumId w:val="36"/>
  </w:num>
  <w:num w:numId="51" w16cid:durableId="40056117">
    <w:abstractNumId w:val="46"/>
  </w:num>
  <w:num w:numId="52" w16cid:durableId="2019577247">
    <w:abstractNumId w:val="52"/>
  </w:num>
  <w:num w:numId="53" w16cid:durableId="566843884">
    <w:abstractNumId w:val="13"/>
  </w:num>
  <w:num w:numId="54" w16cid:durableId="1335063581">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9B"/>
    <w:rsid w:val="0000179C"/>
    <w:rsid w:val="00014827"/>
    <w:rsid w:val="000269B6"/>
    <w:rsid w:val="00043631"/>
    <w:rsid w:val="00045659"/>
    <w:rsid w:val="00065BEF"/>
    <w:rsid w:val="000840D9"/>
    <w:rsid w:val="0008414F"/>
    <w:rsid w:val="00087275"/>
    <w:rsid w:val="000A0BD9"/>
    <w:rsid w:val="000D0A58"/>
    <w:rsid w:val="000D27C4"/>
    <w:rsid w:val="000D678A"/>
    <w:rsid w:val="000E7151"/>
    <w:rsid w:val="000E79DD"/>
    <w:rsid w:val="000F5421"/>
    <w:rsid w:val="0010692E"/>
    <w:rsid w:val="0011017B"/>
    <w:rsid w:val="001218DC"/>
    <w:rsid w:val="00137213"/>
    <w:rsid w:val="0014415C"/>
    <w:rsid w:val="001477DA"/>
    <w:rsid w:val="001616C5"/>
    <w:rsid w:val="00181C5F"/>
    <w:rsid w:val="00182EA1"/>
    <w:rsid w:val="00183305"/>
    <w:rsid w:val="001A19AB"/>
    <w:rsid w:val="001B65D4"/>
    <w:rsid w:val="001C1004"/>
    <w:rsid w:val="00205E06"/>
    <w:rsid w:val="0021565B"/>
    <w:rsid w:val="00216960"/>
    <w:rsid w:val="00224BE7"/>
    <w:rsid w:val="00235756"/>
    <w:rsid w:val="002419CA"/>
    <w:rsid w:val="002443A7"/>
    <w:rsid w:val="00250A23"/>
    <w:rsid w:val="002545B8"/>
    <w:rsid w:val="00262421"/>
    <w:rsid w:val="002B2F90"/>
    <w:rsid w:val="002D54C8"/>
    <w:rsid w:val="002D7649"/>
    <w:rsid w:val="00323F6E"/>
    <w:rsid w:val="00343CD2"/>
    <w:rsid w:val="003460E6"/>
    <w:rsid w:val="00350B71"/>
    <w:rsid w:val="00370092"/>
    <w:rsid w:val="003819E0"/>
    <w:rsid w:val="0038228F"/>
    <w:rsid w:val="0039137B"/>
    <w:rsid w:val="00396A08"/>
    <w:rsid w:val="003B0C16"/>
    <w:rsid w:val="003D2B59"/>
    <w:rsid w:val="003E5648"/>
    <w:rsid w:val="003E5AB7"/>
    <w:rsid w:val="003F0126"/>
    <w:rsid w:val="003F4DC1"/>
    <w:rsid w:val="00413985"/>
    <w:rsid w:val="00416CF6"/>
    <w:rsid w:val="004353A5"/>
    <w:rsid w:val="00442869"/>
    <w:rsid w:val="0046245D"/>
    <w:rsid w:val="00486529"/>
    <w:rsid w:val="004D3615"/>
    <w:rsid w:val="004D7261"/>
    <w:rsid w:val="004E7018"/>
    <w:rsid w:val="004F76E7"/>
    <w:rsid w:val="00533136"/>
    <w:rsid w:val="00545012"/>
    <w:rsid w:val="00546F2F"/>
    <w:rsid w:val="005567BB"/>
    <w:rsid w:val="00564DFB"/>
    <w:rsid w:val="0058529B"/>
    <w:rsid w:val="00585467"/>
    <w:rsid w:val="005B051A"/>
    <w:rsid w:val="005C02E1"/>
    <w:rsid w:val="005C2B91"/>
    <w:rsid w:val="005C4FA5"/>
    <w:rsid w:val="005D04DD"/>
    <w:rsid w:val="005D3D8E"/>
    <w:rsid w:val="005E67C7"/>
    <w:rsid w:val="005F09A2"/>
    <w:rsid w:val="00600E38"/>
    <w:rsid w:val="0063101B"/>
    <w:rsid w:val="00635E46"/>
    <w:rsid w:val="0064634C"/>
    <w:rsid w:val="00656FA3"/>
    <w:rsid w:val="00672E1C"/>
    <w:rsid w:val="0067733A"/>
    <w:rsid w:val="006B0509"/>
    <w:rsid w:val="006C2518"/>
    <w:rsid w:val="006C303D"/>
    <w:rsid w:val="00760D3A"/>
    <w:rsid w:val="007612A8"/>
    <w:rsid w:val="00772419"/>
    <w:rsid w:val="00775382"/>
    <w:rsid w:val="007C3E21"/>
    <w:rsid w:val="007D5560"/>
    <w:rsid w:val="007F231A"/>
    <w:rsid w:val="008120A5"/>
    <w:rsid w:val="00830ED0"/>
    <w:rsid w:val="008333F0"/>
    <w:rsid w:val="0084742C"/>
    <w:rsid w:val="00870357"/>
    <w:rsid w:val="008C2DA7"/>
    <w:rsid w:val="008D5071"/>
    <w:rsid w:val="00922A92"/>
    <w:rsid w:val="0093399E"/>
    <w:rsid w:val="00960AEC"/>
    <w:rsid w:val="00964E4D"/>
    <w:rsid w:val="009703FD"/>
    <w:rsid w:val="00987636"/>
    <w:rsid w:val="00987EFE"/>
    <w:rsid w:val="0099319B"/>
    <w:rsid w:val="00993F77"/>
    <w:rsid w:val="009A302E"/>
    <w:rsid w:val="009B72B1"/>
    <w:rsid w:val="009D199F"/>
    <w:rsid w:val="009D3118"/>
    <w:rsid w:val="009D4F3A"/>
    <w:rsid w:val="009F1B86"/>
    <w:rsid w:val="009F5580"/>
    <w:rsid w:val="00A26EE8"/>
    <w:rsid w:val="00A30CF8"/>
    <w:rsid w:val="00A311E6"/>
    <w:rsid w:val="00A33693"/>
    <w:rsid w:val="00A351B9"/>
    <w:rsid w:val="00A53E8F"/>
    <w:rsid w:val="00A60F51"/>
    <w:rsid w:val="00A70905"/>
    <w:rsid w:val="00A77433"/>
    <w:rsid w:val="00A81672"/>
    <w:rsid w:val="00A84249"/>
    <w:rsid w:val="00A9584F"/>
    <w:rsid w:val="00A963FD"/>
    <w:rsid w:val="00AD1D50"/>
    <w:rsid w:val="00AE4C3A"/>
    <w:rsid w:val="00B34504"/>
    <w:rsid w:val="00B72404"/>
    <w:rsid w:val="00BA04C0"/>
    <w:rsid w:val="00BA0734"/>
    <w:rsid w:val="00BB33DC"/>
    <w:rsid w:val="00BC4AEF"/>
    <w:rsid w:val="00BE1B22"/>
    <w:rsid w:val="00BF3FC8"/>
    <w:rsid w:val="00C22C8B"/>
    <w:rsid w:val="00C3096D"/>
    <w:rsid w:val="00C30E01"/>
    <w:rsid w:val="00C46D66"/>
    <w:rsid w:val="00C73C71"/>
    <w:rsid w:val="00C95D48"/>
    <w:rsid w:val="00CC57A0"/>
    <w:rsid w:val="00CC64B0"/>
    <w:rsid w:val="00D1314A"/>
    <w:rsid w:val="00D2484E"/>
    <w:rsid w:val="00D357F0"/>
    <w:rsid w:val="00D36591"/>
    <w:rsid w:val="00D63358"/>
    <w:rsid w:val="00D636FC"/>
    <w:rsid w:val="00D747CA"/>
    <w:rsid w:val="00D760CC"/>
    <w:rsid w:val="00D8510C"/>
    <w:rsid w:val="00D931AE"/>
    <w:rsid w:val="00DA6D5F"/>
    <w:rsid w:val="00DB20F2"/>
    <w:rsid w:val="00DC51FB"/>
    <w:rsid w:val="00DE63C3"/>
    <w:rsid w:val="00E25454"/>
    <w:rsid w:val="00E27AF6"/>
    <w:rsid w:val="00E33D02"/>
    <w:rsid w:val="00E37B00"/>
    <w:rsid w:val="00E37F5B"/>
    <w:rsid w:val="00E62109"/>
    <w:rsid w:val="00E65C7D"/>
    <w:rsid w:val="00E82219"/>
    <w:rsid w:val="00E87076"/>
    <w:rsid w:val="00E923CD"/>
    <w:rsid w:val="00E9665E"/>
    <w:rsid w:val="00E97877"/>
    <w:rsid w:val="00EB2BA1"/>
    <w:rsid w:val="00F11AF8"/>
    <w:rsid w:val="00F23C2B"/>
    <w:rsid w:val="00F26AAE"/>
    <w:rsid w:val="00F43457"/>
    <w:rsid w:val="00F626E5"/>
    <w:rsid w:val="00F6575A"/>
    <w:rsid w:val="00F85BB8"/>
    <w:rsid w:val="00F87BB8"/>
    <w:rsid w:val="00F90BAF"/>
    <w:rsid w:val="00F935F2"/>
    <w:rsid w:val="00FA7928"/>
    <w:rsid w:val="00FC2CDD"/>
    <w:rsid w:val="00FC5F14"/>
    <w:rsid w:val="00FF0C65"/>
    <w:rsid w:val="00FF3B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14D52"/>
  <w15:chartTrackingRefBased/>
  <w15:docId w15:val="{FA6C04BE-CF9F-4ABA-AB02-9DF38F3B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2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852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852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52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52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5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852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852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52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52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5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29B"/>
    <w:rPr>
      <w:rFonts w:eastAsiaTheme="majorEastAsia" w:cstheme="majorBidi"/>
      <w:color w:val="272727" w:themeColor="text1" w:themeTint="D8"/>
    </w:rPr>
  </w:style>
  <w:style w:type="paragraph" w:styleId="Title">
    <w:name w:val="Title"/>
    <w:basedOn w:val="Normal"/>
    <w:next w:val="Normal"/>
    <w:link w:val="TitleChar"/>
    <w:uiPriority w:val="10"/>
    <w:qFormat/>
    <w:rsid w:val="00585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29B"/>
    <w:pPr>
      <w:spacing w:before="160"/>
      <w:jc w:val="center"/>
    </w:pPr>
    <w:rPr>
      <w:i/>
      <w:iCs/>
      <w:color w:val="404040" w:themeColor="text1" w:themeTint="BF"/>
    </w:rPr>
  </w:style>
  <w:style w:type="character" w:customStyle="1" w:styleId="QuoteChar">
    <w:name w:val="Quote Char"/>
    <w:basedOn w:val="DefaultParagraphFont"/>
    <w:link w:val="Quote"/>
    <w:uiPriority w:val="29"/>
    <w:rsid w:val="0058529B"/>
    <w:rPr>
      <w:i/>
      <w:iCs/>
      <w:color w:val="404040" w:themeColor="text1" w:themeTint="BF"/>
    </w:rPr>
  </w:style>
  <w:style w:type="paragraph" w:styleId="ListParagraph">
    <w:name w:val="List Paragraph"/>
    <w:basedOn w:val="Normal"/>
    <w:uiPriority w:val="34"/>
    <w:qFormat/>
    <w:rsid w:val="0058529B"/>
    <w:pPr>
      <w:ind w:left="720"/>
      <w:contextualSpacing/>
    </w:pPr>
  </w:style>
  <w:style w:type="character" w:styleId="IntenseEmphasis">
    <w:name w:val="Intense Emphasis"/>
    <w:basedOn w:val="DefaultParagraphFont"/>
    <w:uiPriority w:val="21"/>
    <w:qFormat/>
    <w:rsid w:val="0058529B"/>
    <w:rPr>
      <w:i/>
      <w:iCs/>
      <w:color w:val="2F5496" w:themeColor="accent1" w:themeShade="BF"/>
    </w:rPr>
  </w:style>
  <w:style w:type="paragraph" w:styleId="IntenseQuote">
    <w:name w:val="Intense Quote"/>
    <w:basedOn w:val="Normal"/>
    <w:next w:val="Normal"/>
    <w:link w:val="IntenseQuoteChar"/>
    <w:uiPriority w:val="30"/>
    <w:qFormat/>
    <w:rsid w:val="005852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529B"/>
    <w:rPr>
      <w:i/>
      <w:iCs/>
      <w:color w:val="2F5496" w:themeColor="accent1" w:themeShade="BF"/>
    </w:rPr>
  </w:style>
  <w:style w:type="character" w:styleId="IntenseReference">
    <w:name w:val="Intense Reference"/>
    <w:basedOn w:val="DefaultParagraphFont"/>
    <w:uiPriority w:val="32"/>
    <w:qFormat/>
    <w:rsid w:val="0058529B"/>
    <w:rPr>
      <w:b/>
      <w:bCs/>
      <w:smallCaps/>
      <w:color w:val="2F5496" w:themeColor="accent1" w:themeShade="BF"/>
      <w:spacing w:val="5"/>
    </w:rPr>
  </w:style>
  <w:style w:type="paragraph" w:customStyle="1" w:styleId="msonormal0">
    <w:name w:val="msonormal"/>
    <w:basedOn w:val="Normal"/>
    <w:rsid w:val="00A7090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A7090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70905"/>
    <w:rPr>
      <w:i/>
      <w:iCs/>
    </w:rPr>
  </w:style>
  <w:style w:type="character" w:styleId="Strong">
    <w:name w:val="Strong"/>
    <w:basedOn w:val="DefaultParagraphFont"/>
    <w:uiPriority w:val="22"/>
    <w:qFormat/>
    <w:rsid w:val="00A70905"/>
    <w:rPr>
      <w:b/>
      <w:bCs/>
    </w:rPr>
  </w:style>
  <w:style w:type="paragraph" w:styleId="Header">
    <w:name w:val="header"/>
    <w:basedOn w:val="Normal"/>
    <w:link w:val="HeaderChar"/>
    <w:uiPriority w:val="99"/>
    <w:unhideWhenUsed/>
    <w:rsid w:val="00760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D3A"/>
  </w:style>
  <w:style w:type="paragraph" w:styleId="Footer">
    <w:name w:val="footer"/>
    <w:basedOn w:val="Normal"/>
    <w:link w:val="FooterChar"/>
    <w:uiPriority w:val="99"/>
    <w:unhideWhenUsed/>
    <w:rsid w:val="00760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D3A"/>
  </w:style>
  <w:style w:type="character" w:styleId="Hyperlink">
    <w:name w:val="Hyperlink"/>
    <w:basedOn w:val="DefaultParagraphFont"/>
    <w:uiPriority w:val="99"/>
    <w:unhideWhenUsed/>
    <w:rsid w:val="000A0BD9"/>
    <w:rPr>
      <w:color w:val="0563C1" w:themeColor="hyperlink"/>
      <w:u w:val="single"/>
    </w:rPr>
  </w:style>
  <w:style w:type="character" w:styleId="UnresolvedMention">
    <w:name w:val="Unresolved Mention"/>
    <w:basedOn w:val="DefaultParagraphFont"/>
    <w:uiPriority w:val="99"/>
    <w:semiHidden/>
    <w:unhideWhenUsed/>
    <w:rsid w:val="000A0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0418">
      <w:bodyDiv w:val="1"/>
      <w:marLeft w:val="0"/>
      <w:marRight w:val="0"/>
      <w:marTop w:val="0"/>
      <w:marBottom w:val="0"/>
      <w:divBdr>
        <w:top w:val="none" w:sz="0" w:space="0" w:color="auto"/>
        <w:left w:val="none" w:sz="0" w:space="0" w:color="auto"/>
        <w:bottom w:val="none" w:sz="0" w:space="0" w:color="auto"/>
        <w:right w:val="none" w:sz="0" w:space="0" w:color="auto"/>
      </w:divBdr>
    </w:div>
    <w:div w:id="54670001">
      <w:bodyDiv w:val="1"/>
      <w:marLeft w:val="0"/>
      <w:marRight w:val="0"/>
      <w:marTop w:val="0"/>
      <w:marBottom w:val="0"/>
      <w:divBdr>
        <w:top w:val="none" w:sz="0" w:space="0" w:color="auto"/>
        <w:left w:val="none" w:sz="0" w:space="0" w:color="auto"/>
        <w:bottom w:val="none" w:sz="0" w:space="0" w:color="auto"/>
        <w:right w:val="none" w:sz="0" w:space="0" w:color="auto"/>
      </w:divBdr>
    </w:div>
    <w:div w:id="54859331">
      <w:bodyDiv w:val="1"/>
      <w:marLeft w:val="0"/>
      <w:marRight w:val="0"/>
      <w:marTop w:val="0"/>
      <w:marBottom w:val="0"/>
      <w:divBdr>
        <w:top w:val="none" w:sz="0" w:space="0" w:color="auto"/>
        <w:left w:val="none" w:sz="0" w:space="0" w:color="auto"/>
        <w:bottom w:val="none" w:sz="0" w:space="0" w:color="auto"/>
        <w:right w:val="none" w:sz="0" w:space="0" w:color="auto"/>
      </w:divBdr>
    </w:div>
    <w:div w:id="74472753">
      <w:bodyDiv w:val="1"/>
      <w:marLeft w:val="0"/>
      <w:marRight w:val="0"/>
      <w:marTop w:val="0"/>
      <w:marBottom w:val="0"/>
      <w:divBdr>
        <w:top w:val="none" w:sz="0" w:space="0" w:color="auto"/>
        <w:left w:val="none" w:sz="0" w:space="0" w:color="auto"/>
        <w:bottom w:val="none" w:sz="0" w:space="0" w:color="auto"/>
        <w:right w:val="none" w:sz="0" w:space="0" w:color="auto"/>
      </w:divBdr>
    </w:div>
    <w:div w:id="97871066">
      <w:bodyDiv w:val="1"/>
      <w:marLeft w:val="0"/>
      <w:marRight w:val="0"/>
      <w:marTop w:val="0"/>
      <w:marBottom w:val="0"/>
      <w:divBdr>
        <w:top w:val="none" w:sz="0" w:space="0" w:color="auto"/>
        <w:left w:val="none" w:sz="0" w:space="0" w:color="auto"/>
        <w:bottom w:val="none" w:sz="0" w:space="0" w:color="auto"/>
        <w:right w:val="none" w:sz="0" w:space="0" w:color="auto"/>
      </w:divBdr>
    </w:div>
    <w:div w:id="105126971">
      <w:bodyDiv w:val="1"/>
      <w:marLeft w:val="0"/>
      <w:marRight w:val="0"/>
      <w:marTop w:val="0"/>
      <w:marBottom w:val="0"/>
      <w:divBdr>
        <w:top w:val="none" w:sz="0" w:space="0" w:color="auto"/>
        <w:left w:val="none" w:sz="0" w:space="0" w:color="auto"/>
        <w:bottom w:val="none" w:sz="0" w:space="0" w:color="auto"/>
        <w:right w:val="none" w:sz="0" w:space="0" w:color="auto"/>
      </w:divBdr>
    </w:div>
    <w:div w:id="135537137">
      <w:bodyDiv w:val="1"/>
      <w:marLeft w:val="0"/>
      <w:marRight w:val="0"/>
      <w:marTop w:val="0"/>
      <w:marBottom w:val="0"/>
      <w:divBdr>
        <w:top w:val="none" w:sz="0" w:space="0" w:color="auto"/>
        <w:left w:val="none" w:sz="0" w:space="0" w:color="auto"/>
        <w:bottom w:val="none" w:sz="0" w:space="0" w:color="auto"/>
        <w:right w:val="none" w:sz="0" w:space="0" w:color="auto"/>
      </w:divBdr>
    </w:div>
    <w:div w:id="137571294">
      <w:bodyDiv w:val="1"/>
      <w:marLeft w:val="0"/>
      <w:marRight w:val="0"/>
      <w:marTop w:val="0"/>
      <w:marBottom w:val="0"/>
      <w:divBdr>
        <w:top w:val="none" w:sz="0" w:space="0" w:color="auto"/>
        <w:left w:val="none" w:sz="0" w:space="0" w:color="auto"/>
        <w:bottom w:val="none" w:sz="0" w:space="0" w:color="auto"/>
        <w:right w:val="none" w:sz="0" w:space="0" w:color="auto"/>
      </w:divBdr>
    </w:div>
    <w:div w:id="179972825">
      <w:bodyDiv w:val="1"/>
      <w:marLeft w:val="0"/>
      <w:marRight w:val="0"/>
      <w:marTop w:val="0"/>
      <w:marBottom w:val="0"/>
      <w:divBdr>
        <w:top w:val="none" w:sz="0" w:space="0" w:color="auto"/>
        <w:left w:val="none" w:sz="0" w:space="0" w:color="auto"/>
        <w:bottom w:val="none" w:sz="0" w:space="0" w:color="auto"/>
        <w:right w:val="none" w:sz="0" w:space="0" w:color="auto"/>
      </w:divBdr>
    </w:div>
    <w:div w:id="209197893">
      <w:bodyDiv w:val="1"/>
      <w:marLeft w:val="0"/>
      <w:marRight w:val="0"/>
      <w:marTop w:val="0"/>
      <w:marBottom w:val="0"/>
      <w:divBdr>
        <w:top w:val="none" w:sz="0" w:space="0" w:color="auto"/>
        <w:left w:val="none" w:sz="0" w:space="0" w:color="auto"/>
        <w:bottom w:val="none" w:sz="0" w:space="0" w:color="auto"/>
        <w:right w:val="none" w:sz="0" w:space="0" w:color="auto"/>
      </w:divBdr>
    </w:div>
    <w:div w:id="219053260">
      <w:bodyDiv w:val="1"/>
      <w:marLeft w:val="0"/>
      <w:marRight w:val="0"/>
      <w:marTop w:val="0"/>
      <w:marBottom w:val="0"/>
      <w:divBdr>
        <w:top w:val="none" w:sz="0" w:space="0" w:color="auto"/>
        <w:left w:val="none" w:sz="0" w:space="0" w:color="auto"/>
        <w:bottom w:val="none" w:sz="0" w:space="0" w:color="auto"/>
        <w:right w:val="none" w:sz="0" w:space="0" w:color="auto"/>
      </w:divBdr>
    </w:div>
    <w:div w:id="264460041">
      <w:bodyDiv w:val="1"/>
      <w:marLeft w:val="0"/>
      <w:marRight w:val="0"/>
      <w:marTop w:val="0"/>
      <w:marBottom w:val="0"/>
      <w:divBdr>
        <w:top w:val="none" w:sz="0" w:space="0" w:color="auto"/>
        <w:left w:val="none" w:sz="0" w:space="0" w:color="auto"/>
        <w:bottom w:val="none" w:sz="0" w:space="0" w:color="auto"/>
        <w:right w:val="none" w:sz="0" w:space="0" w:color="auto"/>
      </w:divBdr>
    </w:div>
    <w:div w:id="267736340">
      <w:bodyDiv w:val="1"/>
      <w:marLeft w:val="0"/>
      <w:marRight w:val="0"/>
      <w:marTop w:val="0"/>
      <w:marBottom w:val="0"/>
      <w:divBdr>
        <w:top w:val="none" w:sz="0" w:space="0" w:color="auto"/>
        <w:left w:val="none" w:sz="0" w:space="0" w:color="auto"/>
        <w:bottom w:val="none" w:sz="0" w:space="0" w:color="auto"/>
        <w:right w:val="none" w:sz="0" w:space="0" w:color="auto"/>
      </w:divBdr>
    </w:div>
    <w:div w:id="272326362">
      <w:bodyDiv w:val="1"/>
      <w:marLeft w:val="0"/>
      <w:marRight w:val="0"/>
      <w:marTop w:val="0"/>
      <w:marBottom w:val="0"/>
      <w:divBdr>
        <w:top w:val="none" w:sz="0" w:space="0" w:color="auto"/>
        <w:left w:val="none" w:sz="0" w:space="0" w:color="auto"/>
        <w:bottom w:val="none" w:sz="0" w:space="0" w:color="auto"/>
        <w:right w:val="none" w:sz="0" w:space="0" w:color="auto"/>
      </w:divBdr>
    </w:div>
    <w:div w:id="273287338">
      <w:bodyDiv w:val="1"/>
      <w:marLeft w:val="0"/>
      <w:marRight w:val="0"/>
      <w:marTop w:val="0"/>
      <w:marBottom w:val="0"/>
      <w:divBdr>
        <w:top w:val="none" w:sz="0" w:space="0" w:color="auto"/>
        <w:left w:val="none" w:sz="0" w:space="0" w:color="auto"/>
        <w:bottom w:val="none" w:sz="0" w:space="0" w:color="auto"/>
        <w:right w:val="none" w:sz="0" w:space="0" w:color="auto"/>
      </w:divBdr>
    </w:div>
    <w:div w:id="292029572">
      <w:bodyDiv w:val="1"/>
      <w:marLeft w:val="0"/>
      <w:marRight w:val="0"/>
      <w:marTop w:val="0"/>
      <w:marBottom w:val="0"/>
      <w:divBdr>
        <w:top w:val="none" w:sz="0" w:space="0" w:color="auto"/>
        <w:left w:val="none" w:sz="0" w:space="0" w:color="auto"/>
        <w:bottom w:val="none" w:sz="0" w:space="0" w:color="auto"/>
        <w:right w:val="none" w:sz="0" w:space="0" w:color="auto"/>
      </w:divBdr>
    </w:div>
    <w:div w:id="300425517">
      <w:bodyDiv w:val="1"/>
      <w:marLeft w:val="0"/>
      <w:marRight w:val="0"/>
      <w:marTop w:val="0"/>
      <w:marBottom w:val="0"/>
      <w:divBdr>
        <w:top w:val="none" w:sz="0" w:space="0" w:color="auto"/>
        <w:left w:val="none" w:sz="0" w:space="0" w:color="auto"/>
        <w:bottom w:val="none" w:sz="0" w:space="0" w:color="auto"/>
        <w:right w:val="none" w:sz="0" w:space="0" w:color="auto"/>
      </w:divBdr>
    </w:div>
    <w:div w:id="306934852">
      <w:bodyDiv w:val="1"/>
      <w:marLeft w:val="0"/>
      <w:marRight w:val="0"/>
      <w:marTop w:val="0"/>
      <w:marBottom w:val="0"/>
      <w:divBdr>
        <w:top w:val="none" w:sz="0" w:space="0" w:color="auto"/>
        <w:left w:val="none" w:sz="0" w:space="0" w:color="auto"/>
        <w:bottom w:val="none" w:sz="0" w:space="0" w:color="auto"/>
        <w:right w:val="none" w:sz="0" w:space="0" w:color="auto"/>
      </w:divBdr>
    </w:div>
    <w:div w:id="333384414">
      <w:bodyDiv w:val="1"/>
      <w:marLeft w:val="0"/>
      <w:marRight w:val="0"/>
      <w:marTop w:val="0"/>
      <w:marBottom w:val="0"/>
      <w:divBdr>
        <w:top w:val="none" w:sz="0" w:space="0" w:color="auto"/>
        <w:left w:val="none" w:sz="0" w:space="0" w:color="auto"/>
        <w:bottom w:val="none" w:sz="0" w:space="0" w:color="auto"/>
        <w:right w:val="none" w:sz="0" w:space="0" w:color="auto"/>
      </w:divBdr>
    </w:div>
    <w:div w:id="340284235">
      <w:bodyDiv w:val="1"/>
      <w:marLeft w:val="0"/>
      <w:marRight w:val="0"/>
      <w:marTop w:val="0"/>
      <w:marBottom w:val="0"/>
      <w:divBdr>
        <w:top w:val="none" w:sz="0" w:space="0" w:color="auto"/>
        <w:left w:val="none" w:sz="0" w:space="0" w:color="auto"/>
        <w:bottom w:val="none" w:sz="0" w:space="0" w:color="auto"/>
        <w:right w:val="none" w:sz="0" w:space="0" w:color="auto"/>
      </w:divBdr>
    </w:div>
    <w:div w:id="362101068">
      <w:bodyDiv w:val="1"/>
      <w:marLeft w:val="0"/>
      <w:marRight w:val="0"/>
      <w:marTop w:val="0"/>
      <w:marBottom w:val="0"/>
      <w:divBdr>
        <w:top w:val="none" w:sz="0" w:space="0" w:color="auto"/>
        <w:left w:val="none" w:sz="0" w:space="0" w:color="auto"/>
        <w:bottom w:val="none" w:sz="0" w:space="0" w:color="auto"/>
        <w:right w:val="none" w:sz="0" w:space="0" w:color="auto"/>
      </w:divBdr>
    </w:div>
    <w:div w:id="363866246">
      <w:bodyDiv w:val="1"/>
      <w:marLeft w:val="0"/>
      <w:marRight w:val="0"/>
      <w:marTop w:val="0"/>
      <w:marBottom w:val="0"/>
      <w:divBdr>
        <w:top w:val="none" w:sz="0" w:space="0" w:color="auto"/>
        <w:left w:val="none" w:sz="0" w:space="0" w:color="auto"/>
        <w:bottom w:val="none" w:sz="0" w:space="0" w:color="auto"/>
        <w:right w:val="none" w:sz="0" w:space="0" w:color="auto"/>
      </w:divBdr>
    </w:div>
    <w:div w:id="376584411">
      <w:bodyDiv w:val="1"/>
      <w:marLeft w:val="0"/>
      <w:marRight w:val="0"/>
      <w:marTop w:val="0"/>
      <w:marBottom w:val="0"/>
      <w:divBdr>
        <w:top w:val="none" w:sz="0" w:space="0" w:color="auto"/>
        <w:left w:val="none" w:sz="0" w:space="0" w:color="auto"/>
        <w:bottom w:val="none" w:sz="0" w:space="0" w:color="auto"/>
        <w:right w:val="none" w:sz="0" w:space="0" w:color="auto"/>
      </w:divBdr>
    </w:div>
    <w:div w:id="402265789">
      <w:bodyDiv w:val="1"/>
      <w:marLeft w:val="0"/>
      <w:marRight w:val="0"/>
      <w:marTop w:val="0"/>
      <w:marBottom w:val="0"/>
      <w:divBdr>
        <w:top w:val="none" w:sz="0" w:space="0" w:color="auto"/>
        <w:left w:val="none" w:sz="0" w:space="0" w:color="auto"/>
        <w:bottom w:val="none" w:sz="0" w:space="0" w:color="auto"/>
        <w:right w:val="none" w:sz="0" w:space="0" w:color="auto"/>
      </w:divBdr>
    </w:div>
    <w:div w:id="408695773">
      <w:bodyDiv w:val="1"/>
      <w:marLeft w:val="0"/>
      <w:marRight w:val="0"/>
      <w:marTop w:val="0"/>
      <w:marBottom w:val="0"/>
      <w:divBdr>
        <w:top w:val="none" w:sz="0" w:space="0" w:color="auto"/>
        <w:left w:val="none" w:sz="0" w:space="0" w:color="auto"/>
        <w:bottom w:val="none" w:sz="0" w:space="0" w:color="auto"/>
        <w:right w:val="none" w:sz="0" w:space="0" w:color="auto"/>
      </w:divBdr>
    </w:div>
    <w:div w:id="436024213">
      <w:bodyDiv w:val="1"/>
      <w:marLeft w:val="0"/>
      <w:marRight w:val="0"/>
      <w:marTop w:val="0"/>
      <w:marBottom w:val="0"/>
      <w:divBdr>
        <w:top w:val="none" w:sz="0" w:space="0" w:color="auto"/>
        <w:left w:val="none" w:sz="0" w:space="0" w:color="auto"/>
        <w:bottom w:val="none" w:sz="0" w:space="0" w:color="auto"/>
        <w:right w:val="none" w:sz="0" w:space="0" w:color="auto"/>
      </w:divBdr>
    </w:div>
    <w:div w:id="442917582">
      <w:bodyDiv w:val="1"/>
      <w:marLeft w:val="0"/>
      <w:marRight w:val="0"/>
      <w:marTop w:val="0"/>
      <w:marBottom w:val="0"/>
      <w:divBdr>
        <w:top w:val="none" w:sz="0" w:space="0" w:color="auto"/>
        <w:left w:val="none" w:sz="0" w:space="0" w:color="auto"/>
        <w:bottom w:val="none" w:sz="0" w:space="0" w:color="auto"/>
        <w:right w:val="none" w:sz="0" w:space="0" w:color="auto"/>
      </w:divBdr>
    </w:div>
    <w:div w:id="487012793">
      <w:bodyDiv w:val="1"/>
      <w:marLeft w:val="0"/>
      <w:marRight w:val="0"/>
      <w:marTop w:val="0"/>
      <w:marBottom w:val="0"/>
      <w:divBdr>
        <w:top w:val="none" w:sz="0" w:space="0" w:color="auto"/>
        <w:left w:val="none" w:sz="0" w:space="0" w:color="auto"/>
        <w:bottom w:val="none" w:sz="0" w:space="0" w:color="auto"/>
        <w:right w:val="none" w:sz="0" w:space="0" w:color="auto"/>
      </w:divBdr>
    </w:div>
    <w:div w:id="506332994">
      <w:bodyDiv w:val="1"/>
      <w:marLeft w:val="0"/>
      <w:marRight w:val="0"/>
      <w:marTop w:val="0"/>
      <w:marBottom w:val="0"/>
      <w:divBdr>
        <w:top w:val="none" w:sz="0" w:space="0" w:color="auto"/>
        <w:left w:val="none" w:sz="0" w:space="0" w:color="auto"/>
        <w:bottom w:val="none" w:sz="0" w:space="0" w:color="auto"/>
        <w:right w:val="none" w:sz="0" w:space="0" w:color="auto"/>
      </w:divBdr>
    </w:div>
    <w:div w:id="535657532">
      <w:bodyDiv w:val="1"/>
      <w:marLeft w:val="0"/>
      <w:marRight w:val="0"/>
      <w:marTop w:val="0"/>
      <w:marBottom w:val="0"/>
      <w:divBdr>
        <w:top w:val="none" w:sz="0" w:space="0" w:color="auto"/>
        <w:left w:val="none" w:sz="0" w:space="0" w:color="auto"/>
        <w:bottom w:val="none" w:sz="0" w:space="0" w:color="auto"/>
        <w:right w:val="none" w:sz="0" w:space="0" w:color="auto"/>
      </w:divBdr>
    </w:div>
    <w:div w:id="547767793">
      <w:bodyDiv w:val="1"/>
      <w:marLeft w:val="0"/>
      <w:marRight w:val="0"/>
      <w:marTop w:val="0"/>
      <w:marBottom w:val="0"/>
      <w:divBdr>
        <w:top w:val="none" w:sz="0" w:space="0" w:color="auto"/>
        <w:left w:val="none" w:sz="0" w:space="0" w:color="auto"/>
        <w:bottom w:val="none" w:sz="0" w:space="0" w:color="auto"/>
        <w:right w:val="none" w:sz="0" w:space="0" w:color="auto"/>
      </w:divBdr>
    </w:div>
    <w:div w:id="558905599">
      <w:bodyDiv w:val="1"/>
      <w:marLeft w:val="0"/>
      <w:marRight w:val="0"/>
      <w:marTop w:val="0"/>
      <w:marBottom w:val="0"/>
      <w:divBdr>
        <w:top w:val="none" w:sz="0" w:space="0" w:color="auto"/>
        <w:left w:val="none" w:sz="0" w:space="0" w:color="auto"/>
        <w:bottom w:val="none" w:sz="0" w:space="0" w:color="auto"/>
        <w:right w:val="none" w:sz="0" w:space="0" w:color="auto"/>
      </w:divBdr>
    </w:div>
    <w:div w:id="602805971">
      <w:bodyDiv w:val="1"/>
      <w:marLeft w:val="0"/>
      <w:marRight w:val="0"/>
      <w:marTop w:val="0"/>
      <w:marBottom w:val="0"/>
      <w:divBdr>
        <w:top w:val="none" w:sz="0" w:space="0" w:color="auto"/>
        <w:left w:val="none" w:sz="0" w:space="0" w:color="auto"/>
        <w:bottom w:val="none" w:sz="0" w:space="0" w:color="auto"/>
        <w:right w:val="none" w:sz="0" w:space="0" w:color="auto"/>
      </w:divBdr>
    </w:div>
    <w:div w:id="620065379">
      <w:bodyDiv w:val="1"/>
      <w:marLeft w:val="0"/>
      <w:marRight w:val="0"/>
      <w:marTop w:val="0"/>
      <w:marBottom w:val="0"/>
      <w:divBdr>
        <w:top w:val="none" w:sz="0" w:space="0" w:color="auto"/>
        <w:left w:val="none" w:sz="0" w:space="0" w:color="auto"/>
        <w:bottom w:val="none" w:sz="0" w:space="0" w:color="auto"/>
        <w:right w:val="none" w:sz="0" w:space="0" w:color="auto"/>
      </w:divBdr>
    </w:div>
    <w:div w:id="628508659">
      <w:bodyDiv w:val="1"/>
      <w:marLeft w:val="0"/>
      <w:marRight w:val="0"/>
      <w:marTop w:val="0"/>
      <w:marBottom w:val="0"/>
      <w:divBdr>
        <w:top w:val="none" w:sz="0" w:space="0" w:color="auto"/>
        <w:left w:val="none" w:sz="0" w:space="0" w:color="auto"/>
        <w:bottom w:val="none" w:sz="0" w:space="0" w:color="auto"/>
        <w:right w:val="none" w:sz="0" w:space="0" w:color="auto"/>
      </w:divBdr>
    </w:div>
    <w:div w:id="703020453">
      <w:bodyDiv w:val="1"/>
      <w:marLeft w:val="0"/>
      <w:marRight w:val="0"/>
      <w:marTop w:val="0"/>
      <w:marBottom w:val="0"/>
      <w:divBdr>
        <w:top w:val="none" w:sz="0" w:space="0" w:color="auto"/>
        <w:left w:val="none" w:sz="0" w:space="0" w:color="auto"/>
        <w:bottom w:val="none" w:sz="0" w:space="0" w:color="auto"/>
        <w:right w:val="none" w:sz="0" w:space="0" w:color="auto"/>
      </w:divBdr>
    </w:div>
    <w:div w:id="704478923">
      <w:bodyDiv w:val="1"/>
      <w:marLeft w:val="0"/>
      <w:marRight w:val="0"/>
      <w:marTop w:val="0"/>
      <w:marBottom w:val="0"/>
      <w:divBdr>
        <w:top w:val="none" w:sz="0" w:space="0" w:color="auto"/>
        <w:left w:val="none" w:sz="0" w:space="0" w:color="auto"/>
        <w:bottom w:val="none" w:sz="0" w:space="0" w:color="auto"/>
        <w:right w:val="none" w:sz="0" w:space="0" w:color="auto"/>
      </w:divBdr>
    </w:div>
    <w:div w:id="708724246">
      <w:bodyDiv w:val="1"/>
      <w:marLeft w:val="0"/>
      <w:marRight w:val="0"/>
      <w:marTop w:val="0"/>
      <w:marBottom w:val="0"/>
      <w:divBdr>
        <w:top w:val="none" w:sz="0" w:space="0" w:color="auto"/>
        <w:left w:val="none" w:sz="0" w:space="0" w:color="auto"/>
        <w:bottom w:val="none" w:sz="0" w:space="0" w:color="auto"/>
        <w:right w:val="none" w:sz="0" w:space="0" w:color="auto"/>
      </w:divBdr>
    </w:div>
    <w:div w:id="711617141">
      <w:bodyDiv w:val="1"/>
      <w:marLeft w:val="0"/>
      <w:marRight w:val="0"/>
      <w:marTop w:val="0"/>
      <w:marBottom w:val="0"/>
      <w:divBdr>
        <w:top w:val="none" w:sz="0" w:space="0" w:color="auto"/>
        <w:left w:val="none" w:sz="0" w:space="0" w:color="auto"/>
        <w:bottom w:val="none" w:sz="0" w:space="0" w:color="auto"/>
        <w:right w:val="none" w:sz="0" w:space="0" w:color="auto"/>
      </w:divBdr>
    </w:div>
    <w:div w:id="732239179">
      <w:bodyDiv w:val="1"/>
      <w:marLeft w:val="0"/>
      <w:marRight w:val="0"/>
      <w:marTop w:val="0"/>
      <w:marBottom w:val="0"/>
      <w:divBdr>
        <w:top w:val="none" w:sz="0" w:space="0" w:color="auto"/>
        <w:left w:val="none" w:sz="0" w:space="0" w:color="auto"/>
        <w:bottom w:val="none" w:sz="0" w:space="0" w:color="auto"/>
        <w:right w:val="none" w:sz="0" w:space="0" w:color="auto"/>
      </w:divBdr>
    </w:div>
    <w:div w:id="766268676">
      <w:bodyDiv w:val="1"/>
      <w:marLeft w:val="0"/>
      <w:marRight w:val="0"/>
      <w:marTop w:val="0"/>
      <w:marBottom w:val="0"/>
      <w:divBdr>
        <w:top w:val="none" w:sz="0" w:space="0" w:color="auto"/>
        <w:left w:val="none" w:sz="0" w:space="0" w:color="auto"/>
        <w:bottom w:val="none" w:sz="0" w:space="0" w:color="auto"/>
        <w:right w:val="none" w:sz="0" w:space="0" w:color="auto"/>
      </w:divBdr>
    </w:div>
    <w:div w:id="770203920">
      <w:bodyDiv w:val="1"/>
      <w:marLeft w:val="0"/>
      <w:marRight w:val="0"/>
      <w:marTop w:val="0"/>
      <w:marBottom w:val="0"/>
      <w:divBdr>
        <w:top w:val="none" w:sz="0" w:space="0" w:color="auto"/>
        <w:left w:val="none" w:sz="0" w:space="0" w:color="auto"/>
        <w:bottom w:val="none" w:sz="0" w:space="0" w:color="auto"/>
        <w:right w:val="none" w:sz="0" w:space="0" w:color="auto"/>
      </w:divBdr>
    </w:div>
    <w:div w:id="932325649">
      <w:bodyDiv w:val="1"/>
      <w:marLeft w:val="0"/>
      <w:marRight w:val="0"/>
      <w:marTop w:val="0"/>
      <w:marBottom w:val="0"/>
      <w:divBdr>
        <w:top w:val="none" w:sz="0" w:space="0" w:color="auto"/>
        <w:left w:val="none" w:sz="0" w:space="0" w:color="auto"/>
        <w:bottom w:val="none" w:sz="0" w:space="0" w:color="auto"/>
        <w:right w:val="none" w:sz="0" w:space="0" w:color="auto"/>
      </w:divBdr>
    </w:div>
    <w:div w:id="959841306">
      <w:bodyDiv w:val="1"/>
      <w:marLeft w:val="0"/>
      <w:marRight w:val="0"/>
      <w:marTop w:val="0"/>
      <w:marBottom w:val="0"/>
      <w:divBdr>
        <w:top w:val="none" w:sz="0" w:space="0" w:color="auto"/>
        <w:left w:val="none" w:sz="0" w:space="0" w:color="auto"/>
        <w:bottom w:val="none" w:sz="0" w:space="0" w:color="auto"/>
        <w:right w:val="none" w:sz="0" w:space="0" w:color="auto"/>
      </w:divBdr>
    </w:div>
    <w:div w:id="970751238">
      <w:bodyDiv w:val="1"/>
      <w:marLeft w:val="0"/>
      <w:marRight w:val="0"/>
      <w:marTop w:val="0"/>
      <w:marBottom w:val="0"/>
      <w:divBdr>
        <w:top w:val="none" w:sz="0" w:space="0" w:color="auto"/>
        <w:left w:val="none" w:sz="0" w:space="0" w:color="auto"/>
        <w:bottom w:val="none" w:sz="0" w:space="0" w:color="auto"/>
        <w:right w:val="none" w:sz="0" w:space="0" w:color="auto"/>
      </w:divBdr>
    </w:div>
    <w:div w:id="1056440470">
      <w:bodyDiv w:val="1"/>
      <w:marLeft w:val="0"/>
      <w:marRight w:val="0"/>
      <w:marTop w:val="0"/>
      <w:marBottom w:val="0"/>
      <w:divBdr>
        <w:top w:val="none" w:sz="0" w:space="0" w:color="auto"/>
        <w:left w:val="none" w:sz="0" w:space="0" w:color="auto"/>
        <w:bottom w:val="none" w:sz="0" w:space="0" w:color="auto"/>
        <w:right w:val="none" w:sz="0" w:space="0" w:color="auto"/>
      </w:divBdr>
    </w:div>
    <w:div w:id="1056588370">
      <w:bodyDiv w:val="1"/>
      <w:marLeft w:val="0"/>
      <w:marRight w:val="0"/>
      <w:marTop w:val="0"/>
      <w:marBottom w:val="0"/>
      <w:divBdr>
        <w:top w:val="none" w:sz="0" w:space="0" w:color="auto"/>
        <w:left w:val="none" w:sz="0" w:space="0" w:color="auto"/>
        <w:bottom w:val="none" w:sz="0" w:space="0" w:color="auto"/>
        <w:right w:val="none" w:sz="0" w:space="0" w:color="auto"/>
      </w:divBdr>
    </w:div>
    <w:div w:id="1062560547">
      <w:bodyDiv w:val="1"/>
      <w:marLeft w:val="0"/>
      <w:marRight w:val="0"/>
      <w:marTop w:val="0"/>
      <w:marBottom w:val="0"/>
      <w:divBdr>
        <w:top w:val="none" w:sz="0" w:space="0" w:color="auto"/>
        <w:left w:val="none" w:sz="0" w:space="0" w:color="auto"/>
        <w:bottom w:val="none" w:sz="0" w:space="0" w:color="auto"/>
        <w:right w:val="none" w:sz="0" w:space="0" w:color="auto"/>
      </w:divBdr>
    </w:div>
    <w:div w:id="1086802706">
      <w:bodyDiv w:val="1"/>
      <w:marLeft w:val="0"/>
      <w:marRight w:val="0"/>
      <w:marTop w:val="0"/>
      <w:marBottom w:val="0"/>
      <w:divBdr>
        <w:top w:val="none" w:sz="0" w:space="0" w:color="auto"/>
        <w:left w:val="none" w:sz="0" w:space="0" w:color="auto"/>
        <w:bottom w:val="none" w:sz="0" w:space="0" w:color="auto"/>
        <w:right w:val="none" w:sz="0" w:space="0" w:color="auto"/>
      </w:divBdr>
    </w:div>
    <w:div w:id="1089738003">
      <w:bodyDiv w:val="1"/>
      <w:marLeft w:val="0"/>
      <w:marRight w:val="0"/>
      <w:marTop w:val="0"/>
      <w:marBottom w:val="0"/>
      <w:divBdr>
        <w:top w:val="none" w:sz="0" w:space="0" w:color="auto"/>
        <w:left w:val="none" w:sz="0" w:space="0" w:color="auto"/>
        <w:bottom w:val="none" w:sz="0" w:space="0" w:color="auto"/>
        <w:right w:val="none" w:sz="0" w:space="0" w:color="auto"/>
      </w:divBdr>
    </w:div>
    <w:div w:id="1158695838">
      <w:bodyDiv w:val="1"/>
      <w:marLeft w:val="0"/>
      <w:marRight w:val="0"/>
      <w:marTop w:val="0"/>
      <w:marBottom w:val="0"/>
      <w:divBdr>
        <w:top w:val="none" w:sz="0" w:space="0" w:color="auto"/>
        <w:left w:val="none" w:sz="0" w:space="0" w:color="auto"/>
        <w:bottom w:val="none" w:sz="0" w:space="0" w:color="auto"/>
        <w:right w:val="none" w:sz="0" w:space="0" w:color="auto"/>
      </w:divBdr>
    </w:div>
    <w:div w:id="1162620139">
      <w:bodyDiv w:val="1"/>
      <w:marLeft w:val="0"/>
      <w:marRight w:val="0"/>
      <w:marTop w:val="0"/>
      <w:marBottom w:val="0"/>
      <w:divBdr>
        <w:top w:val="none" w:sz="0" w:space="0" w:color="auto"/>
        <w:left w:val="none" w:sz="0" w:space="0" w:color="auto"/>
        <w:bottom w:val="none" w:sz="0" w:space="0" w:color="auto"/>
        <w:right w:val="none" w:sz="0" w:space="0" w:color="auto"/>
      </w:divBdr>
    </w:div>
    <w:div w:id="1179613546">
      <w:bodyDiv w:val="1"/>
      <w:marLeft w:val="0"/>
      <w:marRight w:val="0"/>
      <w:marTop w:val="0"/>
      <w:marBottom w:val="0"/>
      <w:divBdr>
        <w:top w:val="none" w:sz="0" w:space="0" w:color="auto"/>
        <w:left w:val="none" w:sz="0" w:space="0" w:color="auto"/>
        <w:bottom w:val="none" w:sz="0" w:space="0" w:color="auto"/>
        <w:right w:val="none" w:sz="0" w:space="0" w:color="auto"/>
      </w:divBdr>
    </w:div>
    <w:div w:id="1243567747">
      <w:bodyDiv w:val="1"/>
      <w:marLeft w:val="0"/>
      <w:marRight w:val="0"/>
      <w:marTop w:val="0"/>
      <w:marBottom w:val="0"/>
      <w:divBdr>
        <w:top w:val="none" w:sz="0" w:space="0" w:color="auto"/>
        <w:left w:val="none" w:sz="0" w:space="0" w:color="auto"/>
        <w:bottom w:val="none" w:sz="0" w:space="0" w:color="auto"/>
        <w:right w:val="none" w:sz="0" w:space="0" w:color="auto"/>
      </w:divBdr>
    </w:div>
    <w:div w:id="1261721469">
      <w:bodyDiv w:val="1"/>
      <w:marLeft w:val="0"/>
      <w:marRight w:val="0"/>
      <w:marTop w:val="0"/>
      <w:marBottom w:val="0"/>
      <w:divBdr>
        <w:top w:val="none" w:sz="0" w:space="0" w:color="auto"/>
        <w:left w:val="none" w:sz="0" w:space="0" w:color="auto"/>
        <w:bottom w:val="none" w:sz="0" w:space="0" w:color="auto"/>
        <w:right w:val="none" w:sz="0" w:space="0" w:color="auto"/>
      </w:divBdr>
    </w:div>
    <w:div w:id="1286931478">
      <w:bodyDiv w:val="1"/>
      <w:marLeft w:val="0"/>
      <w:marRight w:val="0"/>
      <w:marTop w:val="0"/>
      <w:marBottom w:val="0"/>
      <w:divBdr>
        <w:top w:val="none" w:sz="0" w:space="0" w:color="auto"/>
        <w:left w:val="none" w:sz="0" w:space="0" w:color="auto"/>
        <w:bottom w:val="none" w:sz="0" w:space="0" w:color="auto"/>
        <w:right w:val="none" w:sz="0" w:space="0" w:color="auto"/>
      </w:divBdr>
    </w:div>
    <w:div w:id="1302805303">
      <w:bodyDiv w:val="1"/>
      <w:marLeft w:val="0"/>
      <w:marRight w:val="0"/>
      <w:marTop w:val="0"/>
      <w:marBottom w:val="0"/>
      <w:divBdr>
        <w:top w:val="none" w:sz="0" w:space="0" w:color="auto"/>
        <w:left w:val="none" w:sz="0" w:space="0" w:color="auto"/>
        <w:bottom w:val="none" w:sz="0" w:space="0" w:color="auto"/>
        <w:right w:val="none" w:sz="0" w:space="0" w:color="auto"/>
      </w:divBdr>
    </w:div>
    <w:div w:id="1341615158">
      <w:bodyDiv w:val="1"/>
      <w:marLeft w:val="0"/>
      <w:marRight w:val="0"/>
      <w:marTop w:val="0"/>
      <w:marBottom w:val="0"/>
      <w:divBdr>
        <w:top w:val="none" w:sz="0" w:space="0" w:color="auto"/>
        <w:left w:val="none" w:sz="0" w:space="0" w:color="auto"/>
        <w:bottom w:val="none" w:sz="0" w:space="0" w:color="auto"/>
        <w:right w:val="none" w:sz="0" w:space="0" w:color="auto"/>
      </w:divBdr>
    </w:div>
    <w:div w:id="1361933061">
      <w:bodyDiv w:val="1"/>
      <w:marLeft w:val="0"/>
      <w:marRight w:val="0"/>
      <w:marTop w:val="0"/>
      <w:marBottom w:val="0"/>
      <w:divBdr>
        <w:top w:val="none" w:sz="0" w:space="0" w:color="auto"/>
        <w:left w:val="none" w:sz="0" w:space="0" w:color="auto"/>
        <w:bottom w:val="none" w:sz="0" w:space="0" w:color="auto"/>
        <w:right w:val="none" w:sz="0" w:space="0" w:color="auto"/>
      </w:divBdr>
    </w:div>
    <w:div w:id="1383023919">
      <w:bodyDiv w:val="1"/>
      <w:marLeft w:val="0"/>
      <w:marRight w:val="0"/>
      <w:marTop w:val="0"/>
      <w:marBottom w:val="0"/>
      <w:divBdr>
        <w:top w:val="none" w:sz="0" w:space="0" w:color="auto"/>
        <w:left w:val="none" w:sz="0" w:space="0" w:color="auto"/>
        <w:bottom w:val="none" w:sz="0" w:space="0" w:color="auto"/>
        <w:right w:val="none" w:sz="0" w:space="0" w:color="auto"/>
      </w:divBdr>
    </w:div>
    <w:div w:id="1388532741">
      <w:bodyDiv w:val="1"/>
      <w:marLeft w:val="0"/>
      <w:marRight w:val="0"/>
      <w:marTop w:val="0"/>
      <w:marBottom w:val="0"/>
      <w:divBdr>
        <w:top w:val="none" w:sz="0" w:space="0" w:color="auto"/>
        <w:left w:val="none" w:sz="0" w:space="0" w:color="auto"/>
        <w:bottom w:val="none" w:sz="0" w:space="0" w:color="auto"/>
        <w:right w:val="none" w:sz="0" w:space="0" w:color="auto"/>
      </w:divBdr>
    </w:div>
    <w:div w:id="1398745727">
      <w:bodyDiv w:val="1"/>
      <w:marLeft w:val="0"/>
      <w:marRight w:val="0"/>
      <w:marTop w:val="0"/>
      <w:marBottom w:val="0"/>
      <w:divBdr>
        <w:top w:val="none" w:sz="0" w:space="0" w:color="auto"/>
        <w:left w:val="none" w:sz="0" w:space="0" w:color="auto"/>
        <w:bottom w:val="none" w:sz="0" w:space="0" w:color="auto"/>
        <w:right w:val="none" w:sz="0" w:space="0" w:color="auto"/>
      </w:divBdr>
    </w:div>
    <w:div w:id="1414082845">
      <w:bodyDiv w:val="1"/>
      <w:marLeft w:val="0"/>
      <w:marRight w:val="0"/>
      <w:marTop w:val="0"/>
      <w:marBottom w:val="0"/>
      <w:divBdr>
        <w:top w:val="none" w:sz="0" w:space="0" w:color="auto"/>
        <w:left w:val="none" w:sz="0" w:space="0" w:color="auto"/>
        <w:bottom w:val="none" w:sz="0" w:space="0" w:color="auto"/>
        <w:right w:val="none" w:sz="0" w:space="0" w:color="auto"/>
      </w:divBdr>
    </w:div>
    <w:div w:id="1425691383">
      <w:bodyDiv w:val="1"/>
      <w:marLeft w:val="0"/>
      <w:marRight w:val="0"/>
      <w:marTop w:val="0"/>
      <w:marBottom w:val="0"/>
      <w:divBdr>
        <w:top w:val="none" w:sz="0" w:space="0" w:color="auto"/>
        <w:left w:val="none" w:sz="0" w:space="0" w:color="auto"/>
        <w:bottom w:val="none" w:sz="0" w:space="0" w:color="auto"/>
        <w:right w:val="none" w:sz="0" w:space="0" w:color="auto"/>
      </w:divBdr>
    </w:div>
    <w:div w:id="1437673843">
      <w:bodyDiv w:val="1"/>
      <w:marLeft w:val="0"/>
      <w:marRight w:val="0"/>
      <w:marTop w:val="0"/>
      <w:marBottom w:val="0"/>
      <w:divBdr>
        <w:top w:val="none" w:sz="0" w:space="0" w:color="auto"/>
        <w:left w:val="none" w:sz="0" w:space="0" w:color="auto"/>
        <w:bottom w:val="none" w:sz="0" w:space="0" w:color="auto"/>
        <w:right w:val="none" w:sz="0" w:space="0" w:color="auto"/>
      </w:divBdr>
    </w:div>
    <w:div w:id="1442798770">
      <w:bodyDiv w:val="1"/>
      <w:marLeft w:val="0"/>
      <w:marRight w:val="0"/>
      <w:marTop w:val="0"/>
      <w:marBottom w:val="0"/>
      <w:divBdr>
        <w:top w:val="none" w:sz="0" w:space="0" w:color="auto"/>
        <w:left w:val="none" w:sz="0" w:space="0" w:color="auto"/>
        <w:bottom w:val="none" w:sz="0" w:space="0" w:color="auto"/>
        <w:right w:val="none" w:sz="0" w:space="0" w:color="auto"/>
      </w:divBdr>
    </w:div>
    <w:div w:id="1473596716">
      <w:bodyDiv w:val="1"/>
      <w:marLeft w:val="0"/>
      <w:marRight w:val="0"/>
      <w:marTop w:val="0"/>
      <w:marBottom w:val="0"/>
      <w:divBdr>
        <w:top w:val="none" w:sz="0" w:space="0" w:color="auto"/>
        <w:left w:val="none" w:sz="0" w:space="0" w:color="auto"/>
        <w:bottom w:val="none" w:sz="0" w:space="0" w:color="auto"/>
        <w:right w:val="none" w:sz="0" w:space="0" w:color="auto"/>
      </w:divBdr>
    </w:div>
    <w:div w:id="1501770523">
      <w:bodyDiv w:val="1"/>
      <w:marLeft w:val="0"/>
      <w:marRight w:val="0"/>
      <w:marTop w:val="0"/>
      <w:marBottom w:val="0"/>
      <w:divBdr>
        <w:top w:val="none" w:sz="0" w:space="0" w:color="auto"/>
        <w:left w:val="none" w:sz="0" w:space="0" w:color="auto"/>
        <w:bottom w:val="none" w:sz="0" w:space="0" w:color="auto"/>
        <w:right w:val="none" w:sz="0" w:space="0" w:color="auto"/>
      </w:divBdr>
    </w:div>
    <w:div w:id="1503930805">
      <w:bodyDiv w:val="1"/>
      <w:marLeft w:val="0"/>
      <w:marRight w:val="0"/>
      <w:marTop w:val="0"/>
      <w:marBottom w:val="0"/>
      <w:divBdr>
        <w:top w:val="none" w:sz="0" w:space="0" w:color="auto"/>
        <w:left w:val="none" w:sz="0" w:space="0" w:color="auto"/>
        <w:bottom w:val="none" w:sz="0" w:space="0" w:color="auto"/>
        <w:right w:val="none" w:sz="0" w:space="0" w:color="auto"/>
      </w:divBdr>
    </w:div>
    <w:div w:id="1510215239">
      <w:bodyDiv w:val="1"/>
      <w:marLeft w:val="0"/>
      <w:marRight w:val="0"/>
      <w:marTop w:val="0"/>
      <w:marBottom w:val="0"/>
      <w:divBdr>
        <w:top w:val="none" w:sz="0" w:space="0" w:color="auto"/>
        <w:left w:val="none" w:sz="0" w:space="0" w:color="auto"/>
        <w:bottom w:val="none" w:sz="0" w:space="0" w:color="auto"/>
        <w:right w:val="none" w:sz="0" w:space="0" w:color="auto"/>
      </w:divBdr>
    </w:div>
    <w:div w:id="1534071136">
      <w:bodyDiv w:val="1"/>
      <w:marLeft w:val="0"/>
      <w:marRight w:val="0"/>
      <w:marTop w:val="0"/>
      <w:marBottom w:val="0"/>
      <w:divBdr>
        <w:top w:val="none" w:sz="0" w:space="0" w:color="auto"/>
        <w:left w:val="none" w:sz="0" w:space="0" w:color="auto"/>
        <w:bottom w:val="none" w:sz="0" w:space="0" w:color="auto"/>
        <w:right w:val="none" w:sz="0" w:space="0" w:color="auto"/>
      </w:divBdr>
    </w:div>
    <w:div w:id="1538396767">
      <w:bodyDiv w:val="1"/>
      <w:marLeft w:val="0"/>
      <w:marRight w:val="0"/>
      <w:marTop w:val="0"/>
      <w:marBottom w:val="0"/>
      <w:divBdr>
        <w:top w:val="none" w:sz="0" w:space="0" w:color="auto"/>
        <w:left w:val="none" w:sz="0" w:space="0" w:color="auto"/>
        <w:bottom w:val="none" w:sz="0" w:space="0" w:color="auto"/>
        <w:right w:val="none" w:sz="0" w:space="0" w:color="auto"/>
      </w:divBdr>
    </w:div>
    <w:div w:id="1553033377">
      <w:bodyDiv w:val="1"/>
      <w:marLeft w:val="0"/>
      <w:marRight w:val="0"/>
      <w:marTop w:val="0"/>
      <w:marBottom w:val="0"/>
      <w:divBdr>
        <w:top w:val="none" w:sz="0" w:space="0" w:color="auto"/>
        <w:left w:val="none" w:sz="0" w:space="0" w:color="auto"/>
        <w:bottom w:val="none" w:sz="0" w:space="0" w:color="auto"/>
        <w:right w:val="none" w:sz="0" w:space="0" w:color="auto"/>
      </w:divBdr>
    </w:div>
    <w:div w:id="1584948748">
      <w:bodyDiv w:val="1"/>
      <w:marLeft w:val="0"/>
      <w:marRight w:val="0"/>
      <w:marTop w:val="0"/>
      <w:marBottom w:val="0"/>
      <w:divBdr>
        <w:top w:val="none" w:sz="0" w:space="0" w:color="auto"/>
        <w:left w:val="none" w:sz="0" w:space="0" w:color="auto"/>
        <w:bottom w:val="none" w:sz="0" w:space="0" w:color="auto"/>
        <w:right w:val="none" w:sz="0" w:space="0" w:color="auto"/>
      </w:divBdr>
    </w:div>
    <w:div w:id="1585718626">
      <w:bodyDiv w:val="1"/>
      <w:marLeft w:val="0"/>
      <w:marRight w:val="0"/>
      <w:marTop w:val="0"/>
      <w:marBottom w:val="0"/>
      <w:divBdr>
        <w:top w:val="none" w:sz="0" w:space="0" w:color="auto"/>
        <w:left w:val="none" w:sz="0" w:space="0" w:color="auto"/>
        <w:bottom w:val="none" w:sz="0" w:space="0" w:color="auto"/>
        <w:right w:val="none" w:sz="0" w:space="0" w:color="auto"/>
      </w:divBdr>
    </w:div>
    <w:div w:id="1586956905">
      <w:bodyDiv w:val="1"/>
      <w:marLeft w:val="0"/>
      <w:marRight w:val="0"/>
      <w:marTop w:val="0"/>
      <w:marBottom w:val="0"/>
      <w:divBdr>
        <w:top w:val="none" w:sz="0" w:space="0" w:color="auto"/>
        <w:left w:val="none" w:sz="0" w:space="0" w:color="auto"/>
        <w:bottom w:val="none" w:sz="0" w:space="0" w:color="auto"/>
        <w:right w:val="none" w:sz="0" w:space="0" w:color="auto"/>
      </w:divBdr>
    </w:div>
    <w:div w:id="1589148698">
      <w:bodyDiv w:val="1"/>
      <w:marLeft w:val="0"/>
      <w:marRight w:val="0"/>
      <w:marTop w:val="0"/>
      <w:marBottom w:val="0"/>
      <w:divBdr>
        <w:top w:val="none" w:sz="0" w:space="0" w:color="auto"/>
        <w:left w:val="none" w:sz="0" w:space="0" w:color="auto"/>
        <w:bottom w:val="none" w:sz="0" w:space="0" w:color="auto"/>
        <w:right w:val="none" w:sz="0" w:space="0" w:color="auto"/>
      </w:divBdr>
    </w:div>
    <w:div w:id="1597515871">
      <w:bodyDiv w:val="1"/>
      <w:marLeft w:val="0"/>
      <w:marRight w:val="0"/>
      <w:marTop w:val="0"/>
      <w:marBottom w:val="0"/>
      <w:divBdr>
        <w:top w:val="none" w:sz="0" w:space="0" w:color="auto"/>
        <w:left w:val="none" w:sz="0" w:space="0" w:color="auto"/>
        <w:bottom w:val="none" w:sz="0" w:space="0" w:color="auto"/>
        <w:right w:val="none" w:sz="0" w:space="0" w:color="auto"/>
      </w:divBdr>
    </w:div>
    <w:div w:id="1630894344">
      <w:bodyDiv w:val="1"/>
      <w:marLeft w:val="0"/>
      <w:marRight w:val="0"/>
      <w:marTop w:val="0"/>
      <w:marBottom w:val="0"/>
      <w:divBdr>
        <w:top w:val="none" w:sz="0" w:space="0" w:color="auto"/>
        <w:left w:val="none" w:sz="0" w:space="0" w:color="auto"/>
        <w:bottom w:val="none" w:sz="0" w:space="0" w:color="auto"/>
        <w:right w:val="none" w:sz="0" w:space="0" w:color="auto"/>
      </w:divBdr>
    </w:div>
    <w:div w:id="1655596539">
      <w:bodyDiv w:val="1"/>
      <w:marLeft w:val="0"/>
      <w:marRight w:val="0"/>
      <w:marTop w:val="0"/>
      <w:marBottom w:val="0"/>
      <w:divBdr>
        <w:top w:val="none" w:sz="0" w:space="0" w:color="auto"/>
        <w:left w:val="none" w:sz="0" w:space="0" w:color="auto"/>
        <w:bottom w:val="none" w:sz="0" w:space="0" w:color="auto"/>
        <w:right w:val="none" w:sz="0" w:space="0" w:color="auto"/>
      </w:divBdr>
    </w:div>
    <w:div w:id="1658069047">
      <w:bodyDiv w:val="1"/>
      <w:marLeft w:val="0"/>
      <w:marRight w:val="0"/>
      <w:marTop w:val="0"/>
      <w:marBottom w:val="0"/>
      <w:divBdr>
        <w:top w:val="none" w:sz="0" w:space="0" w:color="auto"/>
        <w:left w:val="none" w:sz="0" w:space="0" w:color="auto"/>
        <w:bottom w:val="none" w:sz="0" w:space="0" w:color="auto"/>
        <w:right w:val="none" w:sz="0" w:space="0" w:color="auto"/>
      </w:divBdr>
    </w:div>
    <w:div w:id="1665736921">
      <w:bodyDiv w:val="1"/>
      <w:marLeft w:val="0"/>
      <w:marRight w:val="0"/>
      <w:marTop w:val="0"/>
      <w:marBottom w:val="0"/>
      <w:divBdr>
        <w:top w:val="none" w:sz="0" w:space="0" w:color="auto"/>
        <w:left w:val="none" w:sz="0" w:space="0" w:color="auto"/>
        <w:bottom w:val="none" w:sz="0" w:space="0" w:color="auto"/>
        <w:right w:val="none" w:sz="0" w:space="0" w:color="auto"/>
      </w:divBdr>
    </w:div>
    <w:div w:id="1701931400">
      <w:bodyDiv w:val="1"/>
      <w:marLeft w:val="0"/>
      <w:marRight w:val="0"/>
      <w:marTop w:val="0"/>
      <w:marBottom w:val="0"/>
      <w:divBdr>
        <w:top w:val="none" w:sz="0" w:space="0" w:color="auto"/>
        <w:left w:val="none" w:sz="0" w:space="0" w:color="auto"/>
        <w:bottom w:val="none" w:sz="0" w:space="0" w:color="auto"/>
        <w:right w:val="none" w:sz="0" w:space="0" w:color="auto"/>
      </w:divBdr>
    </w:div>
    <w:div w:id="1742674703">
      <w:bodyDiv w:val="1"/>
      <w:marLeft w:val="0"/>
      <w:marRight w:val="0"/>
      <w:marTop w:val="0"/>
      <w:marBottom w:val="0"/>
      <w:divBdr>
        <w:top w:val="none" w:sz="0" w:space="0" w:color="auto"/>
        <w:left w:val="none" w:sz="0" w:space="0" w:color="auto"/>
        <w:bottom w:val="none" w:sz="0" w:space="0" w:color="auto"/>
        <w:right w:val="none" w:sz="0" w:space="0" w:color="auto"/>
      </w:divBdr>
    </w:div>
    <w:div w:id="1774399150">
      <w:bodyDiv w:val="1"/>
      <w:marLeft w:val="0"/>
      <w:marRight w:val="0"/>
      <w:marTop w:val="0"/>
      <w:marBottom w:val="0"/>
      <w:divBdr>
        <w:top w:val="none" w:sz="0" w:space="0" w:color="auto"/>
        <w:left w:val="none" w:sz="0" w:space="0" w:color="auto"/>
        <w:bottom w:val="none" w:sz="0" w:space="0" w:color="auto"/>
        <w:right w:val="none" w:sz="0" w:space="0" w:color="auto"/>
      </w:divBdr>
    </w:div>
    <w:div w:id="1784231813">
      <w:bodyDiv w:val="1"/>
      <w:marLeft w:val="0"/>
      <w:marRight w:val="0"/>
      <w:marTop w:val="0"/>
      <w:marBottom w:val="0"/>
      <w:divBdr>
        <w:top w:val="none" w:sz="0" w:space="0" w:color="auto"/>
        <w:left w:val="none" w:sz="0" w:space="0" w:color="auto"/>
        <w:bottom w:val="none" w:sz="0" w:space="0" w:color="auto"/>
        <w:right w:val="none" w:sz="0" w:space="0" w:color="auto"/>
      </w:divBdr>
    </w:div>
    <w:div w:id="1787693843">
      <w:bodyDiv w:val="1"/>
      <w:marLeft w:val="0"/>
      <w:marRight w:val="0"/>
      <w:marTop w:val="0"/>
      <w:marBottom w:val="0"/>
      <w:divBdr>
        <w:top w:val="none" w:sz="0" w:space="0" w:color="auto"/>
        <w:left w:val="none" w:sz="0" w:space="0" w:color="auto"/>
        <w:bottom w:val="none" w:sz="0" w:space="0" w:color="auto"/>
        <w:right w:val="none" w:sz="0" w:space="0" w:color="auto"/>
      </w:divBdr>
    </w:div>
    <w:div w:id="1849589059">
      <w:bodyDiv w:val="1"/>
      <w:marLeft w:val="0"/>
      <w:marRight w:val="0"/>
      <w:marTop w:val="0"/>
      <w:marBottom w:val="0"/>
      <w:divBdr>
        <w:top w:val="none" w:sz="0" w:space="0" w:color="auto"/>
        <w:left w:val="none" w:sz="0" w:space="0" w:color="auto"/>
        <w:bottom w:val="none" w:sz="0" w:space="0" w:color="auto"/>
        <w:right w:val="none" w:sz="0" w:space="0" w:color="auto"/>
      </w:divBdr>
    </w:div>
    <w:div w:id="1876430714">
      <w:bodyDiv w:val="1"/>
      <w:marLeft w:val="0"/>
      <w:marRight w:val="0"/>
      <w:marTop w:val="0"/>
      <w:marBottom w:val="0"/>
      <w:divBdr>
        <w:top w:val="none" w:sz="0" w:space="0" w:color="auto"/>
        <w:left w:val="none" w:sz="0" w:space="0" w:color="auto"/>
        <w:bottom w:val="none" w:sz="0" w:space="0" w:color="auto"/>
        <w:right w:val="none" w:sz="0" w:space="0" w:color="auto"/>
      </w:divBdr>
    </w:div>
    <w:div w:id="1876847842">
      <w:bodyDiv w:val="1"/>
      <w:marLeft w:val="0"/>
      <w:marRight w:val="0"/>
      <w:marTop w:val="0"/>
      <w:marBottom w:val="0"/>
      <w:divBdr>
        <w:top w:val="none" w:sz="0" w:space="0" w:color="auto"/>
        <w:left w:val="none" w:sz="0" w:space="0" w:color="auto"/>
        <w:bottom w:val="none" w:sz="0" w:space="0" w:color="auto"/>
        <w:right w:val="none" w:sz="0" w:space="0" w:color="auto"/>
      </w:divBdr>
    </w:div>
    <w:div w:id="1906792533">
      <w:bodyDiv w:val="1"/>
      <w:marLeft w:val="0"/>
      <w:marRight w:val="0"/>
      <w:marTop w:val="0"/>
      <w:marBottom w:val="0"/>
      <w:divBdr>
        <w:top w:val="none" w:sz="0" w:space="0" w:color="auto"/>
        <w:left w:val="none" w:sz="0" w:space="0" w:color="auto"/>
        <w:bottom w:val="none" w:sz="0" w:space="0" w:color="auto"/>
        <w:right w:val="none" w:sz="0" w:space="0" w:color="auto"/>
      </w:divBdr>
    </w:div>
    <w:div w:id="1917520028">
      <w:bodyDiv w:val="1"/>
      <w:marLeft w:val="0"/>
      <w:marRight w:val="0"/>
      <w:marTop w:val="0"/>
      <w:marBottom w:val="0"/>
      <w:divBdr>
        <w:top w:val="none" w:sz="0" w:space="0" w:color="auto"/>
        <w:left w:val="none" w:sz="0" w:space="0" w:color="auto"/>
        <w:bottom w:val="none" w:sz="0" w:space="0" w:color="auto"/>
        <w:right w:val="none" w:sz="0" w:space="0" w:color="auto"/>
      </w:divBdr>
    </w:div>
    <w:div w:id="1946425209">
      <w:bodyDiv w:val="1"/>
      <w:marLeft w:val="0"/>
      <w:marRight w:val="0"/>
      <w:marTop w:val="0"/>
      <w:marBottom w:val="0"/>
      <w:divBdr>
        <w:top w:val="none" w:sz="0" w:space="0" w:color="auto"/>
        <w:left w:val="none" w:sz="0" w:space="0" w:color="auto"/>
        <w:bottom w:val="none" w:sz="0" w:space="0" w:color="auto"/>
        <w:right w:val="none" w:sz="0" w:space="0" w:color="auto"/>
      </w:divBdr>
    </w:div>
    <w:div w:id="1967155819">
      <w:bodyDiv w:val="1"/>
      <w:marLeft w:val="0"/>
      <w:marRight w:val="0"/>
      <w:marTop w:val="0"/>
      <w:marBottom w:val="0"/>
      <w:divBdr>
        <w:top w:val="none" w:sz="0" w:space="0" w:color="auto"/>
        <w:left w:val="none" w:sz="0" w:space="0" w:color="auto"/>
        <w:bottom w:val="none" w:sz="0" w:space="0" w:color="auto"/>
        <w:right w:val="none" w:sz="0" w:space="0" w:color="auto"/>
      </w:divBdr>
    </w:div>
    <w:div w:id="2000115872">
      <w:bodyDiv w:val="1"/>
      <w:marLeft w:val="0"/>
      <w:marRight w:val="0"/>
      <w:marTop w:val="0"/>
      <w:marBottom w:val="0"/>
      <w:divBdr>
        <w:top w:val="none" w:sz="0" w:space="0" w:color="auto"/>
        <w:left w:val="none" w:sz="0" w:space="0" w:color="auto"/>
        <w:bottom w:val="none" w:sz="0" w:space="0" w:color="auto"/>
        <w:right w:val="none" w:sz="0" w:space="0" w:color="auto"/>
      </w:divBdr>
    </w:div>
    <w:div w:id="2007853970">
      <w:bodyDiv w:val="1"/>
      <w:marLeft w:val="0"/>
      <w:marRight w:val="0"/>
      <w:marTop w:val="0"/>
      <w:marBottom w:val="0"/>
      <w:divBdr>
        <w:top w:val="none" w:sz="0" w:space="0" w:color="auto"/>
        <w:left w:val="none" w:sz="0" w:space="0" w:color="auto"/>
        <w:bottom w:val="none" w:sz="0" w:space="0" w:color="auto"/>
        <w:right w:val="none" w:sz="0" w:space="0" w:color="auto"/>
      </w:divBdr>
    </w:div>
    <w:div w:id="2011521748">
      <w:bodyDiv w:val="1"/>
      <w:marLeft w:val="0"/>
      <w:marRight w:val="0"/>
      <w:marTop w:val="0"/>
      <w:marBottom w:val="0"/>
      <w:divBdr>
        <w:top w:val="none" w:sz="0" w:space="0" w:color="auto"/>
        <w:left w:val="none" w:sz="0" w:space="0" w:color="auto"/>
        <w:bottom w:val="none" w:sz="0" w:space="0" w:color="auto"/>
        <w:right w:val="none" w:sz="0" w:space="0" w:color="auto"/>
      </w:divBdr>
    </w:div>
    <w:div w:id="2053072599">
      <w:bodyDiv w:val="1"/>
      <w:marLeft w:val="0"/>
      <w:marRight w:val="0"/>
      <w:marTop w:val="0"/>
      <w:marBottom w:val="0"/>
      <w:divBdr>
        <w:top w:val="none" w:sz="0" w:space="0" w:color="auto"/>
        <w:left w:val="none" w:sz="0" w:space="0" w:color="auto"/>
        <w:bottom w:val="none" w:sz="0" w:space="0" w:color="auto"/>
        <w:right w:val="none" w:sz="0" w:space="0" w:color="auto"/>
      </w:divBdr>
    </w:div>
    <w:div w:id="2131825255">
      <w:bodyDiv w:val="1"/>
      <w:marLeft w:val="0"/>
      <w:marRight w:val="0"/>
      <w:marTop w:val="0"/>
      <w:marBottom w:val="0"/>
      <w:divBdr>
        <w:top w:val="none" w:sz="0" w:space="0" w:color="auto"/>
        <w:left w:val="none" w:sz="0" w:space="0" w:color="auto"/>
        <w:bottom w:val="none" w:sz="0" w:space="0" w:color="auto"/>
        <w:right w:val="none" w:sz="0" w:space="0" w:color="auto"/>
      </w:divBdr>
    </w:div>
    <w:div w:id="213247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emf"/><Relationship Id="rId26" Type="http://schemas.openxmlformats.org/officeDocument/2006/relationships/image" Target="media/image8.png"/><Relationship Id="rId21" Type="http://schemas.openxmlformats.org/officeDocument/2006/relationships/image" Target="media/image7.emf"/><Relationship Id="rId34" Type="http://schemas.openxmlformats.org/officeDocument/2006/relationships/hyperlink" Target="https://www.mckinsey.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rgaam.com/en/article/articledetail/id/1705835" TargetMode="External"/><Relationship Id="rId25" Type="http://schemas.openxmlformats.org/officeDocument/2006/relationships/hyperlink" Target="https://www.arabnews.com/node/2494576/business-economy" TargetMode="External"/><Relationship Id="rId33" Type="http://schemas.openxmlformats.org/officeDocument/2006/relationships/hyperlink" Target="https://www.iea.org"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rgaam.com/en/article/articledetail/id/1705835" TargetMode="External"/><Relationship Id="rId20" Type="http://schemas.openxmlformats.org/officeDocument/2006/relationships/image" Target="media/image6.png"/><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rabnews.com/node/2494576/business-economy" TargetMode="External"/><Relationship Id="rId32" Type="http://schemas.openxmlformats.org/officeDocument/2006/relationships/hyperlink" Target="https://www.acwapower.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rgaam.com/en/article/articledetail/id/1705835" TargetMode="External"/><Relationship Id="rId23" Type="http://schemas.openxmlformats.org/officeDocument/2006/relationships/hyperlink" Target="https://www.arabnews.com/node/2494576/business-economy" TargetMode="External"/><Relationship Id="rId28" Type="http://schemas.openxmlformats.org/officeDocument/2006/relationships/image" Target="media/image10.emf"/><Relationship Id="rId36" Type="http://schemas.openxmlformats.org/officeDocument/2006/relationships/hyperlink" Target="https://www.vision2030.gov.sa" TargetMode="External"/><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yperlink" Target="https://www.swotandpestle.com/saudi-electric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arabnews.com/node/2494576/business-economy" TargetMode="External"/><Relationship Id="rId27" Type="http://schemas.openxmlformats.org/officeDocument/2006/relationships/image" Target="media/image9.emf"/><Relationship Id="rId30" Type="http://schemas.openxmlformats.org/officeDocument/2006/relationships/hyperlink" Target="https://www.siemens-energy.com/global/en/home/events/iktva.html" TargetMode="External"/><Relationship Id="rId35" Type="http://schemas.openxmlformats.org/officeDocument/2006/relationships/hyperlink" Target="https://www.pwc.com/m1/en/industries/energ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مستند" ma:contentTypeID="0x010100DB3797FB56FAA246AE34F060788B531D" ma:contentTypeVersion="10" ma:contentTypeDescription="إنشاء مستند جديد." ma:contentTypeScope="" ma:versionID="1a2bb8d378ab550a91b67185eb0a993c">
  <xsd:schema xmlns:xsd="http://www.w3.org/2001/XMLSchema" xmlns:xs="http://www.w3.org/2001/XMLSchema" xmlns:p="http://schemas.microsoft.com/office/2006/metadata/properties" xmlns:ns3="1933cb8b-d67c-4e4a-a728-3b40531f1286" targetNamespace="http://schemas.microsoft.com/office/2006/metadata/properties" ma:root="true" ma:fieldsID="8369d6645230d499ab4ac2aad181aaa3" ns3:_="">
    <xsd:import namespace="1933cb8b-d67c-4e4a-a728-3b40531f128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3cb8b-d67c-4e4a-a728-3b40531f12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933cb8b-d67c-4e4a-a728-3b40531f128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047FC-168E-42D6-9DB8-AF5948E32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3cb8b-d67c-4e4a-a728-3b40531f12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F38C5-8F82-4F04-8125-3208417C9080}">
  <ds:schemaRefs>
    <ds:schemaRef ds:uri="http://schemas.microsoft.com/sharepoint/v3/contenttype/forms"/>
  </ds:schemaRefs>
</ds:datastoreItem>
</file>

<file path=customXml/itemProps3.xml><?xml version="1.0" encoding="utf-8"?>
<ds:datastoreItem xmlns:ds="http://schemas.openxmlformats.org/officeDocument/2006/customXml" ds:itemID="{FAEC9051-1F89-477E-865E-C7E29A9B47A1}">
  <ds:schemaRefs>
    <ds:schemaRef ds:uri="http://schemas.microsoft.com/office/2006/metadata/properties"/>
    <ds:schemaRef ds:uri="http://schemas.microsoft.com/office/infopath/2007/PartnerControls"/>
    <ds:schemaRef ds:uri="1933cb8b-d67c-4e4a-a728-3b40531f1286"/>
  </ds:schemaRefs>
</ds:datastoreItem>
</file>

<file path=customXml/itemProps4.xml><?xml version="1.0" encoding="utf-8"?>
<ds:datastoreItem xmlns:ds="http://schemas.openxmlformats.org/officeDocument/2006/customXml" ds:itemID="{3818CC92-A868-4368-97F4-08CB04DD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121</Pages>
  <Words>31887</Words>
  <Characters>181756</Characters>
  <Application>Microsoft Office Word</Application>
  <DocSecurity>0</DocSecurity>
  <Lines>1514</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AlSulaiman</dc:creator>
  <cp:keywords/>
  <dc:description/>
  <cp:lastModifiedBy>Ali AlSulaiman</cp:lastModifiedBy>
  <cp:revision>23</cp:revision>
  <cp:lastPrinted>2025-07-15T11:03:00Z</cp:lastPrinted>
  <dcterms:created xsi:type="dcterms:W3CDTF">2025-07-15T08:53:00Z</dcterms:created>
  <dcterms:modified xsi:type="dcterms:W3CDTF">2025-07-15T11:21:00Z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0x010100DB3797FB56FAA246AE34F060788B531D</vt:lpwstr>
  </property>
</Properties>
</file>