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60AF0" w14:textId="1CDE5E78" w:rsidR="008D1254" w:rsidRPr="003D7155" w:rsidRDefault="008D1254" w:rsidP="003D7155">
      <w:pPr>
        <w:pStyle w:val="Heading1"/>
        <w:spacing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436C7A">
        <w:rPr>
          <w:rFonts w:ascii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C29735F" wp14:editId="7FF07688">
            <wp:simplePos x="0" y="0"/>
            <wp:positionH relativeFrom="margin">
              <wp:posOffset>-845185</wp:posOffset>
            </wp:positionH>
            <wp:positionV relativeFrom="margin">
              <wp:posOffset>-283210</wp:posOffset>
            </wp:positionV>
            <wp:extent cx="2053590" cy="901065"/>
            <wp:effectExtent l="0" t="0" r="3810" b="0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3590" cy="901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3C3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جامعــــــة ميداوشن</w:t>
      </w:r>
      <w:r w:rsidR="003D715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- </w:t>
      </w:r>
      <w:r w:rsidRPr="000E3C3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كليــــة ال</w:t>
      </w:r>
      <w:r w:rsidR="003A6FD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إ</w:t>
      </w:r>
      <w:r w:rsidRPr="000E3C3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دارة</w:t>
      </w:r>
    </w:p>
    <w:p w14:paraId="63D1F689" w14:textId="77777777" w:rsidR="00A04290" w:rsidRDefault="00A04290" w:rsidP="00A04290">
      <w:pPr>
        <w:pStyle w:val="Heading1"/>
        <w:spacing w:line="360" w:lineRule="auto"/>
        <w:rPr>
          <w:rFonts w:ascii="Sakkal Majalla" w:hAnsi="Sakkal Majalla" w:cs="Sakkal Majalla"/>
          <w:color w:val="000000" w:themeColor="text1"/>
          <w:sz w:val="36"/>
          <w:szCs w:val="36"/>
          <w:rtl/>
        </w:rPr>
      </w:pPr>
      <w:r w:rsidRPr="003D7155">
        <w:rPr>
          <w:rFonts w:ascii="Sakkal Majalla" w:hAnsi="Sakkal Majalla" w:cs="Sakkal Majalla"/>
          <w:color w:val="000000" w:themeColor="text1"/>
          <w:sz w:val="36"/>
          <w:szCs w:val="36"/>
          <w:rtl/>
        </w:rPr>
        <w:t>عنوان الدراسة</w:t>
      </w:r>
    </w:p>
    <w:p w14:paraId="08EBDD82" w14:textId="77777777" w:rsidR="00A04290" w:rsidRPr="00A32A67" w:rsidRDefault="00A04290" w:rsidP="00A04290">
      <w:pPr>
        <w:spacing w:after="200" w:line="276" w:lineRule="auto"/>
        <w:jc w:val="center"/>
        <w:rPr>
          <w:rFonts w:ascii="Sakkal Majalla" w:eastAsia="Times New Roman" w:hAnsi="Sakkal Majalla" w:cs="Sakkal Majalla"/>
          <w:b/>
          <w:bCs/>
          <w:kern w:val="0"/>
          <w:sz w:val="28"/>
          <w:szCs w:val="32"/>
          <w:rtl/>
          <w14:ligatures w14:val="none"/>
        </w:rPr>
      </w:pPr>
      <w:r w:rsidRPr="00277513">
        <w:rPr>
          <w:rFonts w:ascii="Sakkal Majalla" w:eastAsia="Times New Roman" w:hAnsi="Sakkal Majalla" w:cs="Sakkal Majalla"/>
          <w:b/>
          <w:bCs/>
          <w:kern w:val="0"/>
          <w:sz w:val="28"/>
          <w:szCs w:val="32"/>
          <w:rtl/>
          <w:lang w:bidi="ar-EG"/>
          <w14:ligatures w14:val="none"/>
        </w:rPr>
        <w:t>أثر تطبيق ممارسات الاستدامة على كفاءة إدارة الحشود: الدور الوسيط للتكنولوجيا الذكية دراسة ميدانية على موسم الحج والعمرة في مكة المكرمة والمدينة المنورة</w:t>
      </w:r>
    </w:p>
    <w:p w14:paraId="5B9D81BE" w14:textId="77777777" w:rsidR="00A04290" w:rsidRPr="00277513" w:rsidRDefault="00A04290" w:rsidP="00A04290">
      <w:pPr>
        <w:spacing w:after="0" w:line="240" w:lineRule="auto"/>
        <w:ind w:right="-270"/>
        <w:jc w:val="center"/>
        <w:rPr>
          <w:rFonts w:ascii="Sakkal Majalla" w:eastAsia="Times New Roman" w:hAnsi="Sakkal Majalla" w:cs="Sakkal Majalla"/>
          <w:b/>
          <w:bCs/>
          <w:kern w:val="0"/>
          <w:sz w:val="32"/>
          <w:szCs w:val="36"/>
          <w:rtl/>
          <w14:ligatures w14:val="none"/>
        </w:rPr>
      </w:pPr>
      <w:r w:rsidRPr="00277513">
        <w:rPr>
          <w:rFonts w:ascii="Sakkal Majalla" w:eastAsia="Times New Roman" w:hAnsi="Sakkal Majalla" w:cs="Sakkal Majalla"/>
          <w:b/>
          <w:bCs/>
          <w:kern w:val="0"/>
          <w:sz w:val="32"/>
          <w:szCs w:val="36"/>
          <w14:ligatures w14:val="none"/>
        </w:rPr>
        <w:t>The Impact of Applying Sustainability Practices on Crowd Management Efficiency: The Mediating Role of Smart Technology:</w:t>
      </w:r>
    </w:p>
    <w:p w14:paraId="448734BC" w14:textId="77777777" w:rsidR="00A04290" w:rsidRPr="00277513" w:rsidRDefault="00A04290" w:rsidP="00A04290">
      <w:pPr>
        <w:spacing w:after="0" w:line="240" w:lineRule="auto"/>
        <w:ind w:right="-270"/>
        <w:jc w:val="center"/>
        <w:rPr>
          <w:rFonts w:ascii="Sakkal Majalla" w:eastAsia="Times New Roman" w:hAnsi="Sakkal Majalla" w:cs="Sakkal Majalla"/>
          <w:b/>
          <w:bCs/>
          <w:kern w:val="0"/>
          <w:sz w:val="44"/>
          <w:szCs w:val="44"/>
          <w:rtl/>
          <w14:ligatures w14:val="none"/>
        </w:rPr>
      </w:pPr>
      <w:r w:rsidRPr="00277513">
        <w:rPr>
          <w:rFonts w:ascii="Sakkal Majalla" w:eastAsia="Times New Roman" w:hAnsi="Sakkal Majalla" w:cs="Sakkal Majalla"/>
          <w:b/>
          <w:bCs/>
          <w:kern w:val="0"/>
          <w:sz w:val="32"/>
          <w:szCs w:val="36"/>
          <w14:ligatures w14:val="none"/>
        </w:rPr>
        <w:t>A Field Study of the Hajj and Umrah Seasons in Makkah and Madinah</w:t>
      </w:r>
    </w:p>
    <w:p w14:paraId="11FEDA8E" w14:textId="77777777" w:rsidR="00A04290" w:rsidRDefault="00A04290" w:rsidP="00A04290">
      <w:pPr>
        <w:spacing w:before="240" w:after="0" w:line="360" w:lineRule="auto"/>
        <w:rPr>
          <w:rFonts w:ascii="Sakkal Majalla" w:eastAsiaTheme="majorEastAsia" w:hAnsi="Sakkal Majalla" w:cs="Sakkal Majalla"/>
          <w:color w:val="000000" w:themeColor="text1"/>
          <w:kern w:val="0"/>
          <w:sz w:val="36"/>
          <w:szCs w:val="36"/>
          <w:rtl/>
          <w14:ligatures w14:val="none"/>
        </w:rPr>
      </w:pPr>
    </w:p>
    <w:p w14:paraId="79132D49" w14:textId="77777777" w:rsidR="00A04290" w:rsidRDefault="00A04290" w:rsidP="00A04290">
      <w:pPr>
        <w:spacing w:before="240" w:after="0"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3D7155">
        <w:rPr>
          <w:rFonts w:ascii="Sakkal Majalla" w:eastAsiaTheme="majorEastAsia" w:hAnsi="Sakkal Majalla" w:cs="Sakkal Majalla"/>
          <w:color w:val="000000" w:themeColor="text1"/>
          <w:kern w:val="0"/>
          <w:sz w:val="36"/>
          <w:szCs w:val="36"/>
          <w:rtl/>
          <w14:ligatures w14:val="none"/>
        </w:rPr>
        <w:t>اسم الباحث</w:t>
      </w:r>
      <w:r w:rsidRPr="003D7155">
        <w:rPr>
          <w:rFonts w:ascii="Sakkal Majalla" w:eastAsiaTheme="majorEastAsia" w:hAnsi="Sakkal Majalla" w:cs="Sakkal Majalla"/>
          <w:color w:val="000000" w:themeColor="text1"/>
          <w:kern w:val="0"/>
          <w:sz w:val="36"/>
          <w:szCs w:val="36"/>
          <w14:ligatures w14:val="none"/>
        </w:rPr>
        <w:t>:</w:t>
      </w:r>
      <w:r w:rsidRPr="003D7155">
        <w:rPr>
          <w:rFonts w:ascii="Sakkal Majalla" w:eastAsiaTheme="majorEastAsia" w:hAnsi="Sakkal Majalla" w:cs="Sakkal Majalla"/>
          <w:b/>
          <w:bCs/>
          <w:color w:val="000000" w:themeColor="text1"/>
          <w:kern w:val="0"/>
          <w:sz w:val="36"/>
          <w:szCs w:val="36"/>
          <w14:ligatures w14:val="none"/>
        </w:rPr>
        <w:t xml:space="preserve"> </w:t>
      </w:r>
      <w:r w:rsidRPr="00A32A67">
        <w:rPr>
          <w:rFonts w:ascii="Sakkal Majalla" w:eastAsiaTheme="majorEastAsia" w:hAnsi="Sakkal Majalla" w:cs="Sakkal Majalla"/>
          <w:b/>
          <w:bCs/>
          <w:color w:val="000000" w:themeColor="text1"/>
          <w:kern w:val="0"/>
          <w:sz w:val="36"/>
          <w:szCs w:val="36"/>
          <w:rtl/>
          <w14:ligatures w14:val="none"/>
        </w:rPr>
        <w:t>حامد سليمان البحاري</w:t>
      </w:r>
      <w:r w:rsidRPr="003D7155">
        <w:rPr>
          <w:rFonts w:ascii="Sakkal Majalla" w:eastAsiaTheme="majorEastAsia" w:hAnsi="Sakkal Majalla" w:cs="Sakkal Majalla"/>
          <w:b/>
          <w:bCs/>
          <w:color w:val="000000" w:themeColor="text1"/>
          <w:kern w:val="0"/>
          <w:sz w:val="36"/>
          <w:szCs w:val="36"/>
          <w14:ligatures w14:val="none"/>
        </w:rPr>
        <w:br/>
      </w:r>
      <w:r w:rsidRPr="003D7155">
        <w:rPr>
          <w:rFonts w:ascii="Sakkal Majalla" w:eastAsiaTheme="majorEastAsia" w:hAnsi="Sakkal Majalla" w:cs="Sakkal Majalla"/>
          <w:b/>
          <w:bCs/>
          <w:color w:val="000000" w:themeColor="text1"/>
          <w:kern w:val="0"/>
          <w:sz w:val="36"/>
          <w:szCs w:val="36"/>
          <w14:ligatures w14:val="none"/>
        </w:rPr>
        <w:br/>
      </w:r>
      <w:r w:rsidRPr="003D7155">
        <w:rPr>
          <w:rFonts w:ascii="Sakkal Majalla" w:eastAsiaTheme="majorEastAsia" w:hAnsi="Sakkal Majalla" w:cs="Sakkal Majalla"/>
          <w:color w:val="000000" w:themeColor="text1"/>
          <w:kern w:val="0"/>
          <w:sz w:val="36"/>
          <w:szCs w:val="36"/>
          <w:rtl/>
          <w14:ligatures w14:val="none"/>
        </w:rPr>
        <w:t>المراجع</w:t>
      </w:r>
      <w:r w:rsidRPr="003D7155">
        <w:rPr>
          <w:rFonts w:ascii="Sakkal Majalla" w:eastAsiaTheme="majorEastAsia" w:hAnsi="Sakkal Majalla" w:cs="Sakkal Majalla"/>
          <w:color w:val="000000" w:themeColor="text1"/>
          <w:kern w:val="0"/>
          <w:sz w:val="36"/>
          <w:szCs w:val="36"/>
          <w14:ligatures w14:val="none"/>
        </w:rPr>
        <w:t>:</w:t>
      </w:r>
      <w:r w:rsidRPr="003D7155">
        <w:rPr>
          <w:rFonts w:ascii="Sakkal Majalla" w:eastAsiaTheme="majorEastAsia" w:hAnsi="Sakkal Majalla" w:cs="Sakkal Majalla"/>
          <w:b/>
          <w:bCs/>
          <w:color w:val="000000" w:themeColor="text1"/>
          <w:kern w:val="0"/>
          <w:sz w:val="36"/>
          <w:szCs w:val="36"/>
          <w14:ligatures w14:val="none"/>
        </w:rPr>
        <w:t xml:space="preserve"> </w:t>
      </w:r>
      <w:r>
        <w:rPr>
          <w:rFonts w:ascii="Sakkal Majalla" w:eastAsiaTheme="majorEastAsia" w:hAnsi="Sakkal Majalla" w:cs="Sakkal Majalla" w:hint="cs"/>
          <w:b/>
          <w:bCs/>
          <w:color w:val="000000" w:themeColor="text1"/>
          <w:kern w:val="0"/>
          <w:sz w:val="36"/>
          <w:szCs w:val="36"/>
          <w:rtl/>
          <w14:ligatures w14:val="none"/>
        </w:rPr>
        <w:t>-</w:t>
      </w:r>
      <w:r w:rsidRPr="000E3C39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جامعــــــة ميداوشن</w:t>
      </w:r>
    </w:p>
    <w:p w14:paraId="3B92F12B" w14:textId="55F31768" w:rsidR="003D7155" w:rsidRDefault="003D7155" w:rsidP="003D7155">
      <w:pPr>
        <w:spacing w:before="240" w:after="0"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69D5DC27" w14:textId="6674B827" w:rsidR="003D7155" w:rsidRDefault="003D7155" w:rsidP="003D7155">
      <w:pPr>
        <w:spacing w:before="240" w:after="0"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26C98FDA" w14:textId="64D4ED74" w:rsidR="003D7155" w:rsidRDefault="003D7155" w:rsidP="003D7155">
      <w:pPr>
        <w:spacing w:before="240" w:after="0"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57A6671C" w14:textId="6BD5CD92" w:rsidR="003D7155" w:rsidRDefault="003D7155" w:rsidP="003D7155">
      <w:pPr>
        <w:spacing w:before="240" w:after="0"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11D9E72C" w14:textId="6FBD3018" w:rsidR="00A04290" w:rsidRDefault="00A04290" w:rsidP="003D7155">
      <w:pPr>
        <w:spacing w:before="240" w:after="0" w:line="36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14:paraId="2EA77D64" w14:textId="77777777" w:rsidR="00B42C73" w:rsidRPr="00B42C73" w:rsidRDefault="00B42C73" w:rsidP="00E26F0C">
      <w:pPr>
        <w:spacing w:before="240" w:after="0" w:line="360" w:lineRule="auto"/>
        <w:jc w:val="center"/>
        <w:rPr>
          <w:rFonts w:ascii="Traditional Arabic" w:hAnsi="Traditional Arabic" w:cs="Traditional Arabic"/>
          <w:b/>
          <w:bCs/>
          <w:sz w:val="36"/>
          <w:szCs w:val="36"/>
        </w:rPr>
      </w:pPr>
      <w:r w:rsidRPr="00B42C73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>تقييم الفصل الثاني</w:t>
      </w:r>
    </w:p>
    <w:p w14:paraId="5582BB74" w14:textId="4D00F768" w:rsidR="000033B9" w:rsidRDefault="000033B9" w:rsidP="0015192A">
      <w:pPr>
        <w:pStyle w:val="NormalWeb"/>
        <w:bidi/>
      </w:pPr>
      <w:r>
        <w:rPr>
          <w:rtl/>
        </w:rPr>
        <w:t xml:space="preserve">بمراجعة الفصل الثاني بعد التعديلات، يتضح أن الباحث قد استجاب للملاحظات السابقة بدرجة </w:t>
      </w:r>
      <w:r w:rsidR="0015192A">
        <w:rPr>
          <w:rFonts w:hint="cs"/>
          <w:rtl/>
        </w:rPr>
        <w:t>جبدة</w:t>
      </w:r>
      <w:r>
        <w:rPr>
          <w:rtl/>
        </w:rPr>
        <w:t xml:space="preserve">، حيث شهدت </w:t>
      </w:r>
      <w:r>
        <w:rPr>
          <w:rStyle w:val="Strong"/>
          <w:rtl/>
        </w:rPr>
        <w:t>الدراسات السابقة</w:t>
      </w:r>
      <w:r>
        <w:rPr>
          <w:rtl/>
        </w:rPr>
        <w:t xml:space="preserve"> تحسنًا ملحوظًا من حيث التنظيم والعرض، مع إدخال قدر مناسب من المقارنة والتحليل، وهو ما يعكس تطورًا إيجابيًا في هذا الجزء</w:t>
      </w:r>
      <w:r>
        <w:t>.</w:t>
      </w:r>
    </w:p>
    <w:p w14:paraId="135E33E6" w14:textId="77777777" w:rsidR="000033B9" w:rsidRDefault="000033B9" w:rsidP="000033B9">
      <w:pPr>
        <w:pStyle w:val="NormalWeb"/>
        <w:bidi/>
      </w:pPr>
      <w:r>
        <w:rPr>
          <w:rtl/>
        </w:rPr>
        <w:t xml:space="preserve">وفي المقابل، لا يزال </w:t>
      </w:r>
      <w:r>
        <w:rPr>
          <w:rStyle w:val="Strong"/>
          <w:rtl/>
        </w:rPr>
        <w:t>الإطار النظري</w:t>
      </w:r>
      <w:r>
        <w:rPr>
          <w:rtl/>
        </w:rPr>
        <w:t xml:space="preserve"> يغلب عليه الطابع الوصفي، مع محدودية في التحليل النقدي والربط المتعمق بين الاتجاهات النظرية، فضلًا عن عدم وضوح إطار نظري متكامل يفسر العلاقات بين متغيرات الدراسة بالشكل الكافي</w:t>
      </w:r>
      <w:r>
        <w:t>.</w:t>
      </w:r>
    </w:p>
    <w:p w14:paraId="1FF9C178" w14:textId="77777777" w:rsidR="000033B9" w:rsidRDefault="000033B9" w:rsidP="000033B9">
      <w:pPr>
        <w:pStyle w:val="NormalWeb"/>
        <w:bidi/>
      </w:pPr>
      <w:r>
        <w:rPr>
          <w:rtl/>
        </w:rPr>
        <w:t xml:space="preserve">كما تم إضافة </w:t>
      </w:r>
      <w:r>
        <w:rPr>
          <w:rStyle w:val="Strong"/>
          <w:rtl/>
        </w:rPr>
        <w:t>الفجوة البحثية</w:t>
      </w:r>
      <w:r>
        <w:rPr>
          <w:rtl/>
        </w:rPr>
        <w:t>، إلا أن صياغتها ما زالت بحاجة إلى مزيد من التحديد والدقة لإبراز الإسهام العلمي للدراسة وربطها بشكل مباشر بنتائج الدراسات السابقة</w:t>
      </w:r>
      <w:r>
        <w:t>.</w:t>
      </w:r>
    </w:p>
    <w:p w14:paraId="4B7FD3F0" w14:textId="77777777" w:rsidR="000033B9" w:rsidRDefault="000033B9" w:rsidP="000033B9">
      <w:pPr>
        <w:pStyle w:val="NormalWeb"/>
        <w:bidi/>
      </w:pPr>
      <w:r>
        <w:rPr>
          <w:rtl/>
        </w:rPr>
        <w:t xml:space="preserve">ويُلاحظ أيضًا أن الفصل لا يزال يحتوي على قدر من </w:t>
      </w:r>
      <w:bookmarkStart w:id="0" w:name="_GoBack"/>
      <w:r w:rsidRPr="0015192A">
        <w:rPr>
          <w:u w:val="single"/>
          <w:rtl/>
        </w:rPr>
        <w:t>الإطالة والتكرار</w:t>
      </w:r>
      <w:r>
        <w:rPr>
          <w:rtl/>
        </w:rPr>
        <w:t xml:space="preserve"> </w:t>
      </w:r>
      <w:bookmarkEnd w:id="0"/>
      <w:r>
        <w:rPr>
          <w:rtl/>
        </w:rPr>
        <w:t>في بعض الأجزاء، مما يتطلب مزيدًا من الاختصار وإعادة التنظيم لرفع مستوى التركيز العلمي</w:t>
      </w:r>
      <w:r>
        <w:t>.</w:t>
      </w:r>
    </w:p>
    <w:p w14:paraId="01F272A3" w14:textId="77777777" w:rsidR="000033B9" w:rsidRDefault="000033B9" w:rsidP="000033B9">
      <w:pPr>
        <w:pStyle w:val="Heading3"/>
      </w:pPr>
      <w:r>
        <w:rPr>
          <w:rStyle w:val="Strong"/>
          <w:b w:val="0"/>
          <w:bCs w:val="0"/>
          <w:rtl/>
        </w:rPr>
        <w:t>القرار</w:t>
      </w:r>
      <w:r>
        <w:rPr>
          <w:rStyle w:val="Strong"/>
          <w:b w:val="0"/>
          <w:bCs w:val="0"/>
        </w:rPr>
        <w:t>:</w:t>
      </w:r>
    </w:p>
    <w:p w14:paraId="4D247F87" w14:textId="77777777" w:rsidR="000033B9" w:rsidRDefault="000033B9" w:rsidP="000033B9">
      <w:pPr>
        <w:pStyle w:val="NormalWeb"/>
        <w:bidi/>
      </w:pPr>
      <w:r>
        <w:rPr>
          <w:rtl/>
        </w:rPr>
        <w:t xml:space="preserve">بناءً على ما سبق، يمكن </w:t>
      </w:r>
      <w:r>
        <w:rPr>
          <w:rStyle w:val="Strong"/>
          <w:rtl/>
        </w:rPr>
        <w:t>قبول الفصل قبولًا مشروطًا</w:t>
      </w:r>
      <w:r>
        <w:rPr>
          <w:rtl/>
        </w:rPr>
        <w:t>، على أن يقوم الباحث بإجراء التعديلات التالية</w:t>
      </w:r>
      <w:r>
        <w:t>:</w:t>
      </w:r>
    </w:p>
    <w:p w14:paraId="0C3D2D3F" w14:textId="77777777" w:rsidR="000033B9" w:rsidRDefault="000033B9" w:rsidP="000033B9">
      <w:pPr>
        <w:numPr>
          <w:ilvl w:val="0"/>
          <w:numId w:val="32"/>
        </w:numPr>
        <w:spacing w:before="100" w:beforeAutospacing="1" w:after="100" w:afterAutospacing="1" w:line="240" w:lineRule="auto"/>
      </w:pPr>
      <w:r>
        <w:rPr>
          <w:rtl/>
        </w:rPr>
        <w:t xml:space="preserve">تعميق التحليل في الإطار النظري وتدعيمه بطرح نقدي واضح </w:t>
      </w:r>
    </w:p>
    <w:p w14:paraId="21FD9425" w14:textId="77777777" w:rsidR="000033B9" w:rsidRDefault="000033B9" w:rsidP="000033B9">
      <w:pPr>
        <w:numPr>
          <w:ilvl w:val="0"/>
          <w:numId w:val="32"/>
        </w:numPr>
        <w:spacing w:before="100" w:beforeAutospacing="1" w:after="100" w:afterAutospacing="1" w:line="240" w:lineRule="auto"/>
      </w:pPr>
      <w:r>
        <w:rPr>
          <w:rtl/>
        </w:rPr>
        <w:t xml:space="preserve">بناء إطار نظري مترابط يوضح العلاقات بين متغيرات الدراسة </w:t>
      </w:r>
    </w:p>
    <w:p w14:paraId="18290325" w14:textId="77777777" w:rsidR="000033B9" w:rsidRDefault="000033B9" w:rsidP="000033B9">
      <w:pPr>
        <w:numPr>
          <w:ilvl w:val="0"/>
          <w:numId w:val="32"/>
        </w:numPr>
        <w:spacing w:before="100" w:beforeAutospacing="1" w:after="100" w:afterAutospacing="1" w:line="240" w:lineRule="auto"/>
      </w:pPr>
      <w:r>
        <w:rPr>
          <w:rtl/>
        </w:rPr>
        <w:t xml:space="preserve">إعادة صياغة الفجوة البحثية بشكل أكثر تحديدًا ودقة </w:t>
      </w:r>
    </w:p>
    <w:p w14:paraId="786A62A7" w14:textId="77777777" w:rsidR="000033B9" w:rsidRDefault="000033B9" w:rsidP="000033B9">
      <w:pPr>
        <w:numPr>
          <w:ilvl w:val="0"/>
          <w:numId w:val="32"/>
        </w:numPr>
        <w:spacing w:before="100" w:beforeAutospacing="1" w:after="100" w:afterAutospacing="1" w:line="240" w:lineRule="auto"/>
      </w:pPr>
      <w:r>
        <w:rPr>
          <w:rtl/>
        </w:rPr>
        <w:t>تقليل التكرار واختصار الفصل بما يعزز التركيز العلمي</w:t>
      </w:r>
    </w:p>
    <w:p w14:paraId="12704387" w14:textId="77777777" w:rsidR="003D7155" w:rsidRPr="000033B9" w:rsidRDefault="003D7155" w:rsidP="00A04290">
      <w:pPr>
        <w:spacing w:before="100" w:beforeAutospacing="1" w:after="100" w:afterAutospacing="1" w:line="240" w:lineRule="auto"/>
        <w:rPr>
          <w:rFonts w:ascii="Traditional Arabic" w:hAnsi="Traditional Arabic" w:cs="Traditional Arabic"/>
          <w:b/>
          <w:bCs/>
          <w:sz w:val="32"/>
          <w:szCs w:val="32"/>
        </w:rPr>
      </w:pPr>
    </w:p>
    <w:sectPr w:rsidR="003D7155" w:rsidRPr="000033B9" w:rsidSect="00FD5B03">
      <w:pgSz w:w="11906" w:h="16838"/>
      <w:pgMar w:top="1440" w:right="1983" w:bottom="1440" w:left="1985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5A48" w14:textId="77777777" w:rsidR="005B2272" w:rsidRDefault="005B2272" w:rsidP="00FD5B03">
      <w:pPr>
        <w:spacing w:after="0" w:line="240" w:lineRule="auto"/>
      </w:pPr>
      <w:r>
        <w:separator/>
      </w:r>
    </w:p>
  </w:endnote>
  <w:endnote w:type="continuationSeparator" w:id="0">
    <w:p w14:paraId="005A2466" w14:textId="77777777" w:rsidR="005B2272" w:rsidRDefault="005B2272" w:rsidP="00FD5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E8CCB9" w14:textId="77777777" w:rsidR="005B2272" w:rsidRDefault="005B2272" w:rsidP="00FD5B03">
      <w:pPr>
        <w:spacing w:after="0" w:line="240" w:lineRule="auto"/>
      </w:pPr>
      <w:r>
        <w:separator/>
      </w:r>
    </w:p>
  </w:footnote>
  <w:footnote w:type="continuationSeparator" w:id="0">
    <w:p w14:paraId="65330ED5" w14:textId="77777777" w:rsidR="005B2272" w:rsidRDefault="005B2272" w:rsidP="00FD5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F6599"/>
    <w:multiLevelType w:val="multilevel"/>
    <w:tmpl w:val="E6AA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51818"/>
    <w:multiLevelType w:val="multilevel"/>
    <w:tmpl w:val="013EE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15437"/>
    <w:multiLevelType w:val="hybridMultilevel"/>
    <w:tmpl w:val="13E46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E60ED"/>
    <w:multiLevelType w:val="hybridMultilevel"/>
    <w:tmpl w:val="6F5EC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F3D33"/>
    <w:multiLevelType w:val="hybridMultilevel"/>
    <w:tmpl w:val="06E01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136BBD"/>
    <w:multiLevelType w:val="hybridMultilevel"/>
    <w:tmpl w:val="EE70C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E3B0C"/>
    <w:multiLevelType w:val="hybridMultilevel"/>
    <w:tmpl w:val="6F5EC3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AD6148"/>
    <w:multiLevelType w:val="multilevel"/>
    <w:tmpl w:val="961C5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A526B4"/>
    <w:multiLevelType w:val="hybridMultilevel"/>
    <w:tmpl w:val="16089BDC"/>
    <w:lvl w:ilvl="0" w:tplc="28DA843E">
      <w:numFmt w:val="bullet"/>
      <w:lvlText w:val="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D560A0"/>
    <w:multiLevelType w:val="hybridMultilevel"/>
    <w:tmpl w:val="E62CE1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A15A4"/>
    <w:multiLevelType w:val="hybridMultilevel"/>
    <w:tmpl w:val="4DE80C82"/>
    <w:lvl w:ilvl="0" w:tplc="2BE6A4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B206FC"/>
    <w:multiLevelType w:val="multilevel"/>
    <w:tmpl w:val="42645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CB4679"/>
    <w:multiLevelType w:val="hybridMultilevel"/>
    <w:tmpl w:val="B4022D9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C47D20"/>
    <w:multiLevelType w:val="hybridMultilevel"/>
    <w:tmpl w:val="CA1061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A21D2"/>
    <w:multiLevelType w:val="hybridMultilevel"/>
    <w:tmpl w:val="28884DA6"/>
    <w:lvl w:ilvl="0" w:tplc="95EE74B8">
      <w:start w:val="5"/>
      <w:numFmt w:val="bullet"/>
      <w:lvlText w:val="-"/>
      <w:lvlJc w:val="left"/>
      <w:pPr>
        <w:ind w:left="720" w:hanging="360"/>
      </w:pPr>
      <w:rPr>
        <w:rFonts w:ascii="Traditional Arabic" w:eastAsiaTheme="minorEastAsia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2C4F6D"/>
    <w:multiLevelType w:val="multilevel"/>
    <w:tmpl w:val="A8729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FC02B6"/>
    <w:multiLevelType w:val="multilevel"/>
    <w:tmpl w:val="40046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6F5AA4"/>
    <w:multiLevelType w:val="multilevel"/>
    <w:tmpl w:val="2C0E9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C24F0E"/>
    <w:multiLevelType w:val="hybridMultilevel"/>
    <w:tmpl w:val="210642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D20015"/>
    <w:multiLevelType w:val="hybridMultilevel"/>
    <w:tmpl w:val="AF6EB4D8"/>
    <w:lvl w:ilvl="0" w:tplc="28DA843E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B7638A"/>
    <w:multiLevelType w:val="multilevel"/>
    <w:tmpl w:val="E5687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0D29D4"/>
    <w:multiLevelType w:val="multilevel"/>
    <w:tmpl w:val="E6748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A385F6D"/>
    <w:multiLevelType w:val="multilevel"/>
    <w:tmpl w:val="501A6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24B13EE"/>
    <w:multiLevelType w:val="multilevel"/>
    <w:tmpl w:val="8BFCD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DD1420"/>
    <w:multiLevelType w:val="multilevel"/>
    <w:tmpl w:val="6F78A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8294420"/>
    <w:multiLevelType w:val="multilevel"/>
    <w:tmpl w:val="89481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C616AE"/>
    <w:multiLevelType w:val="multilevel"/>
    <w:tmpl w:val="71A64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E156581"/>
    <w:multiLevelType w:val="multilevel"/>
    <w:tmpl w:val="A6244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991FD7"/>
    <w:multiLevelType w:val="multilevel"/>
    <w:tmpl w:val="4148F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B14DD1"/>
    <w:multiLevelType w:val="multilevel"/>
    <w:tmpl w:val="2FA8B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4F28E4"/>
    <w:multiLevelType w:val="hybridMultilevel"/>
    <w:tmpl w:val="73D05FB4"/>
    <w:lvl w:ilvl="0" w:tplc="6F2A31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407CDD"/>
    <w:multiLevelType w:val="hybridMultilevel"/>
    <w:tmpl w:val="1F4065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5"/>
  </w:num>
  <w:num w:numId="3">
    <w:abstractNumId w:val="4"/>
  </w:num>
  <w:num w:numId="4">
    <w:abstractNumId w:val="19"/>
  </w:num>
  <w:num w:numId="5">
    <w:abstractNumId w:val="8"/>
  </w:num>
  <w:num w:numId="6">
    <w:abstractNumId w:val="12"/>
  </w:num>
  <w:num w:numId="7">
    <w:abstractNumId w:val="0"/>
  </w:num>
  <w:num w:numId="8">
    <w:abstractNumId w:val="23"/>
  </w:num>
  <w:num w:numId="9">
    <w:abstractNumId w:val="29"/>
  </w:num>
  <w:num w:numId="10">
    <w:abstractNumId w:val="26"/>
  </w:num>
  <w:num w:numId="11">
    <w:abstractNumId w:val="1"/>
  </w:num>
  <w:num w:numId="12">
    <w:abstractNumId w:val="16"/>
  </w:num>
  <w:num w:numId="13">
    <w:abstractNumId w:val="22"/>
  </w:num>
  <w:num w:numId="14">
    <w:abstractNumId w:val="3"/>
  </w:num>
  <w:num w:numId="15">
    <w:abstractNumId w:val="9"/>
  </w:num>
  <w:num w:numId="16">
    <w:abstractNumId w:val="27"/>
  </w:num>
  <w:num w:numId="17">
    <w:abstractNumId w:val="21"/>
  </w:num>
  <w:num w:numId="18">
    <w:abstractNumId w:val="2"/>
  </w:num>
  <w:num w:numId="19">
    <w:abstractNumId w:val="6"/>
  </w:num>
  <w:num w:numId="20">
    <w:abstractNumId w:val="31"/>
  </w:num>
  <w:num w:numId="21">
    <w:abstractNumId w:val="14"/>
  </w:num>
  <w:num w:numId="22">
    <w:abstractNumId w:val="11"/>
  </w:num>
  <w:num w:numId="23">
    <w:abstractNumId w:val="30"/>
  </w:num>
  <w:num w:numId="24">
    <w:abstractNumId w:val="24"/>
  </w:num>
  <w:num w:numId="25">
    <w:abstractNumId w:val="15"/>
  </w:num>
  <w:num w:numId="26">
    <w:abstractNumId w:val="13"/>
  </w:num>
  <w:num w:numId="27">
    <w:abstractNumId w:val="18"/>
  </w:num>
  <w:num w:numId="28">
    <w:abstractNumId w:val="5"/>
  </w:num>
  <w:num w:numId="29">
    <w:abstractNumId w:val="20"/>
  </w:num>
  <w:num w:numId="30">
    <w:abstractNumId w:val="10"/>
  </w:num>
  <w:num w:numId="31">
    <w:abstractNumId w:val="17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C5F"/>
    <w:rsid w:val="00001684"/>
    <w:rsid w:val="000033B9"/>
    <w:rsid w:val="00026690"/>
    <w:rsid w:val="00035DCF"/>
    <w:rsid w:val="000D5240"/>
    <w:rsid w:val="000E3C39"/>
    <w:rsid w:val="00136164"/>
    <w:rsid w:val="0015192A"/>
    <w:rsid w:val="001A1E02"/>
    <w:rsid w:val="00261E5B"/>
    <w:rsid w:val="003A6FD5"/>
    <w:rsid w:val="003D7155"/>
    <w:rsid w:val="004212E9"/>
    <w:rsid w:val="004267EE"/>
    <w:rsid w:val="00436C7A"/>
    <w:rsid w:val="004744D7"/>
    <w:rsid w:val="00487083"/>
    <w:rsid w:val="004A32B0"/>
    <w:rsid w:val="004C7C0E"/>
    <w:rsid w:val="004F100D"/>
    <w:rsid w:val="004F3455"/>
    <w:rsid w:val="005518AC"/>
    <w:rsid w:val="00560C69"/>
    <w:rsid w:val="005B2272"/>
    <w:rsid w:val="005B7C5F"/>
    <w:rsid w:val="00622A3A"/>
    <w:rsid w:val="00645A09"/>
    <w:rsid w:val="00696E92"/>
    <w:rsid w:val="00715A85"/>
    <w:rsid w:val="007472D1"/>
    <w:rsid w:val="00792EF5"/>
    <w:rsid w:val="007D2A6F"/>
    <w:rsid w:val="007E4740"/>
    <w:rsid w:val="007F56B6"/>
    <w:rsid w:val="0087502F"/>
    <w:rsid w:val="00877226"/>
    <w:rsid w:val="008B0A98"/>
    <w:rsid w:val="008D1254"/>
    <w:rsid w:val="008D63E7"/>
    <w:rsid w:val="008F29BA"/>
    <w:rsid w:val="008F5156"/>
    <w:rsid w:val="008F7FE9"/>
    <w:rsid w:val="00901153"/>
    <w:rsid w:val="00917481"/>
    <w:rsid w:val="009427B8"/>
    <w:rsid w:val="0097081F"/>
    <w:rsid w:val="00971320"/>
    <w:rsid w:val="00974901"/>
    <w:rsid w:val="009961D5"/>
    <w:rsid w:val="00A04290"/>
    <w:rsid w:val="00A450E0"/>
    <w:rsid w:val="00A6691C"/>
    <w:rsid w:val="00B170F5"/>
    <w:rsid w:val="00B42C73"/>
    <w:rsid w:val="00B80DDB"/>
    <w:rsid w:val="00BC1B25"/>
    <w:rsid w:val="00BD1469"/>
    <w:rsid w:val="00C173B2"/>
    <w:rsid w:val="00CA7B9F"/>
    <w:rsid w:val="00CB2307"/>
    <w:rsid w:val="00D46659"/>
    <w:rsid w:val="00DB6F66"/>
    <w:rsid w:val="00E26F0C"/>
    <w:rsid w:val="00E30D73"/>
    <w:rsid w:val="00E35F6A"/>
    <w:rsid w:val="00EB4C30"/>
    <w:rsid w:val="00EB7C67"/>
    <w:rsid w:val="00F54E4A"/>
    <w:rsid w:val="00F5563D"/>
    <w:rsid w:val="00F85384"/>
    <w:rsid w:val="00F91685"/>
    <w:rsid w:val="00FD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E3766"/>
  <w15:chartTrackingRefBased/>
  <w15:docId w15:val="{BEBF2F63-44CB-4B87-A08E-26DEEEFC0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9011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715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51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1153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515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7E47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D5B0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B03"/>
  </w:style>
  <w:style w:type="paragraph" w:styleId="Footer">
    <w:name w:val="footer"/>
    <w:basedOn w:val="Normal"/>
    <w:link w:val="FooterChar"/>
    <w:uiPriority w:val="99"/>
    <w:unhideWhenUsed/>
    <w:rsid w:val="00FD5B0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B03"/>
  </w:style>
  <w:style w:type="table" w:styleId="TableGrid">
    <w:name w:val="Table Grid"/>
    <w:basedOn w:val="TableNormal"/>
    <w:uiPriority w:val="39"/>
    <w:rsid w:val="00FD5B03"/>
    <w:pPr>
      <w:bidi/>
      <w:spacing w:after="0" w:line="240" w:lineRule="auto"/>
    </w:pPr>
    <w:rPr>
      <w:rFonts w:eastAsiaTheme="minorEastAsia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semiHidden/>
    <w:unhideWhenUsed/>
    <w:rsid w:val="00FD5B03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paragraph" w:customStyle="1" w:styleId="1">
    <w:name w:val="العناوين الفرعيه 1"/>
    <w:basedOn w:val="Normal"/>
    <w:link w:val="1Char"/>
    <w:qFormat/>
    <w:rsid w:val="00622A3A"/>
    <w:rPr>
      <w:rFonts w:ascii="Traditional Arabic" w:eastAsiaTheme="minorEastAsia" w:hAnsi="Traditional Arabic" w:cs="Traditional Arabic"/>
      <w:b/>
      <w:bCs/>
      <w:kern w:val="0"/>
      <w:sz w:val="32"/>
      <w:szCs w:val="32"/>
      <w14:ligatures w14:val="none"/>
    </w:rPr>
  </w:style>
  <w:style w:type="character" w:customStyle="1" w:styleId="1Char">
    <w:name w:val="العناوين الفرعيه 1 Char"/>
    <w:basedOn w:val="DefaultParagraphFont"/>
    <w:link w:val="1"/>
    <w:rsid w:val="00622A3A"/>
    <w:rPr>
      <w:rFonts w:ascii="Traditional Arabic" w:eastAsiaTheme="minorEastAsia" w:hAnsi="Traditional Arabic" w:cs="Traditional Arabic"/>
      <w:b/>
      <w:bCs/>
      <w:kern w:val="0"/>
      <w:sz w:val="32"/>
      <w:szCs w:val="32"/>
      <w14:ligatures w14:val="none"/>
    </w:rPr>
  </w:style>
  <w:style w:type="paragraph" w:customStyle="1" w:styleId="2">
    <w:name w:val="العنوان الفرعي2"/>
    <w:basedOn w:val="Normal"/>
    <w:link w:val="2Char"/>
    <w:qFormat/>
    <w:rsid w:val="00622A3A"/>
    <w:rPr>
      <w:rFonts w:ascii="Traditional Arabic" w:eastAsiaTheme="minorEastAsia" w:hAnsi="Traditional Arabic" w:cs="Traditional Arabic"/>
      <w:b/>
      <w:bCs/>
      <w:kern w:val="0"/>
      <w:sz w:val="24"/>
      <w:szCs w:val="24"/>
      <w14:ligatures w14:val="none"/>
    </w:rPr>
  </w:style>
  <w:style w:type="character" w:customStyle="1" w:styleId="2Char">
    <w:name w:val="العنوان الفرعي2 Char"/>
    <w:basedOn w:val="DefaultParagraphFont"/>
    <w:link w:val="2"/>
    <w:rsid w:val="00622A3A"/>
    <w:rPr>
      <w:rFonts w:ascii="Traditional Arabic" w:eastAsiaTheme="minorEastAsia" w:hAnsi="Traditional Arabic" w:cs="Traditional Arabic"/>
      <w:b/>
      <w:bCs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3D7155"/>
    <w:rPr>
      <w:b/>
      <w:bCs/>
    </w:rPr>
  </w:style>
  <w:style w:type="character" w:styleId="Emphasis">
    <w:name w:val="Emphasis"/>
    <w:basedOn w:val="DefaultParagraphFont"/>
    <w:uiPriority w:val="20"/>
    <w:qFormat/>
    <w:rsid w:val="003D7155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715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3D715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19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89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53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435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02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2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83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74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19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55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58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7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244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8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5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66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3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537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341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56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12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8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74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84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695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960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48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8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4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93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02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923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588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9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5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3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5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38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450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511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  <vt:variant>
        <vt:lpstr>العنوان</vt:lpstr>
      </vt:variant>
      <vt:variant>
        <vt:i4>1</vt:i4>
      </vt:variant>
    </vt:vector>
  </HeadingPairs>
  <TitlesOfParts>
    <vt:vector size="4" baseType="lpstr">
      <vt:lpstr/>
      <vt:lpstr>/جامعــــــة ميداوشن - كليــــة الإدارة</vt:lpstr>
      <vt:lpstr>عنوان الدراسة</vt:lpstr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حسن سليم</dc:creator>
  <cp:keywords/>
  <dc:description/>
  <cp:lastModifiedBy>Amira El. Fekky</cp:lastModifiedBy>
  <cp:revision>4</cp:revision>
  <dcterms:created xsi:type="dcterms:W3CDTF">2026-05-03T18:29:00Z</dcterms:created>
  <dcterms:modified xsi:type="dcterms:W3CDTF">2026-05-03T18:30:00Z</dcterms:modified>
</cp:coreProperties>
</file>