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000000" w:themeColor="text1"/>
  <w:body>
    <w:p w14:paraId="342A2CC8" w14:textId="19A707BE" w:rsidR="006D3170" w:rsidRDefault="00975A87">
      <w:pPr>
        <w:spacing w:after="200"/>
      </w:pPr>
      <w:r>
        <w:rPr>
          <w:noProof/>
        </w:rPr>
        <w:drawing>
          <wp:anchor distT="0" distB="0" distL="114300" distR="114300" simplePos="0" relativeHeight="251658240" behindDoc="1" locked="0" layoutInCell="1" allowOverlap="1" wp14:anchorId="2EFEB12C" wp14:editId="004D4AA6">
            <wp:simplePos x="0" y="0"/>
            <wp:positionH relativeFrom="column">
              <wp:posOffset>4471972</wp:posOffset>
            </wp:positionH>
            <wp:positionV relativeFrom="paragraph">
              <wp:posOffset>-91019</wp:posOffset>
            </wp:positionV>
            <wp:extent cx="1480344" cy="1357668"/>
            <wp:effectExtent l="0" t="0" r="5715" b="1270"/>
            <wp:wrapNone/>
            <wp:docPr id="10287741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74125" name="Picture 10287741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0344" cy="1357668"/>
                    </a:xfrm>
                    <a:prstGeom prst="rect">
                      <a:avLst/>
                    </a:prstGeom>
                  </pic:spPr>
                </pic:pic>
              </a:graphicData>
            </a:graphic>
            <wp14:sizeRelH relativeFrom="page">
              <wp14:pctWidth>0</wp14:pctWidth>
            </wp14:sizeRelH>
            <wp14:sizeRelV relativeFrom="page">
              <wp14:pctHeight>0</wp14:pctHeight>
            </wp14:sizeRelV>
          </wp:anchor>
        </w:drawing>
      </w:r>
    </w:p>
    <w:p w14:paraId="5104CAE6" w14:textId="2450E1BF" w:rsidR="006D3170" w:rsidRDefault="007F79C8">
      <w:pPr>
        <w:spacing w:after="80"/>
      </w:pPr>
      <w:r>
        <w:rPr>
          <w:b/>
          <w:bCs/>
          <w:sz w:val="26"/>
          <w:szCs w:val="26"/>
        </w:rPr>
        <w:t>Midocean University</w:t>
      </w:r>
    </w:p>
    <w:p w14:paraId="3FE8B604" w14:textId="3BDFF42C" w:rsidR="006D3170" w:rsidRDefault="007F79C8">
      <w:pPr>
        <w:spacing w:after="80"/>
      </w:pPr>
      <w:r>
        <w:rPr>
          <w:b/>
          <w:bCs/>
          <w:sz w:val="24"/>
          <w:szCs w:val="24"/>
        </w:rPr>
        <w:t>College of Administration</w:t>
      </w:r>
    </w:p>
    <w:p w14:paraId="5D9B96D6" w14:textId="5FA25E4D" w:rsidR="006D3170" w:rsidRDefault="007F79C8" w:rsidP="0042378D">
      <w:pPr>
        <w:spacing w:after="600"/>
        <w:rPr>
          <w:b/>
          <w:bCs/>
          <w:sz w:val="24"/>
          <w:szCs w:val="24"/>
        </w:rPr>
      </w:pPr>
      <w:r>
        <w:rPr>
          <w:b/>
          <w:bCs/>
          <w:sz w:val="24"/>
          <w:szCs w:val="24"/>
        </w:rPr>
        <w:t>Department / Master's in Business Administration</w:t>
      </w:r>
    </w:p>
    <w:p w14:paraId="086731A2" w14:textId="77777777" w:rsidR="00CA57EE" w:rsidRDefault="00CA57EE" w:rsidP="0042378D">
      <w:pPr>
        <w:spacing w:after="600"/>
        <w:rPr>
          <w:b/>
          <w:bCs/>
          <w:sz w:val="24"/>
          <w:szCs w:val="24"/>
        </w:rPr>
      </w:pPr>
    </w:p>
    <w:p w14:paraId="4E68F592" w14:textId="77777777" w:rsidR="00CA57EE" w:rsidRPr="0042378D" w:rsidRDefault="00CA57EE" w:rsidP="0042378D">
      <w:pPr>
        <w:spacing w:after="600"/>
        <w:rPr>
          <w:b/>
          <w:bCs/>
          <w:sz w:val="24"/>
          <w:szCs w:val="24"/>
        </w:rPr>
      </w:pPr>
    </w:p>
    <w:p w14:paraId="34F67259" w14:textId="77777777" w:rsidR="006D3170" w:rsidRDefault="007F79C8">
      <w:pPr>
        <w:spacing w:after="200"/>
        <w:jc w:val="center"/>
      </w:pPr>
      <w:r>
        <w:rPr>
          <w:b/>
          <w:bCs/>
          <w:sz w:val="26"/>
          <w:szCs w:val="26"/>
        </w:rPr>
        <w:t>Research Title:</w:t>
      </w:r>
    </w:p>
    <w:p w14:paraId="6D8D9BAB" w14:textId="77777777" w:rsidR="006D3170" w:rsidRDefault="007F79C8">
      <w:pPr>
        <w:spacing w:after="600"/>
        <w:jc w:val="center"/>
        <w:rPr>
          <w:b/>
          <w:bCs/>
          <w:sz w:val="30"/>
          <w:szCs w:val="30"/>
        </w:rPr>
      </w:pPr>
      <w:r>
        <w:rPr>
          <w:b/>
          <w:bCs/>
          <w:sz w:val="30"/>
          <w:szCs w:val="30"/>
        </w:rPr>
        <w:t>The Impact of Saudi Vision 2030 on Event Production and Event Management in Riyadh</w:t>
      </w:r>
    </w:p>
    <w:p w14:paraId="052F57A0" w14:textId="77777777" w:rsidR="00CA57EE" w:rsidRDefault="00CA57EE">
      <w:pPr>
        <w:spacing w:after="600"/>
        <w:jc w:val="center"/>
      </w:pPr>
    </w:p>
    <w:p w14:paraId="6C99D911" w14:textId="77777777" w:rsidR="006D3170" w:rsidRDefault="007F79C8">
      <w:pPr>
        <w:spacing w:after="80"/>
        <w:jc w:val="center"/>
      </w:pPr>
      <w:r>
        <w:rPr>
          <w:sz w:val="24"/>
          <w:szCs w:val="24"/>
        </w:rPr>
        <w:t>Mosab Mohammed Ahmed Shaban</w:t>
      </w:r>
    </w:p>
    <w:p w14:paraId="65295B3B" w14:textId="77777777" w:rsidR="006D3170" w:rsidRDefault="007F79C8">
      <w:pPr>
        <w:spacing w:after="80"/>
        <w:jc w:val="center"/>
      </w:pPr>
      <w:r>
        <w:rPr>
          <w:u w:val="single"/>
        </w:rPr>
        <w:t>253001012</w:t>
      </w:r>
    </w:p>
    <w:p w14:paraId="7280426E" w14:textId="415AC7B3" w:rsidR="00CA57EE" w:rsidRPr="00431BAC" w:rsidRDefault="007F79C8" w:rsidP="00431BAC">
      <w:pPr>
        <w:spacing w:after="600"/>
        <w:jc w:val="center"/>
        <w:rPr>
          <w:b/>
          <w:bCs/>
        </w:rPr>
      </w:pPr>
      <w:r>
        <w:rPr>
          <w:b/>
          <w:bCs/>
        </w:rPr>
        <w:t>Master of Business Administration</w:t>
      </w:r>
    </w:p>
    <w:p w14:paraId="0A81E8A1" w14:textId="77777777" w:rsidR="00CA57EE" w:rsidRDefault="00CA57EE">
      <w:pPr>
        <w:spacing w:after="600"/>
        <w:jc w:val="cente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6D3170" w14:paraId="6B2210F5" w14:textId="77777777">
        <w:tc>
          <w:tcPr>
            <w:tcW w:w="4513" w:type="dxa"/>
            <w:tcBorders>
              <w:top w:val="none" w:sz="0" w:space="0" w:color="FFFFFF"/>
              <w:left w:val="none" w:sz="0" w:space="0" w:color="FFFFFF"/>
              <w:bottom w:val="none" w:sz="0" w:space="0" w:color="FFFFFF"/>
              <w:right w:val="none" w:sz="0" w:space="0" w:color="FFFFFF"/>
            </w:tcBorders>
          </w:tcPr>
          <w:p w14:paraId="0A0A93E0" w14:textId="77777777" w:rsidR="006D3170" w:rsidRDefault="007F79C8">
            <w:pPr>
              <w:jc w:val="center"/>
            </w:pPr>
            <w:r>
              <w:rPr>
                <w:b/>
                <w:bCs/>
              </w:rPr>
              <w:t>Main Supervisor:</w:t>
            </w:r>
          </w:p>
          <w:p w14:paraId="52D7A3C2" w14:textId="3BD958D3" w:rsidR="006D3170" w:rsidRDefault="007F79C8">
            <w:pPr>
              <w:jc w:val="center"/>
            </w:pPr>
            <w:r>
              <w:t>[</w:t>
            </w:r>
            <w:r w:rsidR="00A814FC">
              <w:t>Dr.Al-Faisal Abdul Hamid</w:t>
            </w:r>
            <w:r>
              <w:t>]</w:t>
            </w:r>
          </w:p>
        </w:tc>
        <w:tc>
          <w:tcPr>
            <w:tcW w:w="4513" w:type="dxa"/>
            <w:tcBorders>
              <w:top w:val="none" w:sz="0" w:space="0" w:color="FFFFFF"/>
              <w:left w:val="none" w:sz="0" w:space="0" w:color="FFFFFF"/>
              <w:bottom w:val="none" w:sz="0" w:space="0" w:color="FFFFFF"/>
              <w:right w:val="none" w:sz="0" w:space="0" w:color="FFFFFF"/>
            </w:tcBorders>
          </w:tcPr>
          <w:p w14:paraId="35B229D6" w14:textId="77777777" w:rsidR="006D3170" w:rsidRDefault="007F79C8">
            <w:pPr>
              <w:jc w:val="center"/>
            </w:pPr>
            <w:r>
              <w:rPr>
                <w:b/>
                <w:bCs/>
              </w:rPr>
              <w:t>Second Supervisor:</w:t>
            </w:r>
          </w:p>
          <w:p w14:paraId="0EFBC0D9" w14:textId="5A9AAF65" w:rsidR="006D3170" w:rsidRDefault="007F79C8">
            <w:pPr>
              <w:jc w:val="center"/>
            </w:pPr>
            <w:r>
              <w:t>[</w:t>
            </w:r>
            <w:r w:rsidR="00A814FC">
              <w:t>Dr.Faiz Jarad</w:t>
            </w:r>
            <w:r>
              <w:t>]</w:t>
            </w:r>
          </w:p>
        </w:tc>
      </w:tr>
    </w:tbl>
    <w:p w14:paraId="14F175D3" w14:textId="77777777" w:rsidR="006D3170" w:rsidRDefault="006D3170">
      <w:pPr>
        <w:spacing w:after="600"/>
      </w:pPr>
    </w:p>
    <w:p w14:paraId="319E4836" w14:textId="77777777" w:rsidR="00CA57EE" w:rsidRDefault="00CA57EE">
      <w:pPr>
        <w:spacing w:after="600"/>
      </w:pPr>
    </w:p>
    <w:p w14:paraId="0E41EC02" w14:textId="77777777" w:rsidR="006D3170" w:rsidRDefault="007F79C8">
      <w:pPr>
        <w:spacing w:after="80"/>
        <w:jc w:val="center"/>
      </w:pPr>
      <w:r>
        <w:rPr>
          <w:b/>
          <w:bCs/>
        </w:rPr>
        <w:t>Academic Year:</w:t>
      </w:r>
    </w:p>
    <w:p w14:paraId="1207BFBA" w14:textId="77777777" w:rsidR="006D3170" w:rsidRDefault="007F79C8">
      <w:pPr>
        <w:jc w:val="center"/>
      </w:pPr>
      <w:r>
        <w:rPr>
          <w:b/>
          <w:bCs/>
          <w:sz w:val="24"/>
          <w:szCs w:val="24"/>
        </w:rPr>
        <w:t>2026</w:t>
      </w:r>
    </w:p>
    <w:p w14:paraId="4E53027C" w14:textId="053C6DAE" w:rsidR="006D3170" w:rsidRDefault="007F79C8">
      <w:pPr>
        <w:rPr>
          <w:rtl/>
        </w:rPr>
      </w:pPr>
      <w:r>
        <w:br w:type="page"/>
      </w:r>
    </w:p>
    <w:p w14:paraId="61932690" w14:textId="77777777" w:rsidR="006D3170" w:rsidRDefault="007F79C8">
      <w:pPr>
        <w:pStyle w:val="Heading2"/>
        <w:spacing w:before="240" w:after="160"/>
      </w:pPr>
      <w:bookmarkStart w:id="0" w:name="_Toc235048724"/>
      <w:r>
        <w:lastRenderedPageBreak/>
        <w:t>Copyright Notice</w:t>
      </w:r>
      <w:bookmarkEnd w:id="0"/>
    </w:p>
    <w:p w14:paraId="653B4225" w14:textId="6E3C2389" w:rsidR="006D3170" w:rsidRDefault="0042378D">
      <w:pPr>
        <w:spacing w:after="200" w:line="300" w:lineRule="auto"/>
        <w:jc w:val="both"/>
      </w:pPr>
      <w:r>
        <w:t>Midocean</w:t>
      </w:r>
      <w:r w:rsidR="007F79C8">
        <w:t xml:space="preserve"> </w:t>
      </w:r>
      <w:r>
        <w:t>University</w:t>
      </w:r>
      <w:r w:rsidR="007F79C8">
        <w:t xml:space="preserve"> own</w:t>
      </w:r>
      <w:r>
        <w:t>s</w:t>
      </w:r>
      <w:r w:rsidR="007F79C8">
        <w:t xml:space="preserve"> </w:t>
      </w:r>
      <w:r>
        <w:t>all</w:t>
      </w:r>
      <w:r w:rsidR="007F79C8">
        <w:t xml:space="preserve"> </w:t>
      </w:r>
      <w:r>
        <w:t>copyright</w:t>
      </w:r>
      <w:r w:rsidR="007F79C8">
        <w:t xml:space="preserve"> </w:t>
      </w:r>
      <w:r>
        <w:t>notices</w:t>
      </w:r>
      <w:r w:rsidR="007F79C8">
        <w:t xml:space="preserve">. </w:t>
      </w:r>
      <w:r>
        <w:t>Midocean University owns a</w:t>
      </w:r>
      <w:r w:rsidR="007F79C8">
        <w:t xml:space="preserve">ll </w:t>
      </w:r>
      <w:r>
        <w:t>content, information, and research, and they cannot be used in any way without the university's permission.</w:t>
      </w:r>
    </w:p>
    <w:p w14:paraId="2D656B7F" w14:textId="77777777" w:rsidR="006D3170" w:rsidRDefault="007F79C8">
      <w:r>
        <w:br w:type="page"/>
      </w:r>
    </w:p>
    <w:p w14:paraId="4CA80B83" w14:textId="77777777" w:rsidR="006D3170" w:rsidRDefault="007F79C8">
      <w:pPr>
        <w:pStyle w:val="Heading2"/>
        <w:spacing w:before="240" w:after="160"/>
      </w:pPr>
      <w:bookmarkStart w:id="1" w:name="_Toc235048725"/>
      <w:r>
        <w:lastRenderedPageBreak/>
        <w:t>Abstract</w:t>
      </w:r>
      <w:bookmarkEnd w:id="1"/>
    </w:p>
    <w:p w14:paraId="65CE866A" w14:textId="77777777" w:rsidR="006D3170" w:rsidRDefault="007F79C8">
      <w:pPr>
        <w:spacing w:after="200" w:line="300" w:lineRule="auto"/>
        <w:jc w:val="both"/>
      </w:pPr>
      <w:r>
        <w:t>This Master's final project investigates the challenges, opportunities, and impacts that Saudi Vision 2030 has had on the event production and event management sector in Riyadh, Saudi Arabia.</w:t>
      </w:r>
    </w:p>
    <w:p w14:paraId="3F078AF1" w14:textId="77777777" w:rsidR="006D3170" w:rsidRDefault="007F79C8">
      <w:pPr>
        <w:spacing w:after="200" w:line="300" w:lineRule="auto"/>
        <w:jc w:val="both"/>
      </w:pPr>
      <w:r>
        <w:t>This research aims to analyze the goals and strategies of Vision 2030 - such as diversifying the economy away from oil, developing tourism and entertainment, encouraging local content and Saudization, and adopting new event technologies - and how these forces affect the growth and development of event production and event management companies operating in Riyadh.</w:t>
      </w:r>
    </w:p>
    <w:p w14:paraId="1F6A11C0" w14:textId="7BB61B61" w:rsidR="006D3170" w:rsidRDefault="007F79C8">
      <w:pPr>
        <w:spacing w:after="200" w:line="300" w:lineRule="auto"/>
        <w:jc w:val="both"/>
      </w:pPr>
      <w:r>
        <w:t>The study used a descriptive and analytical approach. A questionnaire was used to collect primary data. The questionnaire was distributed to a random sample of managers, production coordinators, technical/AV engineers, sales and sponsorship staff, and operations staff working for leading event production and event management companies in Riyadh, Saudi Arabia. A total of 245 questionnaires were received, and after screening, 220 were found valid for analysis. The data w</w:t>
      </w:r>
      <w:r w:rsidR="00BC0A5C">
        <w:t>ere</w:t>
      </w:r>
      <w:r>
        <w:t xml:space="preserve"> analyzed</w:t>
      </w:r>
      <w:r w:rsidR="00BC0A5C">
        <w:t>,</w:t>
      </w:r>
      <w:r>
        <w:t xml:space="preserve"> and the hypotheses were tested using SPSS.</w:t>
      </w:r>
    </w:p>
    <w:p w14:paraId="4337B031" w14:textId="4C7C60AA" w:rsidR="006D3170" w:rsidRDefault="007F79C8">
      <w:pPr>
        <w:spacing w:after="200" w:line="300" w:lineRule="auto"/>
        <w:jc w:val="both"/>
      </w:pPr>
      <w:r>
        <w:t xml:space="preserve">The results show that Vision 2030 impacts scheduling pressure on event production companies, event execution performance, and the cash flow of event management firms. The results also show a statistically significant impact on the number of local companies and </w:t>
      </w:r>
      <w:r w:rsidR="00BC0A5C">
        <w:t>their</w:t>
      </w:r>
      <w:r>
        <w:t xml:space="preserve"> relationship with the quality and cost of events produced</w:t>
      </w:r>
      <w:r w:rsidR="00BC0A5C">
        <w:t>.</w:t>
      </w:r>
      <w:r>
        <w:t xml:space="preserve"> </w:t>
      </w:r>
      <w:r w:rsidR="00BC0A5C">
        <w:t>In contrast,</w:t>
      </w:r>
      <w:r>
        <w:t xml:space="preserve"> no statistically significant relationship was found between the increase in local companies and event timeline or client satisfaction.</w:t>
      </w:r>
    </w:p>
    <w:p w14:paraId="4A6F1F8B" w14:textId="29761FEB" w:rsidR="006D3170" w:rsidRDefault="007F79C8">
      <w:pPr>
        <w:spacing w:after="200" w:line="300" w:lineRule="auto"/>
        <w:jc w:val="both"/>
      </w:pPr>
      <w:r>
        <w:t xml:space="preserve">The study offers several recommendations to strengthen local production capacity, improve scheduling and cost management, and reduce the </w:t>
      </w:r>
      <w:r w:rsidR="00BC0A5C">
        <w:t xml:space="preserve">identified </w:t>
      </w:r>
      <w:r>
        <w:t>negative impacts.</w:t>
      </w:r>
    </w:p>
    <w:p w14:paraId="2419E5E0" w14:textId="77777777" w:rsidR="006D3170" w:rsidRDefault="007F79C8">
      <w:pPr>
        <w:spacing w:after="200" w:line="300" w:lineRule="auto"/>
        <w:jc w:val="both"/>
      </w:pPr>
      <w:r>
        <w:t>Key words used in the research: Saudi Vision 2030, event production, event management, Riyadh Season, General Entertainment Authority, Saudi Arabia project performance, Riyadh City.</w:t>
      </w:r>
    </w:p>
    <w:p w14:paraId="109475B4" w14:textId="77777777" w:rsidR="006D3170" w:rsidRDefault="007F79C8">
      <w:r>
        <w:br w:type="page"/>
      </w:r>
    </w:p>
    <w:p w14:paraId="2A743E21" w14:textId="77777777" w:rsidR="006D3170" w:rsidRDefault="007F79C8">
      <w:pPr>
        <w:pStyle w:val="Heading2"/>
        <w:spacing w:before="240" w:after="160"/>
      </w:pPr>
      <w:bookmarkStart w:id="2" w:name="_Toc235048726"/>
      <w:r>
        <w:lastRenderedPageBreak/>
        <w:t>Acknowledgments</w:t>
      </w:r>
      <w:bookmarkEnd w:id="2"/>
    </w:p>
    <w:p w14:paraId="48803342" w14:textId="34951C2C" w:rsidR="006D3170" w:rsidRDefault="007F79C8">
      <w:pPr>
        <w:spacing w:after="200" w:line="300" w:lineRule="auto"/>
        <w:jc w:val="both"/>
      </w:pPr>
      <w:r>
        <w:t>I w</w:t>
      </w:r>
      <w:r w:rsidR="00BC0A5C">
        <w:t>ant</w:t>
      </w:r>
      <w:r>
        <w:t xml:space="preserve"> to thank Almighty God for granting me the knowledge and perseverance to complete this final project. I would also like to thank my family for their continuous encouragement throughout my studies.</w:t>
      </w:r>
    </w:p>
    <w:p w14:paraId="793B3873" w14:textId="77777777" w:rsidR="006D3170" w:rsidRDefault="007F79C8">
      <w:pPr>
        <w:spacing w:after="200" w:line="300" w:lineRule="auto"/>
        <w:jc w:val="both"/>
      </w:pPr>
      <w:r>
        <w:t>Furthermore, I would like to thank Midocean University for providing a supportive environment and the resources necessary to complete this research. I would also like to express my sincere gratitude to my main supervisor and second supervisor for their guidance, support, and encouragement, which greatly contributed to the completion of this research.</w:t>
      </w:r>
    </w:p>
    <w:p w14:paraId="6FF18CEF" w14:textId="784F36B0" w:rsidR="006D3170" w:rsidRDefault="007F79C8">
      <w:pPr>
        <w:spacing w:after="200" w:line="300" w:lineRule="auto"/>
        <w:jc w:val="both"/>
      </w:pPr>
      <w:r>
        <w:t>Lastly, I would like to thank the event production and management professionals in Riyadh who generously gave their time to complete the survey, a</w:t>
      </w:r>
      <w:r w:rsidR="00BC0A5C">
        <w:t>s well as</w:t>
      </w:r>
      <w:r>
        <w:t xml:space="preserve"> my colleagues and friends who supported me throughout this journey.</w:t>
      </w:r>
    </w:p>
    <w:p w14:paraId="20B8A217" w14:textId="77777777" w:rsidR="006D3170" w:rsidRDefault="007F79C8">
      <w:r>
        <w:br w:type="page"/>
      </w:r>
    </w:p>
    <w:p w14:paraId="5970E69E" w14:textId="116BF5F0" w:rsidR="00EC166D" w:rsidRPr="001C20D9" w:rsidRDefault="007F79C8" w:rsidP="00EC166D">
      <w:pPr>
        <w:pStyle w:val="Heading2"/>
        <w:spacing w:before="240" w:after="160"/>
        <w:rPr>
          <w:lang w:val="en-US"/>
        </w:rPr>
      </w:pPr>
      <w:bookmarkStart w:id="3" w:name="_Toc235048727"/>
      <w:r>
        <w:lastRenderedPageBreak/>
        <w:t>Table of Contents</w:t>
      </w:r>
      <w:bookmarkEnd w:id="3"/>
    </w:p>
    <w:sdt>
      <w:sdtPr>
        <w:alias w:val="Table of Contents"/>
        <w:id w:val="-1476213216"/>
      </w:sdtPr>
      <w:sdtContent>
        <w:p w14:paraId="7F7A302D" w14:textId="4309D8A9" w:rsidR="009228FC" w:rsidRDefault="007F79C8">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TOC \h \o "1-2"</w:instrText>
          </w:r>
          <w:r>
            <w:fldChar w:fldCharType="separate"/>
          </w:r>
          <w:hyperlink w:anchor="_Toc235048724" w:history="1">
            <w:r w:rsidR="009228FC" w:rsidRPr="00850345">
              <w:rPr>
                <w:rStyle w:val="Hyperlink"/>
                <w:noProof/>
              </w:rPr>
              <w:t>Copyright Notice</w:t>
            </w:r>
            <w:r w:rsidR="009228FC">
              <w:rPr>
                <w:noProof/>
              </w:rPr>
              <w:tab/>
            </w:r>
            <w:r w:rsidR="009228FC">
              <w:rPr>
                <w:noProof/>
              </w:rPr>
              <w:fldChar w:fldCharType="begin"/>
            </w:r>
            <w:r w:rsidR="009228FC">
              <w:rPr>
                <w:noProof/>
              </w:rPr>
              <w:instrText xml:space="preserve"> PAGEREF _Toc235048724 \h </w:instrText>
            </w:r>
            <w:r w:rsidR="009228FC">
              <w:rPr>
                <w:noProof/>
              </w:rPr>
            </w:r>
            <w:r w:rsidR="009228FC">
              <w:rPr>
                <w:noProof/>
              </w:rPr>
              <w:fldChar w:fldCharType="separate"/>
            </w:r>
            <w:r w:rsidR="009228FC">
              <w:rPr>
                <w:noProof/>
              </w:rPr>
              <w:t>2</w:t>
            </w:r>
            <w:r w:rsidR="009228FC">
              <w:rPr>
                <w:noProof/>
              </w:rPr>
              <w:fldChar w:fldCharType="end"/>
            </w:r>
          </w:hyperlink>
        </w:p>
        <w:p w14:paraId="0D973B5E" w14:textId="30CC4C5E"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25" w:history="1">
            <w:r w:rsidRPr="00850345">
              <w:rPr>
                <w:rStyle w:val="Hyperlink"/>
                <w:noProof/>
              </w:rPr>
              <w:t>Abstract</w:t>
            </w:r>
            <w:r>
              <w:rPr>
                <w:noProof/>
              </w:rPr>
              <w:tab/>
            </w:r>
            <w:r>
              <w:rPr>
                <w:noProof/>
              </w:rPr>
              <w:fldChar w:fldCharType="begin"/>
            </w:r>
            <w:r>
              <w:rPr>
                <w:noProof/>
              </w:rPr>
              <w:instrText xml:space="preserve"> PAGEREF _Toc235048725 \h </w:instrText>
            </w:r>
            <w:r>
              <w:rPr>
                <w:noProof/>
              </w:rPr>
            </w:r>
            <w:r>
              <w:rPr>
                <w:noProof/>
              </w:rPr>
              <w:fldChar w:fldCharType="separate"/>
            </w:r>
            <w:r>
              <w:rPr>
                <w:noProof/>
              </w:rPr>
              <w:t>3</w:t>
            </w:r>
            <w:r>
              <w:rPr>
                <w:noProof/>
              </w:rPr>
              <w:fldChar w:fldCharType="end"/>
            </w:r>
          </w:hyperlink>
        </w:p>
        <w:p w14:paraId="7DCD32C7" w14:textId="4B3B831E"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26" w:history="1">
            <w:r w:rsidRPr="00850345">
              <w:rPr>
                <w:rStyle w:val="Hyperlink"/>
                <w:noProof/>
              </w:rPr>
              <w:t>Acknowledgments</w:t>
            </w:r>
            <w:r>
              <w:rPr>
                <w:noProof/>
              </w:rPr>
              <w:tab/>
            </w:r>
            <w:r>
              <w:rPr>
                <w:noProof/>
              </w:rPr>
              <w:fldChar w:fldCharType="begin"/>
            </w:r>
            <w:r>
              <w:rPr>
                <w:noProof/>
              </w:rPr>
              <w:instrText xml:space="preserve"> PAGEREF _Toc235048726 \h </w:instrText>
            </w:r>
            <w:r>
              <w:rPr>
                <w:noProof/>
              </w:rPr>
            </w:r>
            <w:r>
              <w:rPr>
                <w:noProof/>
              </w:rPr>
              <w:fldChar w:fldCharType="separate"/>
            </w:r>
            <w:r>
              <w:rPr>
                <w:noProof/>
              </w:rPr>
              <w:t>4</w:t>
            </w:r>
            <w:r>
              <w:rPr>
                <w:noProof/>
              </w:rPr>
              <w:fldChar w:fldCharType="end"/>
            </w:r>
          </w:hyperlink>
        </w:p>
        <w:p w14:paraId="4421EDE2" w14:textId="4269F229"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27" w:history="1">
            <w:r w:rsidRPr="00850345">
              <w:rPr>
                <w:rStyle w:val="Hyperlink"/>
                <w:noProof/>
              </w:rPr>
              <w:t>Table of Contents</w:t>
            </w:r>
            <w:r>
              <w:rPr>
                <w:noProof/>
              </w:rPr>
              <w:tab/>
            </w:r>
            <w:r>
              <w:rPr>
                <w:noProof/>
              </w:rPr>
              <w:fldChar w:fldCharType="begin"/>
            </w:r>
            <w:r>
              <w:rPr>
                <w:noProof/>
              </w:rPr>
              <w:instrText xml:space="preserve"> PAGEREF _Toc235048727 \h </w:instrText>
            </w:r>
            <w:r>
              <w:rPr>
                <w:noProof/>
              </w:rPr>
            </w:r>
            <w:r>
              <w:rPr>
                <w:noProof/>
              </w:rPr>
              <w:fldChar w:fldCharType="separate"/>
            </w:r>
            <w:r>
              <w:rPr>
                <w:noProof/>
              </w:rPr>
              <w:t>5</w:t>
            </w:r>
            <w:r>
              <w:rPr>
                <w:noProof/>
              </w:rPr>
              <w:fldChar w:fldCharType="end"/>
            </w:r>
          </w:hyperlink>
        </w:p>
        <w:p w14:paraId="64AFDF06" w14:textId="2BD61A67"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28" w:history="1">
            <w:r w:rsidRPr="00850345">
              <w:rPr>
                <w:rStyle w:val="Hyperlink"/>
                <w:noProof/>
              </w:rPr>
              <w:t>List of Figures</w:t>
            </w:r>
            <w:r>
              <w:rPr>
                <w:noProof/>
              </w:rPr>
              <w:tab/>
            </w:r>
            <w:r>
              <w:rPr>
                <w:noProof/>
              </w:rPr>
              <w:fldChar w:fldCharType="begin"/>
            </w:r>
            <w:r>
              <w:rPr>
                <w:noProof/>
              </w:rPr>
              <w:instrText xml:space="preserve"> PAGEREF _Toc235048728 \h </w:instrText>
            </w:r>
            <w:r>
              <w:rPr>
                <w:noProof/>
              </w:rPr>
            </w:r>
            <w:r>
              <w:rPr>
                <w:noProof/>
              </w:rPr>
              <w:fldChar w:fldCharType="separate"/>
            </w:r>
            <w:r>
              <w:rPr>
                <w:noProof/>
              </w:rPr>
              <w:t>6</w:t>
            </w:r>
            <w:r>
              <w:rPr>
                <w:noProof/>
              </w:rPr>
              <w:fldChar w:fldCharType="end"/>
            </w:r>
          </w:hyperlink>
        </w:p>
        <w:p w14:paraId="4A0BE6E9" w14:textId="0946273D"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29" w:history="1">
            <w:r w:rsidRPr="00850345">
              <w:rPr>
                <w:rStyle w:val="Hyperlink"/>
                <w:noProof/>
              </w:rPr>
              <w:t>List of Abbreviations</w:t>
            </w:r>
            <w:r>
              <w:rPr>
                <w:noProof/>
              </w:rPr>
              <w:tab/>
            </w:r>
            <w:r>
              <w:rPr>
                <w:noProof/>
              </w:rPr>
              <w:fldChar w:fldCharType="begin"/>
            </w:r>
            <w:r>
              <w:rPr>
                <w:noProof/>
              </w:rPr>
              <w:instrText xml:space="preserve"> PAGEREF _Toc235048729 \h </w:instrText>
            </w:r>
            <w:r>
              <w:rPr>
                <w:noProof/>
              </w:rPr>
            </w:r>
            <w:r>
              <w:rPr>
                <w:noProof/>
              </w:rPr>
              <w:fldChar w:fldCharType="separate"/>
            </w:r>
            <w:r>
              <w:rPr>
                <w:noProof/>
              </w:rPr>
              <w:t>7</w:t>
            </w:r>
            <w:r>
              <w:rPr>
                <w:noProof/>
              </w:rPr>
              <w:fldChar w:fldCharType="end"/>
            </w:r>
          </w:hyperlink>
        </w:p>
        <w:p w14:paraId="45A64A8B" w14:textId="5CA72FD5" w:rsidR="009228FC" w:rsidRDefault="009228F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48730" w:history="1">
            <w:r w:rsidRPr="00850345">
              <w:rPr>
                <w:rStyle w:val="Hyperlink"/>
                <w:noProof/>
              </w:rPr>
              <w:t>CHAPTER 1: INTRODUCTION</w:t>
            </w:r>
            <w:r>
              <w:rPr>
                <w:noProof/>
              </w:rPr>
              <w:tab/>
            </w:r>
            <w:r>
              <w:rPr>
                <w:noProof/>
              </w:rPr>
              <w:fldChar w:fldCharType="begin"/>
            </w:r>
            <w:r>
              <w:rPr>
                <w:noProof/>
              </w:rPr>
              <w:instrText xml:space="preserve"> PAGEREF _Toc235048730 \h </w:instrText>
            </w:r>
            <w:r>
              <w:rPr>
                <w:noProof/>
              </w:rPr>
            </w:r>
            <w:r>
              <w:rPr>
                <w:noProof/>
              </w:rPr>
              <w:fldChar w:fldCharType="separate"/>
            </w:r>
            <w:r>
              <w:rPr>
                <w:noProof/>
              </w:rPr>
              <w:t>8</w:t>
            </w:r>
            <w:r>
              <w:rPr>
                <w:noProof/>
              </w:rPr>
              <w:fldChar w:fldCharType="end"/>
            </w:r>
          </w:hyperlink>
        </w:p>
        <w:p w14:paraId="17867E6E" w14:textId="603F8EFA"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1" w:history="1">
            <w:r w:rsidRPr="00850345">
              <w:rPr>
                <w:rStyle w:val="Hyperlink"/>
                <w:noProof/>
              </w:rPr>
              <w:t>1.1 Introduction</w:t>
            </w:r>
            <w:r>
              <w:rPr>
                <w:noProof/>
              </w:rPr>
              <w:tab/>
            </w:r>
            <w:r>
              <w:rPr>
                <w:noProof/>
              </w:rPr>
              <w:fldChar w:fldCharType="begin"/>
            </w:r>
            <w:r>
              <w:rPr>
                <w:noProof/>
              </w:rPr>
              <w:instrText xml:space="preserve"> PAGEREF _Toc235048731 \h </w:instrText>
            </w:r>
            <w:r>
              <w:rPr>
                <w:noProof/>
              </w:rPr>
            </w:r>
            <w:r>
              <w:rPr>
                <w:noProof/>
              </w:rPr>
              <w:fldChar w:fldCharType="separate"/>
            </w:r>
            <w:r>
              <w:rPr>
                <w:noProof/>
              </w:rPr>
              <w:t>8</w:t>
            </w:r>
            <w:r>
              <w:rPr>
                <w:noProof/>
              </w:rPr>
              <w:fldChar w:fldCharType="end"/>
            </w:r>
          </w:hyperlink>
        </w:p>
        <w:p w14:paraId="1DAD03D3" w14:textId="653A655B"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2" w:history="1">
            <w:r w:rsidRPr="00850345">
              <w:rPr>
                <w:rStyle w:val="Hyperlink"/>
                <w:noProof/>
              </w:rPr>
              <w:t>1.2 Problem Statement</w:t>
            </w:r>
            <w:r>
              <w:rPr>
                <w:noProof/>
              </w:rPr>
              <w:tab/>
            </w:r>
            <w:r>
              <w:rPr>
                <w:noProof/>
              </w:rPr>
              <w:fldChar w:fldCharType="begin"/>
            </w:r>
            <w:r>
              <w:rPr>
                <w:noProof/>
              </w:rPr>
              <w:instrText xml:space="preserve"> PAGEREF _Toc235048732 \h </w:instrText>
            </w:r>
            <w:r>
              <w:rPr>
                <w:noProof/>
              </w:rPr>
            </w:r>
            <w:r>
              <w:rPr>
                <w:noProof/>
              </w:rPr>
              <w:fldChar w:fldCharType="separate"/>
            </w:r>
            <w:r>
              <w:rPr>
                <w:noProof/>
              </w:rPr>
              <w:t>8</w:t>
            </w:r>
            <w:r>
              <w:rPr>
                <w:noProof/>
              </w:rPr>
              <w:fldChar w:fldCharType="end"/>
            </w:r>
          </w:hyperlink>
        </w:p>
        <w:p w14:paraId="11788288" w14:textId="581605DB"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3" w:history="1">
            <w:r w:rsidRPr="00850345">
              <w:rPr>
                <w:rStyle w:val="Hyperlink"/>
                <w:noProof/>
              </w:rPr>
              <w:t>1.3 Study Purposes</w:t>
            </w:r>
            <w:r>
              <w:rPr>
                <w:noProof/>
              </w:rPr>
              <w:tab/>
            </w:r>
            <w:r>
              <w:rPr>
                <w:noProof/>
              </w:rPr>
              <w:fldChar w:fldCharType="begin"/>
            </w:r>
            <w:r>
              <w:rPr>
                <w:noProof/>
              </w:rPr>
              <w:instrText xml:space="preserve"> PAGEREF _Toc235048733 \h </w:instrText>
            </w:r>
            <w:r>
              <w:rPr>
                <w:noProof/>
              </w:rPr>
            </w:r>
            <w:r>
              <w:rPr>
                <w:noProof/>
              </w:rPr>
              <w:fldChar w:fldCharType="separate"/>
            </w:r>
            <w:r>
              <w:rPr>
                <w:noProof/>
              </w:rPr>
              <w:t>9</w:t>
            </w:r>
            <w:r>
              <w:rPr>
                <w:noProof/>
              </w:rPr>
              <w:fldChar w:fldCharType="end"/>
            </w:r>
          </w:hyperlink>
        </w:p>
        <w:p w14:paraId="57345CD1" w14:textId="6C0C98D0"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4" w:history="1">
            <w:r w:rsidRPr="00850345">
              <w:rPr>
                <w:rStyle w:val="Hyperlink"/>
                <w:noProof/>
              </w:rPr>
              <w:t>1.4 Study Importance</w:t>
            </w:r>
            <w:r>
              <w:rPr>
                <w:noProof/>
              </w:rPr>
              <w:tab/>
            </w:r>
            <w:r>
              <w:rPr>
                <w:noProof/>
              </w:rPr>
              <w:fldChar w:fldCharType="begin"/>
            </w:r>
            <w:r>
              <w:rPr>
                <w:noProof/>
              </w:rPr>
              <w:instrText xml:space="preserve"> PAGEREF _Toc235048734 \h </w:instrText>
            </w:r>
            <w:r>
              <w:rPr>
                <w:noProof/>
              </w:rPr>
            </w:r>
            <w:r>
              <w:rPr>
                <w:noProof/>
              </w:rPr>
              <w:fldChar w:fldCharType="separate"/>
            </w:r>
            <w:r>
              <w:rPr>
                <w:noProof/>
              </w:rPr>
              <w:t>9</w:t>
            </w:r>
            <w:r>
              <w:rPr>
                <w:noProof/>
              </w:rPr>
              <w:fldChar w:fldCharType="end"/>
            </w:r>
          </w:hyperlink>
        </w:p>
        <w:p w14:paraId="0ED9ADB9" w14:textId="11DB9194"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5" w:history="1">
            <w:r w:rsidRPr="00850345">
              <w:rPr>
                <w:rStyle w:val="Hyperlink"/>
                <w:noProof/>
              </w:rPr>
              <w:t>1.5 Study Questions</w:t>
            </w:r>
            <w:r>
              <w:rPr>
                <w:noProof/>
              </w:rPr>
              <w:tab/>
            </w:r>
            <w:r>
              <w:rPr>
                <w:noProof/>
              </w:rPr>
              <w:fldChar w:fldCharType="begin"/>
            </w:r>
            <w:r>
              <w:rPr>
                <w:noProof/>
              </w:rPr>
              <w:instrText xml:space="preserve"> PAGEREF _Toc235048735 \h </w:instrText>
            </w:r>
            <w:r>
              <w:rPr>
                <w:noProof/>
              </w:rPr>
            </w:r>
            <w:r>
              <w:rPr>
                <w:noProof/>
              </w:rPr>
              <w:fldChar w:fldCharType="separate"/>
            </w:r>
            <w:r>
              <w:rPr>
                <w:noProof/>
              </w:rPr>
              <w:t>10</w:t>
            </w:r>
            <w:r>
              <w:rPr>
                <w:noProof/>
              </w:rPr>
              <w:fldChar w:fldCharType="end"/>
            </w:r>
          </w:hyperlink>
        </w:p>
        <w:p w14:paraId="4FEA45FB" w14:textId="72DBCF38"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6" w:history="1">
            <w:r w:rsidRPr="00850345">
              <w:rPr>
                <w:rStyle w:val="Hyperlink"/>
                <w:noProof/>
              </w:rPr>
              <w:t>1.6 Research Hypotheses</w:t>
            </w:r>
            <w:r>
              <w:rPr>
                <w:noProof/>
              </w:rPr>
              <w:tab/>
            </w:r>
            <w:r>
              <w:rPr>
                <w:noProof/>
              </w:rPr>
              <w:fldChar w:fldCharType="begin"/>
            </w:r>
            <w:r>
              <w:rPr>
                <w:noProof/>
              </w:rPr>
              <w:instrText xml:space="preserve"> PAGEREF _Toc235048736 \h </w:instrText>
            </w:r>
            <w:r>
              <w:rPr>
                <w:noProof/>
              </w:rPr>
            </w:r>
            <w:r>
              <w:rPr>
                <w:noProof/>
              </w:rPr>
              <w:fldChar w:fldCharType="separate"/>
            </w:r>
            <w:r>
              <w:rPr>
                <w:noProof/>
              </w:rPr>
              <w:t>10</w:t>
            </w:r>
            <w:r>
              <w:rPr>
                <w:noProof/>
              </w:rPr>
              <w:fldChar w:fldCharType="end"/>
            </w:r>
          </w:hyperlink>
        </w:p>
        <w:p w14:paraId="698B9BBA" w14:textId="0361A77B"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7" w:history="1">
            <w:r w:rsidRPr="00850345">
              <w:rPr>
                <w:rStyle w:val="Hyperlink"/>
                <w:noProof/>
              </w:rPr>
              <w:t>1.7 Theoretical Model</w:t>
            </w:r>
            <w:r>
              <w:rPr>
                <w:noProof/>
              </w:rPr>
              <w:tab/>
            </w:r>
            <w:r>
              <w:rPr>
                <w:noProof/>
              </w:rPr>
              <w:fldChar w:fldCharType="begin"/>
            </w:r>
            <w:r>
              <w:rPr>
                <w:noProof/>
              </w:rPr>
              <w:instrText xml:space="preserve"> PAGEREF _Toc235048737 \h </w:instrText>
            </w:r>
            <w:r>
              <w:rPr>
                <w:noProof/>
              </w:rPr>
            </w:r>
            <w:r>
              <w:rPr>
                <w:noProof/>
              </w:rPr>
              <w:fldChar w:fldCharType="separate"/>
            </w:r>
            <w:r>
              <w:rPr>
                <w:noProof/>
              </w:rPr>
              <w:t>10</w:t>
            </w:r>
            <w:r>
              <w:rPr>
                <w:noProof/>
              </w:rPr>
              <w:fldChar w:fldCharType="end"/>
            </w:r>
          </w:hyperlink>
        </w:p>
        <w:p w14:paraId="2BE21DD7" w14:textId="6AA80F1F" w:rsidR="009228FC" w:rsidRDefault="009228F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048738" w:history="1">
            <w:r w:rsidRPr="00850345">
              <w:rPr>
                <w:rStyle w:val="Hyperlink"/>
                <w:noProof/>
              </w:rPr>
              <w:t>CHAPTER 2: LITERATURE REVIEW</w:t>
            </w:r>
            <w:r>
              <w:rPr>
                <w:noProof/>
              </w:rPr>
              <w:tab/>
            </w:r>
            <w:r>
              <w:rPr>
                <w:noProof/>
              </w:rPr>
              <w:fldChar w:fldCharType="begin"/>
            </w:r>
            <w:r>
              <w:rPr>
                <w:noProof/>
              </w:rPr>
              <w:instrText xml:space="preserve"> PAGEREF _Toc235048738 \h </w:instrText>
            </w:r>
            <w:r>
              <w:rPr>
                <w:noProof/>
              </w:rPr>
            </w:r>
            <w:r>
              <w:rPr>
                <w:noProof/>
              </w:rPr>
              <w:fldChar w:fldCharType="separate"/>
            </w:r>
            <w:r>
              <w:rPr>
                <w:noProof/>
              </w:rPr>
              <w:t>12</w:t>
            </w:r>
            <w:r>
              <w:rPr>
                <w:noProof/>
              </w:rPr>
              <w:fldChar w:fldCharType="end"/>
            </w:r>
          </w:hyperlink>
        </w:p>
        <w:p w14:paraId="1C9F90D5" w14:textId="0C71D3EE"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39" w:history="1">
            <w:r w:rsidRPr="00850345">
              <w:rPr>
                <w:rStyle w:val="Hyperlink"/>
                <w:noProof/>
              </w:rPr>
              <w:t>2.1 Introduction</w:t>
            </w:r>
            <w:r>
              <w:rPr>
                <w:noProof/>
              </w:rPr>
              <w:tab/>
            </w:r>
            <w:r>
              <w:rPr>
                <w:noProof/>
              </w:rPr>
              <w:fldChar w:fldCharType="begin"/>
            </w:r>
            <w:r>
              <w:rPr>
                <w:noProof/>
              </w:rPr>
              <w:instrText xml:space="preserve"> PAGEREF _Toc235048739 \h </w:instrText>
            </w:r>
            <w:r>
              <w:rPr>
                <w:noProof/>
              </w:rPr>
            </w:r>
            <w:r>
              <w:rPr>
                <w:noProof/>
              </w:rPr>
              <w:fldChar w:fldCharType="separate"/>
            </w:r>
            <w:r>
              <w:rPr>
                <w:noProof/>
              </w:rPr>
              <w:t>12</w:t>
            </w:r>
            <w:r>
              <w:rPr>
                <w:noProof/>
              </w:rPr>
              <w:fldChar w:fldCharType="end"/>
            </w:r>
          </w:hyperlink>
        </w:p>
        <w:p w14:paraId="3083F90C" w14:textId="64E43ACA"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40" w:history="1">
            <w:r w:rsidRPr="00850345">
              <w:rPr>
                <w:rStyle w:val="Hyperlink"/>
                <w:noProof/>
              </w:rPr>
              <w:t>2.2 Dependent Variable</w:t>
            </w:r>
            <w:r>
              <w:rPr>
                <w:noProof/>
              </w:rPr>
              <w:tab/>
            </w:r>
            <w:r>
              <w:rPr>
                <w:noProof/>
              </w:rPr>
              <w:fldChar w:fldCharType="begin"/>
            </w:r>
            <w:r>
              <w:rPr>
                <w:noProof/>
              </w:rPr>
              <w:instrText xml:space="preserve"> PAGEREF _Toc235048740 \h </w:instrText>
            </w:r>
            <w:r>
              <w:rPr>
                <w:noProof/>
              </w:rPr>
            </w:r>
            <w:r>
              <w:rPr>
                <w:noProof/>
              </w:rPr>
              <w:fldChar w:fldCharType="separate"/>
            </w:r>
            <w:r>
              <w:rPr>
                <w:noProof/>
              </w:rPr>
              <w:t>12</w:t>
            </w:r>
            <w:r>
              <w:rPr>
                <w:noProof/>
              </w:rPr>
              <w:fldChar w:fldCharType="end"/>
            </w:r>
          </w:hyperlink>
        </w:p>
        <w:p w14:paraId="51F607A4" w14:textId="5DE9D788"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41" w:history="1">
            <w:r w:rsidRPr="00850345">
              <w:rPr>
                <w:rStyle w:val="Hyperlink"/>
                <w:noProof/>
              </w:rPr>
              <w:t>2.3 Independent Variable</w:t>
            </w:r>
            <w:r>
              <w:rPr>
                <w:noProof/>
              </w:rPr>
              <w:tab/>
            </w:r>
            <w:r>
              <w:rPr>
                <w:noProof/>
              </w:rPr>
              <w:fldChar w:fldCharType="begin"/>
            </w:r>
            <w:r>
              <w:rPr>
                <w:noProof/>
              </w:rPr>
              <w:instrText xml:space="preserve"> PAGEREF _Toc235048741 \h </w:instrText>
            </w:r>
            <w:r>
              <w:rPr>
                <w:noProof/>
              </w:rPr>
            </w:r>
            <w:r>
              <w:rPr>
                <w:noProof/>
              </w:rPr>
              <w:fldChar w:fldCharType="separate"/>
            </w:r>
            <w:r>
              <w:rPr>
                <w:noProof/>
              </w:rPr>
              <w:t>12</w:t>
            </w:r>
            <w:r>
              <w:rPr>
                <w:noProof/>
              </w:rPr>
              <w:fldChar w:fldCharType="end"/>
            </w:r>
          </w:hyperlink>
        </w:p>
        <w:p w14:paraId="669006F4" w14:textId="2F30F5B2"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42" w:history="1">
            <w:r w:rsidRPr="00850345">
              <w:rPr>
                <w:rStyle w:val="Hyperlink"/>
                <w:noProof/>
              </w:rPr>
              <w:t>2.4 Scope of the Research</w:t>
            </w:r>
            <w:r>
              <w:rPr>
                <w:noProof/>
              </w:rPr>
              <w:tab/>
            </w:r>
            <w:r>
              <w:rPr>
                <w:noProof/>
              </w:rPr>
              <w:fldChar w:fldCharType="begin"/>
            </w:r>
            <w:r>
              <w:rPr>
                <w:noProof/>
              </w:rPr>
              <w:instrText xml:space="preserve"> PAGEREF _Toc235048742 \h </w:instrText>
            </w:r>
            <w:r>
              <w:rPr>
                <w:noProof/>
              </w:rPr>
            </w:r>
            <w:r>
              <w:rPr>
                <w:noProof/>
              </w:rPr>
              <w:fldChar w:fldCharType="separate"/>
            </w:r>
            <w:r>
              <w:rPr>
                <w:noProof/>
              </w:rPr>
              <w:t>13</w:t>
            </w:r>
            <w:r>
              <w:rPr>
                <w:noProof/>
              </w:rPr>
              <w:fldChar w:fldCharType="end"/>
            </w:r>
          </w:hyperlink>
        </w:p>
        <w:p w14:paraId="3E679974" w14:textId="537D73DD" w:rsidR="009228FC" w:rsidRDefault="009228F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048743" w:history="1">
            <w:r w:rsidRPr="00850345">
              <w:rPr>
                <w:rStyle w:val="Hyperlink"/>
                <w:noProof/>
              </w:rPr>
              <w:t>2.5 Summary of Past Studies</w:t>
            </w:r>
            <w:r>
              <w:rPr>
                <w:noProof/>
              </w:rPr>
              <w:tab/>
            </w:r>
            <w:r>
              <w:rPr>
                <w:noProof/>
              </w:rPr>
              <w:fldChar w:fldCharType="begin"/>
            </w:r>
            <w:r>
              <w:rPr>
                <w:noProof/>
              </w:rPr>
              <w:instrText xml:space="preserve"> PAGEREF _Toc235048743 \h </w:instrText>
            </w:r>
            <w:r>
              <w:rPr>
                <w:noProof/>
              </w:rPr>
            </w:r>
            <w:r>
              <w:rPr>
                <w:noProof/>
              </w:rPr>
              <w:fldChar w:fldCharType="separate"/>
            </w:r>
            <w:r>
              <w:rPr>
                <w:noProof/>
              </w:rPr>
              <w:t>14</w:t>
            </w:r>
            <w:r>
              <w:rPr>
                <w:noProof/>
              </w:rPr>
              <w:fldChar w:fldCharType="end"/>
            </w:r>
          </w:hyperlink>
        </w:p>
        <w:p w14:paraId="4680C9C5" w14:textId="2776D6AD" w:rsidR="006D3170" w:rsidRDefault="007F79C8">
          <w:r>
            <w:fldChar w:fldCharType="end"/>
          </w:r>
        </w:p>
      </w:sdtContent>
    </w:sdt>
    <w:p w14:paraId="55C954D2" w14:textId="77777777" w:rsidR="006D3170" w:rsidRDefault="007F79C8">
      <w:r>
        <w:br w:type="page"/>
      </w:r>
    </w:p>
    <w:p w14:paraId="27C7D65B" w14:textId="77777777" w:rsidR="006D3170" w:rsidRDefault="007F79C8">
      <w:pPr>
        <w:pStyle w:val="Heading2"/>
        <w:spacing w:before="240" w:after="160"/>
      </w:pPr>
      <w:bookmarkStart w:id="4" w:name="_Toc235048728"/>
      <w:r>
        <w:lastRenderedPageBreak/>
        <w:t>List of Figures</w:t>
      </w:r>
      <w:bookmarkEnd w:id="4"/>
    </w:p>
    <w:p w14:paraId="38772146" w14:textId="77777777" w:rsidR="006D3170" w:rsidRDefault="007F79C8">
      <w:pPr>
        <w:spacing w:after="200" w:line="300" w:lineRule="auto"/>
      </w:pPr>
      <w:r>
        <w:t>Figure 1: Dependent Variable and Independent Variable on Event Production Companies</w:t>
      </w:r>
    </w:p>
    <w:p w14:paraId="4D444775" w14:textId="77777777" w:rsidR="006D3170" w:rsidRDefault="007F79C8">
      <w:pPr>
        <w:spacing w:after="200" w:line="300" w:lineRule="auto"/>
      </w:pPr>
      <w:r>
        <w:t>Figure 2: Event (Project) Independent Variables</w:t>
      </w:r>
    </w:p>
    <w:p w14:paraId="4F7622DA" w14:textId="77777777" w:rsidR="006D3170" w:rsidRDefault="007F79C8">
      <w:pPr>
        <w:spacing w:after="200" w:line="300" w:lineRule="auto"/>
      </w:pPr>
      <w:r>
        <w:t>Figure 3: Scope of the Research</w:t>
      </w:r>
    </w:p>
    <w:p w14:paraId="2D311F1B" w14:textId="77777777" w:rsidR="009228FC" w:rsidRDefault="009228FC">
      <w:pPr>
        <w:spacing w:after="200" w:line="300" w:lineRule="auto"/>
      </w:pPr>
    </w:p>
    <w:p w14:paraId="13B873BE" w14:textId="77777777" w:rsidR="006D3170" w:rsidRDefault="007F79C8">
      <w:pPr>
        <w:pStyle w:val="Heading2"/>
        <w:spacing w:before="240" w:after="160"/>
      </w:pPr>
      <w:bookmarkStart w:id="5" w:name="_Toc235048729"/>
      <w:r>
        <w:t>List of Abbreviations</w:t>
      </w:r>
      <w:bookmarkEnd w:id="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26"/>
      </w:tblGrid>
      <w:tr w:rsidR="006D3170" w14:paraId="7786F8CA" w14:textId="77777777">
        <w:trPr>
          <w:tblHeader/>
        </w:trPr>
        <w:tc>
          <w:tcPr>
            <w:tcW w:w="3000" w:type="dxa"/>
            <w:shd w:val="clear" w:color="auto" w:fill="4472C4"/>
            <w:tcMar>
              <w:top w:w="90" w:type="dxa"/>
              <w:left w:w="110" w:type="dxa"/>
              <w:bottom w:w="90" w:type="dxa"/>
              <w:right w:w="110" w:type="dxa"/>
            </w:tcMar>
            <w:vAlign w:val="center"/>
          </w:tcPr>
          <w:p w14:paraId="263D0EA0" w14:textId="77777777" w:rsidR="006D3170" w:rsidRDefault="007F79C8">
            <w:pPr>
              <w:jc w:val="center"/>
            </w:pPr>
            <w:r>
              <w:rPr>
                <w:b/>
                <w:bCs/>
                <w:color w:val="FFFFFF"/>
                <w:sz w:val="18"/>
                <w:szCs w:val="18"/>
              </w:rPr>
              <w:t>Abbreviation</w:t>
            </w:r>
          </w:p>
        </w:tc>
        <w:tc>
          <w:tcPr>
            <w:tcW w:w="6026" w:type="dxa"/>
            <w:shd w:val="clear" w:color="auto" w:fill="4472C4"/>
            <w:tcMar>
              <w:top w:w="90" w:type="dxa"/>
              <w:left w:w="110" w:type="dxa"/>
              <w:bottom w:w="90" w:type="dxa"/>
              <w:right w:w="110" w:type="dxa"/>
            </w:tcMar>
            <w:vAlign w:val="center"/>
          </w:tcPr>
          <w:p w14:paraId="0F66D85C" w14:textId="77777777" w:rsidR="006D3170" w:rsidRDefault="007F79C8">
            <w:r>
              <w:rPr>
                <w:b/>
                <w:bCs/>
                <w:color w:val="FFFFFF"/>
                <w:sz w:val="18"/>
                <w:szCs w:val="18"/>
              </w:rPr>
              <w:t>Meaning</w:t>
            </w:r>
          </w:p>
        </w:tc>
      </w:tr>
      <w:tr w:rsidR="006D3170" w14:paraId="6835FEA2" w14:textId="77777777">
        <w:tc>
          <w:tcPr>
            <w:tcW w:w="3000" w:type="dxa"/>
            <w:tcMar>
              <w:top w:w="90" w:type="dxa"/>
              <w:left w:w="110" w:type="dxa"/>
              <w:bottom w:w="90" w:type="dxa"/>
              <w:right w:w="110" w:type="dxa"/>
            </w:tcMar>
            <w:vAlign w:val="center"/>
          </w:tcPr>
          <w:p w14:paraId="10036681" w14:textId="77777777" w:rsidR="006D3170" w:rsidRDefault="007F79C8">
            <w:pPr>
              <w:jc w:val="center"/>
            </w:pPr>
            <w:r>
              <w:rPr>
                <w:b/>
                <w:bCs/>
                <w:sz w:val="18"/>
                <w:szCs w:val="18"/>
              </w:rPr>
              <w:t>GEA</w:t>
            </w:r>
          </w:p>
        </w:tc>
        <w:tc>
          <w:tcPr>
            <w:tcW w:w="6026" w:type="dxa"/>
            <w:tcMar>
              <w:top w:w="90" w:type="dxa"/>
              <w:left w:w="110" w:type="dxa"/>
              <w:bottom w:w="90" w:type="dxa"/>
              <w:right w:w="110" w:type="dxa"/>
            </w:tcMar>
            <w:vAlign w:val="center"/>
          </w:tcPr>
          <w:p w14:paraId="6D8025C6" w14:textId="77777777" w:rsidR="006D3170" w:rsidRDefault="007F79C8">
            <w:r>
              <w:rPr>
                <w:sz w:val="18"/>
                <w:szCs w:val="18"/>
              </w:rPr>
              <w:t>General Entertainment Authority</w:t>
            </w:r>
          </w:p>
        </w:tc>
      </w:tr>
      <w:tr w:rsidR="006D3170" w14:paraId="02B0DABE" w14:textId="77777777">
        <w:tc>
          <w:tcPr>
            <w:tcW w:w="3000" w:type="dxa"/>
            <w:tcMar>
              <w:top w:w="90" w:type="dxa"/>
              <w:left w:w="110" w:type="dxa"/>
              <w:bottom w:w="90" w:type="dxa"/>
              <w:right w:w="110" w:type="dxa"/>
            </w:tcMar>
            <w:vAlign w:val="center"/>
          </w:tcPr>
          <w:p w14:paraId="7A7687A8" w14:textId="77777777" w:rsidR="006D3170" w:rsidRDefault="007F79C8">
            <w:pPr>
              <w:jc w:val="center"/>
            </w:pPr>
            <w:r>
              <w:rPr>
                <w:b/>
                <w:bCs/>
                <w:sz w:val="18"/>
                <w:szCs w:val="18"/>
              </w:rPr>
              <w:t>KSA</w:t>
            </w:r>
          </w:p>
        </w:tc>
        <w:tc>
          <w:tcPr>
            <w:tcW w:w="6026" w:type="dxa"/>
            <w:tcMar>
              <w:top w:w="90" w:type="dxa"/>
              <w:left w:w="110" w:type="dxa"/>
              <w:bottom w:w="90" w:type="dxa"/>
              <w:right w:w="110" w:type="dxa"/>
            </w:tcMar>
            <w:vAlign w:val="center"/>
          </w:tcPr>
          <w:p w14:paraId="303F2D12" w14:textId="77777777" w:rsidR="006D3170" w:rsidRDefault="007F79C8">
            <w:r>
              <w:rPr>
                <w:sz w:val="18"/>
                <w:szCs w:val="18"/>
              </w:rPr>
              <w:t>Kingdom of Saudi Arabia</w:t>
            </w:r>
          </w:p>
        </w:tc>
      </w:tr>
      <w:tr w:rsidR="006D3170" w14:paraId="5D7418B4" w14:textId="77777777">
        <w:tc>
          <w:tcPr>
            <w:tcW w:w="3000" w:type="dxa"/>
            <w:tcMar>
              <w:top w:w="90" w:type="dxa"/>
              <w:left w:w="110" w:type="dxa"/>
              <w:bottom w:w="90" w:type="dxa"/>
              <w:right w:w="110" w:type="dxa"/>
            </w:tcMar>
            <w:vAlign w:val="center"/>
          </w:tcPr>
          <w:p w14:paraId="55C45E46" w14:textId="77777777" w:rsidR="006D3170" w:rsidRDefault="007F79C8">
            <w:pPr>
              <w:jc w:val="center"/>
            </w:pPr>
            <w:r>
              <w:rPr>
                <w:b/>
                <w:bCs/>
                <w:sz w:val="18"/>
                <w:szCs w:val="18"/>
              </w:rPr>
              <w:t>MICE</w:t>
            </w:r>
          </w:p>
        </w:tc>
        <w:tc>
          <w:tcPr>
            <w:tcW w:w="6026" w:type="dxa"/>
            <w:tcMar>
              <w:top w:w="90" w:type="dxa"/>
              <w:left w:w="110" w:type="dxa"/>
              <w:bottom w:w="90" w:type="dxa"/>
              <w:right w:w="110" w:type="dxa"/>
            </w:tcMar>
            <w:vAlign w:val="center"/>
          </w:tcPr>
          <w:p w14:paraId="6961868F" w14:textId="77777777" w:rsidR="006D3170" w:rsidRDefault="007F79C8">
            <w:r>
              <w:rPr>
                <w:sz w:val="18"/>
                <w:szCs w:val="18"/>
              </w:rPr>
              <w:t>Meetings, Incentives, Conferences, and Exhibitions</w:t>
            </w:r>
          </w:p>
        </w:tc>
      </w:tr>
      <w:tr w:rsidR="006D3170" w14:paraId="4FDED709" w14:textId="77777777">
        <w:tc>
          <w:tcPr>
            <w:tcW w:w="3000" w:type="dxa"/>
            <w:tcMar>
              <w:top w:w="90" w:type="dxa"/>
              <w:left w:w="110" w:type="dxa"/>
              <w:bottom w:w="90" w:type="dxa"/>
              <w:right w:w="110" w:type="dxa"/>
            </w:tcMar>
            <w:vAlign w:val="center"/>
          </w:tcPr>
          <w:p w14:paraId="49E49BCA" w14:textId="77777777" w:rsidR="006D3170" w:rsidRDefault="007F79C8">
            <w:pPr>
              <w:jc w:val="center"/>
            </w:pPr>
            <w:r>
              <w:rPr>
                <w:b/>
                <w:bCs/>
                <w:sz w:val="18"/>
                <w:szCs w:val="18"/>
              </w:rPr>
              <w:t>SPSS</w:t>
            </w:r>
          </w:p>
        </w:tc>
        <w:tc>
          <w:tcPr>
            <w:tcW w:w="6026" w:type="dxa"/>
            <w:tcMar>
              <w:top w:w="90" w:type="dxa"/>
              <w:left w:w="110" w:type="dxa"/>
              <w:bottom w:w="90" w:type="dxa"/>
              <w:right w:w="110" w:type="dxa"/>
            </w:tcMar>
            <w:vAlign w:val="center"/>
          </w:tcPr>
          <w:p w14:paraId="62396B86" w14:textId="77777777" w:rsidR="006D3170" w:rsidRDefault="007F79C8">
            <w:r>
              <w:rPr>
                <w:sz w:val="18"/>
                <w:szCs w:val="18"/>
              </w:rPr>
              <w:t>Statistical Package for the Social Sciences</w:t>
            </w:r>
          </w:p>
        </w:tc>
      </w:tr>
      <w:tr w:rsidR="006D3170" w14:paraId="3991F0F3" w14:textId="77777777">
        <w:tc>
          <w:tcPr>
            <w:tcW w:w="3000" w:type="dxa"/>
            <w:tcMar>
              <w:top w:w="90" w:type="dxa"/>
              <w:left w:w="110" w:type="dxa"/>
              <w:bottom w:w="90" w:type="dxa"/>
              <w:right w:w="110" w:type="dxa"/>
            </w:tcMar>
            <w:vAlign w:val="center"/>
          </w:tcPr>
          <w:p w14:paraId="32EC4891" w14:textId="77777777" w:rsidR="006D3170" w:rsidRDefault="007F79C8">
            <w:pPr>
              <w:jc w:val="center"/>
            </w:pPr>
            <w:r>
              <w:rPr>
                <w:b/>
                <w:bCs/>
                <w:sz w:val="18"/>
                <w:szCs w:val="18"/>
              </w:rPr>
              <w:t>ANOVA</w:t>
            </w:r>
          </w:p>
        </w:tc>
        <w:tc>
          <w:tcPr>
            <w:tcW w:w="6026" w:type="dxa"/>
            <w:tcMar>
              <w:top w:w="90" w:type="dxa"/>
              <w:left w:w="110" w:type="dxa"/>
              <w:bottom w:w="90" w:type="dxa"/>
              <w:right w:w="110" w:type="dxa"/>
            </w:tcMar>
            <w:vAlign w:val="center"/>
          </w:tcPr>
          <w:p w14:paraId="2DA8A36A" w14:textId="77777777" w:rsidR="006D3170" w:rsidRDefault="007F79C8">
            <w:r>
              <w:rPr>
                <w:sz w:val="18"/>
                <w:szCs w:val="18"/>
              </w:rPr>
              <w:t>Analysis of Variance</w:t>
            </w:r>
          </w:p>
        </w:tc>
      </w:tr>
      <w:tr w:rsidR="006D3170" w14:paraId="50F57DD9" w14:textId="77777777">
        <w:tc>
          <w:tcPr>
            <w:tcW w:w="3000" w:type="dxa"/>
            <w:tcMar>
              <w:top w:w="90" w:type="dxa"/>
              <w:left w:w="110" w:type="dxa"/>
              <w:bottom w:w="90" w:type="dxa"/>
              <w:right w:w="110" w:type="dxa"/>
            </w:tcMar>
            <w:vAlign w:val="center"/>
          </w:tcPr>
          <w:p w14:paraId="2ED57325" w14:textId="77777777" w:rsidR="006D3170" w:rsidRDefault="007F79C8">
            <w:pPr>
              <w:jc w:val="center"/>
            </w:pPr>
            <w:r>
              <w:rPr>
                <w:b/>
                <w:bCs/>
                <w:sz w:val="18"/>
                <w:szCs w:val="18"/>
              </w:rPr>
              <w:t>SD</w:t>
            </w:r>
          </w:p>
        </w:tc>
        <w:tc>
          <w:tcPr>
            <w:tcW w:w="6026" w:type="dxa"/>
            <w:tcMar>
              <w:top w:w="90" w:type="dxa"/>
              <w:left w:w="110" w:type="dxa"/>
              <w:bottom w:w="90" w:type="dxa"/>
              <w:right w:w="110" w:type="dxa"/>
            </w:tcMar>
            <w:vAlign w:val="center"/>
          </w:tcPr>
          <w:p w14:paraId="4DAF1640" w14:textId="77777777" w:rsidR="006D3170" w:rsidRDefault="007F79C8">
            <w:r>
              <w:rPr>
                <w:sz w:val="18"/>
                <w:szCs w:val="18"/>
              </w:rPr>
              <w:t>Standard Deviation</w:t>
            </w:r>
          </w:p>
        </w:tc>
      </w:tr>
      <w:tr w:rsidR="006D3170" w14:paraId="577116FE" w14:textId="77777777">
        <w:tc>
          <w:tcPr>
            <w:tcW w:w="3000" w:type="dxa"/>
            <w:tcMar>
              <w:top w:w="90" w:type="dxa"/>
              <w:left w:w="110" w:type="dxa"/>
              <w:bottom w:w="90" w:type="dxa"/>
              <w:right w:w="110" w:type="dxa"/>
            </w:tcMar>
            <w:vAlign w:val="center"/>
          </w:tcPr>
          <w:p w14:paraId="74E9DD8C" w14:textId="77777777" w:rsidR="006D3170" w:rsidRDefault="007F79C8">
            <w:pPr>
              <w:jc w:val="center"/>
            </w:pPr>
            <w:r>
              <w:rPr>
                <w:b/>
                <w:bCs/>
                <w:sz w:val="18"/>
                <w:szCs w:val="18"/>
              </w:rPr>
              <w:t>AV</w:t>
            </w:r>
          </w:p>
        </w:tc>
        <w:tc>
          <w:tcPr>
            <w:tcW w:w="6026" w:type="dxa"/>
            <w:tcMar>
              <w:top w:w="90" w:type="dxa"/>
              <w:left w:w="110" w:type="dxa"/>
              <w:bottom w:w="90" w:type="dxa"/>
              <w:right w:w="110" w:type="dxa"/>
            </w:tcMar>
            <w:vAlign w:val="center"/>
          </w:tcPr>
          <w:p w14:paraId="4AE53D65" w14:textId="77777777" w:rsidR="006D3170" w:rsidRDefault="007F79C8">
            <w:r>
              <w:rPr>
                <w:sz w:val="18"/>
                <w:szCs w:val="18"/>
              </w:rPr>
              <w:t>Audio-Visual</w:t>
            </w:r>
          </w:p>
        </w:tc>
      </w:tr>
      <w:tr w:rsidR="006D3170" w14:paraId="3FF86FEC" w14:textId="77777777">
        <w:tc>
          <w:tcPr>
            <w:tcW w:w="3000" w:type="dxa"/>
            <w:tcMar>
              <w:top w:w="90" w:type="dxa"/>
              <w:left w:w="110" w:type="dxa"/>
              <w:bottom w:w="90" w:type="dxa"/>
              <w:right w:w="110" w:type="dxa"/>
            </w:tcMar>
            <w:vAlign w:val="center"/>
          </w:tcPr>
          <w:p w14:paraId="288BFD2B" w14:textId="77777777" w:rsidR="006D3170" w:rsidRDefault="007F79C8">
            <w:pPr>
              <w:jc w:val="center"/>
            </w:pPr>
            <w:r>
              <w:rPr>
                <w:b/>
                <w:bCs/>
                <w:sz w:val="18"/>
                <w:szCs w:val="18"/>
              </w:rPr>
              <w:t>AI</w:t>
            </w:r>
          </w:p>
        </w:tc>
        <w:tc>
          <w:tcPr>
            <w:tcW w:w="6026" w:type="dxa"/>
            <w:tcMar>
              <w:top w:w="90" w:type="dxa"/>
              <w:left w:w="110" w:type="dxa"/>
              <w:bottom w:w="90" w:type="dxa"/>
              <w:right w:w="110" w:type="dxa"/>
            </w:tcMar>
            <w:vAlign w:val="center"/>
          </w:tcPr>
          <w:p w14:paraId="1D7C2DDE" w14:textId="77777777" w:rsidR="006D3170" w:rsidRDefault="007F79C8">
            <w:r>
              <w:rPr>
                <w:sz w:val="18"/>
                <w:szCs w:val="18"/>
              </w:rPr>
              <w:t>Artificial Intelligence</w:t>
            </w:r>
          </w:p>
        </w:tc>
      </w:tr>
      <w:tr w:rsidR="006D3170" w14:paraId="3E4C9490" w14:textId="77777777">
        <w:tc>
          <w:tcPr>
            <w:tcW w:w="3000" w:type="dxa"/>
            <w:tcMar>
              <w:top w:w="90" w:type="dxa"/>
              <w:left w:w="110" w:type="dxa"/>
              <w:bottom w:w="90" w:type="dxa"/>
              <w:right w:w="110" w:type="dxa"/>
            </w:tcMar>
            <w:vAlign w:val="center"/>
          </w:tcPr>
          <w:p w14:paraId="38EA7525" w14:textId="77777777" w:rsidR="006D3170" w:rsidRDefault="007F79C8">
            <w:pPr>
              <w:jc w:val="center"/>
            </w:pPr>
            <w:r>
              <w:rPr>
                <w:b/>
                <w:bCs/>
                <w:sz w:val="18"/>
                <w:szCs w:val="18"/>
              </w:rPr>
              <w:t>REPCO</w:t>
            </w:r>
          </w:p>
        </w:tc>
        <w:tc>
          <w:tcPr>
            <w:tcW w:w="6026" w:type="dxa"/>
            <w:tcMar>
              <w:top w:w="90" w:type="dxa"/>
              <w:left w:w="110" w:type="dxa"/>
              <w:bottom w:w="90" w:type="dxa"/>
              <w:right w:w="110" w:type="dxa"/>
            </w:tcMar>
            <w:vAlign w:val="center"/>
          </w:tcPr>
          <w:p w14:paraId="159CE010" w14:textId="77777777" w:rsidR="006D3170" w:rsidRDefault="007F79C8">
            <w:r>
              <w:rPr>
                <w:sz w:val="18"/>
                <w:szCs w:val="18"/>
              </w:rPr>
              <w:t>Riyadh Events Production Co.</w:t>
            </w:r>
          </w:p>
        </w:tc>
      </w:tr>
      <w:tr w:rsidR="006D3170" w14:paraId="6CED73DA" w14:textId="77777777">
        <w:tc>
          <w:tcPr>
            <w:tcW w:w="3000" w:type="dxa"/>
            <w:tcMar>
              <w:top w:w="90" w:type="dxa"/>
              <w:left w:w="110" w:type="dxa"/>
              <w:bottom w:w="90" w:type="dxa"/>
              <w:right w:w="110" w:type="dxa"/>
            </w:tcMar>
            <w:vAlign w:val="center"/>
          </w:tcPr>
          <w:p w14:paraId="1AEC2E7C" w14:textId="77777777" w:rsidR="006D3170" w:rsidRDefault="007F79C8">
            <w:pPr>
              <w:jc w:val="center"/>
            </w:pPr>
            <w:r>
              <w:rPr>
                <w:b/>
                <w:bCs/>
                <w:sz w:val="18"/>
                <w:szCs w:val="18"/>
              </w:rPr>
              <w:t>BCP</w:t>
            </w:r>
          </w:p>
        </w:tc>
        <w:tc>
          <w:tcPr>
            <w:tcW w:w="6026" w:type="dxa"/>
            <w:tcMar>
              <w:top w:w="90" w:type="dxa"/>
              <w:left w:w="110" w:type="dxa"/>
              <w:bottom w:w="90" w:type="dxa"/>
              <w:right w:w="110" w:type="dxa"/>
            </w:tcMar>
            <w:vAlign w:val="center"/>
          </w:tcPr>
          <w:p w14:paraId="71BFFA2D" w14:textId="77777777" w:rsidR="006D3170" w:rsidRDefault="007F79C8">
            <w:r>
              <w:rPr>
                <w:sz w:val="18"/>
                <w:szCs w:val="18"/>
              </w:rPr>
              <w:t>Boulevard Creative Productions</w:t>
            </w:r>
          </w:p>
        </w:tc>
      </w:tr>
      <w:tr w:rsidR="006D3170" w14:paraId="60CD18A3" w14:textId="77777777">
        <w:tc>
          <w:tcPr>
            <w:tcW w:w="3000" w:type="dxa"/>
            <w:tcMar>
              <w:top w:w="90" w:type="dxa"/>
              <w:left w:w="110" w:type="dxa"/>
              <w:bottom w:w="90" w:type="dxa"/>
              <w:right w:w="110" w:type="dxa"/>
            </w:tcMar>
            <w:vAlign w:val="center"/>
          </w:tcPr>
          <w:p w14:paraId="6C82546D" w14:textId="77777777" w:rsidR="006D3170" w:rsidRDefault="007F79C8">
            <w:pPr>
              <w:jc w:val="center"/>
            </w:pPr>
            <w:r>
              <w:rPr>
                <w:b/>
                <w:bCs/>
                <w:sz w:val="18"/>
                <w:szCs w:val="18"/>
              </w:rPr>
              <w:t>AWES</w:t>
            </w:r>
          </w:p>
        </w:tc>
        <w:tc>
          <w:tcPr>
            <w:tcW w:w="6026" w:type="dxa"/>
            <w:tcMar>
              <w:top w:w="90" w:type="dxa"/>
              <w:left w:w="110" w:type="dxa"/>
              <w:bottom w:w="90" w:type="dxa"/>
              <w:right w:w="110" w:type="dxa"/>
            </w:tcMar>
            <w:vAlign w:val="center"/>
          </w:tcPr>
          <w:p w14:paraId="5EEDB888" w14:textId="77777777" w:rsidR="006D3170" w:rsidRDefault="007F79C8">
            <w:r>
              <w:rPr>
                <w:sz w:val="18"/>
                <w:szCs w:val="18"/>
              </w:rPr>
              <w:t>AlWaha Event Solutions</w:t>
            </w:r>
          </w:p>
        </w:tc>
      </w:tr>
      <w:tr w:rsidR="006D3170" w14:paraId="2F9B626E" w14:textId="77777777">
        <w:tc>
          <w:tcPr>
            <w:tcW w:w="3000" w:type="dxa"/>
            <w:tcMar>
              <w:top w:w="90" w:type="dxa"/>
              <w:left w:w="110" w:type="dxa"/>
              <w:bottom w:w="90" w:type="dxa"/>
              <w:right w:w="110" w:type="dxa"/>
            </w:tcMar>
            <w:vAlign w:val="center"/>
          </w:tcPr>
          <w:p w14:paraId="3737203F" w14:textId="77777777" w:rsidR="006D3170" w:rsidRDefault="007F79C8">
            <w:pPr>
              <w:jc w:val="center"/>
            </w:pPr>
            <w:r>
              <w:rPr>
                <w:b/>
                <w:bCs/>
                <w:sz w:val="18"/>
                <w:szCs w:val="18"/>
              </w:rPr>
              <w:t>DSSC</w:t>
            </w:r>
          </w:p>
        </w:tc>
        <w:tc>
          <w:tcPr>
            <w:tcW w:w="6026" w:type="dxa"/>
            <w:tcMar>
              <w:top w:w="90" w:type="dxa"/>
              <w:left w:w="110" w:type="dxa"/>
              <w:bottom w:w="90" w:type="dxa"/>
              <w:right w:w="110" w:type="dxa"/>
            </w:tcMar>
            <w:vAlign w:val="center"/>
          </w:tcPr>
          <w:p w14:paraId="58DCF477" w14:textId="77777777" w:rsidR="006D3170" w:rsidRDefault="007F79C8">
            <w:r>
              <w:rPr>
                <w:sz w:val="18"/>
                <w:szCs w:val="18"/>
              </w:rPr>
              <w:t>Diriyah Stage &amp; Sound Co.</w:t>
            </w:r>
          </w:p>
        </w:tc>
      </w:tr>
      <w:tr w:rsidR="006D3170" w14:paraId="110E2486" w14:textId="77777777">
        <w:tc>
          <w:tcPr>
            <w:tcW w:w="3000" w:type="dxa"/>
            <w:tcMar>
              <w:top w:w="90" w:type="dxa"/>
              <w:left w:w="110" w:type="dxa"/>
              <w:bottom w:w="90" w:type="dxa"/>
              <w:right w:w="110" w:type="dxa"/>
            </w:tcMar>
            <w:vAlign w:val="center"/>
          </w:tcPr>
          <w:p w14:paraId="771BF0B2" w14:textId="77777777" w:rsidR="006D3170" w:rsidRDefault="007F79C8">
            <w:pPr>
              <w:jc w:val="center"/>
            </w:pPr>
            <w:r>
              <w:rPr>
                <w:b/>
                <w:bCs/>
                <w:sz w:val="18"/>
                <w:szCs w:val="18"/>
              </w:rPr>
              <w:t>EOG</w:t>
            </w:r>
          </w:p>
        </w:tc>
        <w:tc>
          <w:tcPr>
            <w:tcW w:w="6026" w:type="dxa"/>
            <w:tcMar>
              <w:top w:w="90" w:type="dxa"/>
              <w:left w:w="110" w:type="dxa"/>
              <w:bottom w:w="90" w:type="dxa"/>
              <w:right w:w="110" w:type="dxa"/>
            </w:tcMar>
            <w:vAlign w:val="center"/>
          </w:tcPr>
          <w:p w14:paraId="05EDDB99" w14:textId="77777777" w:rsidR="006D3170" w:rsidRDefault="007F79C8">
            <w:r>
              <w:rPr>
                <w:sz w:val="18"/>
                <w:szCs w:val="18"/>
              </w:rPr>
              <w:t>Elite Occasions Group</w:t>
            </w:r>
          </w:p>
        </w:tc>
      </w:tr>
      <w:tr w:rsidR="006D3170" w14:paraId="1574A4AC" w14:textId="77777777">
        <w:tc>
          <w:tcPr>
            <w:tcW w:w="3000" w:type="dxa"/>
            <w:tcMar>
              <w:top w:w="90" w:type="dxa"/>
              <w:left w:w="110" w:type="dxa"/>
              <w:bottom w:w="90" w:type="dxa"/>
              <w:right w:w="110" w:type="dxa"/>
            </w:tcMar>
            <w:vAlign w:val="center"/>
          </w:tcPr>
          <w:p w14:paraId="669BD509" w14:textId="77777777" w:rsidR="006D3170" w:rsidRDefault="007F79C8">
            <w:pPr>
              <w:jc w:val="center"/>
            </w:pPr>
            <w:r>
              <w:rPr>
                <w:b/>
                <w:bCs/>
                <w:sz w:val="18"/>
                <w:szCs w:val="18"/>
              </w:rPr>
              <w:t>VLP</w:t>
            </w:r>
          </w:p>
        </w:tc>
        <w:tc>
          <w:tcPr>
            <w:tcW w:w="6026" w:type="dxa"/>
            <w:tcMar>
              <w:top w:w="90" w:type="dxa"/>
              <w:left w:w="110" w:type="dxa"/>
              <w:bottom w:w="90" w:type="dxa"/>
              <w:right w:w="110" w:type="dxa"/>
            </w:tcMar>
            <w:vAlign w:val="center"/>
          </w:tcPr>
          <w:p w14:paraId="0348A87E" w14:textId="77777777" w:rsidR="006D3170" w:rsidRDefault="007F79C8">
            <w:r>
              <w:rPr>
                <w:sz w:val="18"/>
                <w:szCs w:val="18"/>
              </w:rPr>
              <w:t>Vista Live Productions</w:t>
            </w:r>
          </w:p>
        </w:tc>
      </w:tr>
      <w:tr w:rsidR="006D3170" w14:paraId="4203CA39" w14:textId="77777777">
        <w:tc>
          <w:tcPr>
            <w:tcW w:w="3000" w:type="dxa"/>
            <w:tcMar>
              <w:top w:w="90" w:type="dxa"/>
              <w:left w:w="110" w:type="dxa"/>
              <w:bottom w:w="90" w:type="dxa"/>
              <w:right w:w="110" w:type="dxa"/>
            </w:tcMar>
            <w:vAlign w:val="center"/>
          </w:tcPr>
          <w:p w14:paraId="36DE051F" w14:textId="77777777" w:rsidR="006D3170" w:rsidRDefault="007F79C8">
            <w:pPr>
              <w:jc w:val="center"/>
            </w:pPr>
            <w:r>
              <w:rPr>
                <w:b/>
                <w:bCs/>
                <w:sz w:val="18"/>
                <w:szCs w:val="18"/>
              </w:rPr>
              <w:t>MYE</w:t>
            </w:r>
          </w:p>
        </w:tc>
        <w:tc>
          <w:tcPr>
            <w:tcW w:w="6026" w:type="dxa"/>
            <w:tcMar>
              <w:top w:w="90" w:type="dxa"/>
              <w:left w:w="110" w:type="dxa"/>
              <w:bottom w:w="90" w:type="dxa"/>
              <w:right w:w="110" w:type="dxa"/>
            </w:tcMar>
            <w:vAlign w:val="center"/>
          </w:tcPr>
          <w:p w14:paraId="7E774E4D" w14:textId="77777777" w:rsidR="006D3170" w:rsidRDefault="007F79C8">
            <w:r>
              <w:rPr>
                <w:sz w:val="18"/>
                <w:szCs w:val="18"/>
              </w:rPr>
              <w:t>Mayadeen Event</w:t>
            </w:r>
          </w:p>
        </w:tc>
      </w:tr>
    </w:tbl>
    <w:p w14:paraId="2671B5EA" w14:textId="77777777" w:rsidR="006D3170" w:rsidRDefault="007F79C8">
      <w:pPr>
        <w:spacing w:after="200" w:line="300" w:lineRule="auto"/>
      </w:pPr>
      <w:r>
        <w:t>Table 1: Demographic Characteristics</w:t>
      </w:r>
    </w:p>
    <w:p w14:paraId="735C973D" w14:textId="77777777" w:rsidR="006D3170" w:rsidRDefault="007F79C8">
      <w:pPr>
        <w:spacing w:after="200" w:line="300" w:lineRule="auto"/>
      </w:pPr>
      <w:r>
        <w:t>Table 2: Internal Consistency (Pearson Correlation)</w:t>
      </w:r>
    </w:p>
    <w:p w14:paraId="4222F912" w14:textId="77777777" w:rsidR="006D3170" w:rsidRDefault="007F79C8">
      <w:pPr>
        <w:spacing w:after="200" w:line="300" w:lineRule="auto"/>
      </w:pPr>
      <w:r>
        <w:t>Table 3: Reliability (Cronbach's Alpha)</w:t>
      </w:r>
    </w:p>
    <w:p w14:paraId="52B9EF65" w14:textId="77777777" w:rsidR="006D3170" w:rsidRDefault="007F79C8">
      <w:pPr>
        <w:spacing w:after="200" w:line="300" w:lineRule="auto"/>
      </w:pPr>
      <w:r>
        <w:t>Table 4: Correction Standard</w:t>
      </w:r>
    </w:p>
    <w:p w14:paraId="4221D6F3" w14:textId="77777777" w:rsidR="006D3170" w:rsidRDefault="007F79C8">
      <w:pPr>
        <w:pStyle w:val="Heading1"/>
        <w:pageBreakBefore/>
      </w:pPr>
      <w:bookmarkStart w:id="6" w:name="_Toc235048730"/>
      <w:r>
        <w:lastRenderedPageBreak/>
        <w:t>CHAPTER 1: INTRODUCTION</w:t>
      </w:r>
      <w:bookmarkEnd w:id="6"/>
    </w:p>
    <w:p w14:paraId="273FF947" w14:textId="77777777" w:rsidR="006D3170" w:rsidRDefault="007F79C8">
      <w:pPr>
        <w:pStyle w:val="Heading2"/>
        <w:spacing w:before="240" w:after="160"/>
      </w:pPr>
      <w:bookmarkStart w:id="7" w:name="_Toc235048731"/>
      <w:r>
        <w:t>1.1 Introduction</w:t>
      </w:r>
      <w:bookmarkEnd w:id="7"/>
    </w:p>
    <w:p w14:paraId="5C4AD9D4" w14:textId="77777777" w:rsidR="006D3170" w:rsidRDefault="007F79C8">
      <w:pPr>
        <w:spacing w:after="200" w:line="300" w:lineRule="auto"/>
        <w:jc w:val="both"/>
      </w:pPr>
      <w:r>
        <w:t>This study explores how Saudi Arabia's Vision 2030 is reshaping the event production and event management sector in Riyadh, one of the most visible and fastest-growing pillars of the Kingdom's economic diversification strategy.</w:t>
      </w:r>
    </w:p>
    <w:p w14:paraId="3E938D55" w14:textId="77777777" w:rsidR="006D3170" w:rsidRDefault="007F79C8">
      <w:pPr>
        <w:spacing w:after="200" w:line="300" w:lineRule="auto"/>
        <w:jc w:val="both"/>
      </w:pPr>
      <w:r>
        <w:t>Since Vision 2030 was introduced in April 2016, the Kingdom has moved from having almost no commercial entertainment sector to hosting large-scale festivals, concerts, exhibitions, and international conferences on a near-continuous basis. The General Entertainment Authority (GEA), established in 2016, has overseen this transformation, streamlining licensing for event organizers and international production companies while flagship programs such as Riyadh Season, Diriyah Season, and major business events like LEAP have drawn millions of visitors annually.</w:t>
      </w:r>
    </w:p>
    <w:p w14:paraId="3DA1BE43" w14:textId="77777777" w:rsidR="006D3170" w:rsidRDefault="007F79C8">
      <w:pPr>
        <w:spacing w:after="200" w:line="300" w:lineRule="auto"/>
        <w:jc w:val="both"/>
      </w:pPr>
      <w:r>
        <w:t>This growth has created a fast-expanding market for local event production and event management companies - covering staging, sound and lighting, ticketing technology, safety and crowd management, sponsorship activation, and hospitality - that did not meaningfully exist in Riyadh a decade ago.</w:t>
      </w:r>
    </w:p>
    <w:p w14:paraId="010CD5A7" w14:textId="77777777" w:rsidR="006D3170" w:rsidRDefault="007F79C8">
      <w:pPr>
        <w:spacing w:after="200" w:line="300" w:lineRule="auto"/>
        <w:jc w:val="both"/>
      </w:pPr>
      <w:r>
        <w:t>Recognizing the need to reduce dependence on oil revenues, Vision 2030 targets a substantial increase in household entertainment spending and positions tourism, culture, and entertainment as core pillars of the non-oil economy. This plan directly affects how event production companies in Riyadh operate, compete, and grow.</w:t>
      </w:r>
    </w:p>
    <w:p w14:paraId="646D1BD1" w14:textId="77777777" w:rsidR="006D3170" w:rsidRDefault="007F79C8">
      <w:pPr>
        <w:spacing w:after="200" w:line="300" w:lineRule="auto"/>
        <w:jc w:val="both"/>
      </w:pPr>
      <w:r>
        <w:t>This study also considers how the drive toward Saudization and local content requirements is reshaping employment and ownership structures within the sector, and how the push for world-class visitor experiences is raising the bar for production quality, cost discipline, and delivery timelines.</w:t>
      </w:r>
    </w:p>
    <w:p w14:paraId="48D10AF3" w14:textId="77777777" w:rsidR="006D3170" w:rsidRDefault="007F79C8">
      <w:pPr>
        <w:pStyle w:val="Heading2"/>
        <w:spacing w:before="240" w:after="160"/>
      </w:pPr>
      <w:bookmarkStart w:id="8" w:name="_Toc235048732"/>
      <w:r>
        <w:t>1.2 Problem Statement</w:t>
      </w:r>
      <w:bookmarkEnd w:id="8"/>
    </w:p>
    <w:p w14:paraId="169DF268" w14:textId="4DF05868" w:rsidR="006D3170" w:rsidRDefault="007F79C8">
      <w:pPr>
        <w:spacing w:after="200" w:line="300" w:lineRule="auto"/>
        <w:jc w:val="both"/>
      </w:pPr>
      <w:r>
        <w:t xml:space="preserve">Riyadh is positioning itself as a regional hub for large-scale events, festivals, and business conferences. However, this rapid expansion, characterized by intense competition from international event brands, rising client expectations, and </w:t>
      </w:r>
      <w:r w:rsidR="00BC0A5C">
        <w:t xml:space="preserve">rapidly </w:t>
      </w:r>
      <w:r>
        <w:t xml:space="preserve">changing regulatory requirements, </w:t>
      </w:r>
      <w:r w:rsidR="00BC0A5C">
        <w:t>pos</w:t>
      </w:r>
      <w:r>
        <w:t>es several challenges for local event production and management companies.</w:t>
      </w:r>
    </w:p>
    <w:p w14:paraId="4469495C" w14:textId="55C80E96" w:rsidR="006D3170" w:rsidRDefault="007F79C8">
      <w:pPr>
        <w:spacing w:after="200" w:line="300" w:lineRule="auto"/>
        <w:jc w:val="both"/>
      </w:pPr>
      <w:r>
        <w:t xml:space="preserve">As a result, the event production sector in Riyadh must confront these challenges on multiple fronts. This research addresses </w:t>
      </w:r>
      <w:r w:rsidR="00BC0A5C">
        <w:t>th</w:t>
      </w:r>
      <w:r>
        <w:t xml:space="preserve">e challenges and the means </w:t>
      </w:r>
      <w:r w:rsidR="00BC0A5C">
        <w:t>by</w:t>
      </w:r>
      <w:r>
        <w:t xml:space="preserve"> which local companies can overcome them.</w:t>
      </w:r>
    </w:p>
    <w:p w14:paraId="16303680" w14:textId="77777777" w:rsidR="006D3170" w:rsidRDefault="007F79C8">
      <w:pPr>
        <w:spacing w:after="200" w:line="300" w:lineRule="auto"/>
        <w:jc w:val="both"/>
      </w:pPr>
      <w:r>
        <w:t>Several challenges facing the event production and event management sector in Riyadh can be outlined as follows:</w:t>
      </w:r>
    </w:p>
    <w:p w14:paraId="52A78B70" w14:textId="77777777" w:rsidR="006D3170" w:rsidRDefault="007F79C8">
      <w:pPr>
        <w:pStyle w:val="ListParagraph"/>
        <w:numPr>
          <w:ilvl w:val="0"/>
          <w:numId w:val="1"/>
        </w:numPr>
        <w:spacing w:after="100"/>
      </w:pPr>
      <w:r>
        <w:t>Reliance on International Expertise: The sector has historically relied heavily on international production companies, technical crews, and equipment suppliers for large-scale events.</w:t>
      </w:r>
    </w:p>
    <w:p w14:paraId="009D37B6" w14:textId="77777777" w:rsidR="006D3170" w:rsidRDefault="007F79C8">
      <w:pPr>
        <w:pStyle w:val="ListParagraph"/>
        <w:numPr>
          <w:ilvl w:val="0"/>
          <w:numId w:val="1"/>
        </w:numPr>
        <w:spacing w:after="100"/>
      </w:pPr>
      <w:r>
        <w:t>Weak Local Production Capacity: Riyadh's local supply chain for staging, technical equipment, and specialized crew is still maturing relative to global standards.</w:t>
      </w:r>
    </w:p>
    <w:p w14:paraId="2A6EE370" w14:textId="77777777" w:rsidR="006D3170" w:rsidRDefault="007F79C8">
      <w:pPr>
        <w:pStyle w:val="ListParagraph"/>
        <w:numPr>
          <w:ilvl w:val="0"/>
          <w:numId w:val="1"/>
        </w:numPr>
        <w:spacing w:after="100"/>
      </w:pPr>
      <w:r>
        <w:lastRenderedPageBreak/>
        <w:t>Regulatory and Licensing Complexity: Event organizers face evolving requirements from the General Entertainment Authority and other regulators, including safety, content, and venue licensing rules.</w:t>
      </w:r>
    </w:p>
    <w:p w14:paraId="7B17FA81" w14:textId="77777777" w:rsidR="006D3170" w:rsidRDefault="007F79C8">
      <w:pPr>
        <w:pStyle w:val="ListParagraph"/>
        <w:numPr>
          <w:ilvl w:val="0"/>
          <w:numId w:val="1"/>
        </w:numPr>
        <w:spacing w:after="100"/>
      </w:pPr>
      <w:r>
        <w:t>Talent Shortage: The Kingdom faces a shortage of qualified technical, production, and event-management professionals, particularly Saudi nationals with specialized experience.</w:t>
      </w:r>
    </w:p>
    <w:p w14:paraId="61F222C1" w14:textId="77777777" w:rsidR="006D3170" w:rsidRDefault="007F79C8">
      <w:pPr>
        <w:pStyle w:val="Heading2"/>
        <w:spacing w:before="240" w:after="160"/>
      </w:pPr>
      <w:bookmarkStart w:id="9" w:name="_Toc235048733"/>
      <w:r>
        <w:t>1.3 Study Purposes</w:t>
      </w:r>
      <w:bookmarkEnd w:id="9"/>
    </w:p>
    <w:p w14:paraId="212C4053" w14:textId="409D5CC6" w:rsidR="006D3170" w:rsidRDefault="007F79C8">
      <w:pPr>
        <w:spacing w:after="200" w:line="300" w:lineRule="auto"/>
        <w:jc w:val="both"/>
      </w:pPr>
      <w:r>
        <w:t xml:space="preserve">The objectives of this study </w:t>
      </w:r>
      <w:r w:rsidR="00BC0A5C">
        <w:t>focus</w:t>
      </w:r>
      <w:r>
        <w:t xml:space="preserve"> on understanding how Vision 2030 is shaping the challenges and opportunities facing the event production and management sector in Riyadh.</w:t>
      </w:r>
    </w:p>
    <w:p w14:paraId="39AC6D72" w14:textId="77777777" w:rsidR="006D3170" w:rsidRDefault="007F79C8">
      <w:pPr>
        <w:spacing w:after="200" w:line="300" w:lineRule="auto"/>
        <w:jc w:val="both"/>
      </w:pPr>
      <w:r>
        <w:t>Developing the Event Production Sector: This study focuses on developing local event production capacity and supporting Saudi-owned production and event management companies.</w:t>
      </w:r>
    </w:p>
    <w:p w14:paraId="26EF7838" w14:textId="77777777" w:rsidR="006D3170" w:rsidRDefault="007F79C8">
      <w:pPr>
        <w:spacing w:after="200" w:line="300" w:lineRule="auto"/>
        <w:jc w:val="both"/>
      </w:pPr>
      <w:r>
        <w:t>Furthermore, the study focuses on the points below, which help address the challenges that will increase competitiveness and grow the sector toward Vision 2030's goals:</w:t>
      </w:r>
    </w:p>
    <w:p w14:paraId="4BE3D2F6" w14:textId="77777777" w:rsidR="006D3170" w:rsidRDefault="007F79C8">
      <w:pPr>
        <w:pStyle w:val="ListParagraph"/>
        <w:numPr>
          <w:ilvl w:val="0"/>
          <w:numId w:val="1"/>
        </w:numPr>
        <w:spacing w:after="100"/>
      </w:pPr>
      <w:r>
        <w:t>Increase the number and capacity of local event production companies operating in Riyadh.</w:t>
      </w:r>
    </w:p>
    <w:p w14:paraId="7E21004E" w14:textId="77777777" w:rsidR="006D3170" w:rsidRDefault="007F79C8">
      <w:pPr>
        <w:pStyle w:val="ListParagraph"/>
        <w:numPr>
          <w:ilvl w:val="0"/>
          <w:numId w:val="1"/>
        </w:numPr>
        <w:spacing w:after="100"/>
      </w:pPr>
      <w:r>
        <w:t>Enhance the commercial sector through sponsorship, ticketing technology, and digital marketing platforms.</w:t>
      </w:r>
    </w:p>
    <w:p w14:paraId="5315A17A" w14:textId="77777777" w:rsidR="006D3170" w:rsidRDefault="007F79C8">
      <w:pPr>
        <w:pStyle w:val="ListParagraph"/>
        <w:numPr>
          <w:ilvl w:val="0"/>
          <w:numId w:val="1"/>
        </w:numPr>
        <w:spacing w:after="100"/>
      </w:pPr>
      <w:r>
        <w:t>Strengthen international partnerships that bring global production expertise and investment into the Kingdom.</w:t>
      </w:r>
    </w:p>
    <w:p w14:paraId="7FE0A9CC" w14:textId="77777777" w:rsidR="006D3170" w:rsidRDefault="007F79C8">
      <w:pPr>
        <w:pStyle w:val="Heading2"/>
        <w:spacing w:before="240" w:after="160"/>
      </w:pPr>
      <w:bookmarkStart w:id="10" w:name="_Toc235048734"/>
      <w:r>
        <w:t>1.4 Study Importance</w:t>
      </w:r>
      <w:bookmarkEnd w:id="10"/>
    </w:p>
    <w:p w14:paraId="68DEE733" w14:textId="77777777" w:rsidR="006D3170" w:rsidRDefault="007F79C8">
      <w:pPr>
        <w:spacing w:after="200" w:line="300" w:lineRule="auto"/>
        <w:jc w:val="both"/>
      </w:pPr>
      <w:r>
        <w:t>Saudi Arabia is positioning Riyadh as a global destination for entertainment, culture, and business events, seeking to retain domestic entertainment spending and attract international visitors and investment.</w:t>
      </w:r>
    </w:p>
    <w:p w14:paraId="4A58858A" w14:textId="0D256138" w:rsidR="006D3170" w:rsidRDefault="007F79C8">
      <w:pPr>
        <w:spacing w:after="200" w:line="300" w:lineRule="auto"/>
        <w:jc w:val="both"/>
      </w:pPr>
      <w:r>
        <w:t xml:space="preserve">The Kingdom is placing significant emphasis on developing its events and entertainment sector </w:t>
      </w:r>
      <w:r w:rsidR="00BC0A5C">
        <w:t>as</w:t>
      </w:r>
      <w:r>
        <w:t xml:space="preserve"> </w:t>
      </w:r>
      <w:r w:rsidR="00BC0A5C">
        <w:t>part</w:t>
      </w:r>
      <w:r>
        <w:t xml:space="preserve"> of Vision 2030, which aims to diversify the national economy and improve </w:t>
      </w:r>
      <w:r w:rsidR="00BC0A5C">
        <w:t xml:space="preserve">the </w:t>
      </w:r>
      <w:r>
        <w:t>quality of life.</w:t>
      </w:r>
    </w:p>
    <w:p w14:paraId="4107DC32" w14:textId="77777777" w:rsidR="006D3170" w:rsidRDefault="007F79C8">
      <w:pPr>
        <w:spacing w:after="200" w:line="300" w:lineRule="auto"/>
        <w:jc w:val="both"/>
      </w:pPr>
      <w:r>
        <w:t>Key points of importance addressed by this study include:</w:t>
      </w:r>
    </w:p>
    <w:p w14:paraId="65973491" w14:textId="77777777" w:rsidR="006D3170" w:rsidRDefault="007F79C8">
      <w:pPr>
        <w:pStyle w:val="ListParagraph"/>
        <w:numPr>
          <w:ilvl w:val="0"/>
          <w:numId w:val="1"/>
        </w:numPr>
        <w:spacing w:after="100"/>
      </w:pPr>
      <w:r>
        <w:t>Developing Event Management Practices: Improving planning, coordination, and delivery standards within event production companies, particularly small and medium-sized enterprises.</w:t>
      </w:r>
    </w:p>
    <w:p w14:paraId="74C886AC" w14:textId="77777777" w:rsidR="006D3170" w:rsidRDefault="007F79C8">
      <w:pPr>
        <w:pStyle w:val="ListParagraph"/>
        <w:numPr>
          <w:ilvl w:val="0"/>
          <w:numId w:val="1"/>
        </w:numPr>
        <w:spacing w:after="100"/>
      </w:pPr>
      <w:r>
        <w:t>Enhancing the Competitive Capabilities of Local Companies: Improving the competitiveness of Saudi event production companies so they can compete for major contracts against international entrants.</w:t>
      </w:r>
    </w:p>
    <w:p w14:paraId="4BE3792F" w14:textId="77777777" w:rsidR="006D3170" w:rsidRDefault="007F79C8">
      <w:pPr>
        <w:pStyle w:val="ListParagraph"/>
        <w:numPr>
          <w:ilvl w:val="0"/>
          <w:numId w:val="1"/>
        </w:numPr>
        <w:spacing w:after="100"/>
      </w:pPr>
      <w:r>
        <w:t>Keeping Up with Rapid Developments in Event Technology: Ticketing platforms, AI-driven crowd and demand management, and immersive production technology are evolving quickly worldwide.</w:t>
      </w:r>
    </w:p>
    <w:p w14:paraId="70ACCDEC" w14:textId="77777777" w:rsidR="006D3170" w:rsidRDefault="007F79C8">
      <w:pPr>
        <w:pStyle w:val="ListParagraph"/>
        <w:numPr>
          <w:ilvl w:val="0"/>
          <w:numId w:val="1"/>
        </w:numPr>
        <w:spacing w:after="100"/>
      </w:pPr>
      <w:r>
        <w:t>Transferring and Localizing Production Expertise: Building sustainable local capability in staging, technical production, and safety management.</w:t>
      </w:r>
    </w:p>
    <w:p w14:paraId="3064CC60" w14:textId="77777777" w:rsidR="006D3170" w:rsidRDefault="007F79C8">
      <w:pPr>
        <w:pStyle w:val="ListParagraph"/>
        <w:numPr>
          <w:ilvl w:val="0"/>
          <w:numId w:val="1"/>
        </w:numPr>
        <w:spacing w:after="100"/>
      </w:pPr>
      <w:r>
        <w:t>Focusing on Sustainability in Large-Scale Events: Environmental and crowd-safety considerations are becoming increasingly important as event scale grows.</w:t>
      </w:r>
    </w:p>
    <w:p w14:paraId="26013919" w14:textId="77777777" w:rsidR="006D3170" w:rsidRDefault="007F79C8">
      <w:pPr>
        <w:pStyle w:val="Heading2"/>
        <w:spacing w:before="240" w:after="160"/>
      </w:pPr>
      <w:bookmarkStart w:id="11" w:name="_Toc235048735"/>
      <w:r>
        <w:lastRenderedPageBreak/>
        <w:t>1.5 Study Questions</w:t>
      </w:r>
      <w:bookmarkEnd w:id="11"/>
    </w:p>
    <w:p w14:paraId="17F82CBB" w14:textId="77777777" w:rsidR="006D3170" w:rsidRDefault="007F79C8">
      <w:pPr>
        <w:spacing w:after="200" w:line="300" w:lineRule="auto"/>
        <w:jc w:val="both"/>
      </w:pPr>
      <w:r>
        <w:t>To understand the questions this study addresses, it is useful to review the trajectory of Saudi Arabia's events and entertainment sector since 2016.</w:t>
      </w:r>
    </w:p>
    <w:p w14:paraId="26D8C1B3" w14:textId="77777777" w:rsidR="006D3170" w:rsidRDefault="007F79C8">
      <w:pPr>
        <w:pStyle w:val="ListParagraph"/>
        <w:numPr>
          <w:ilvl w:val="0"/>
          <w:numId w:val="1"/>
        </w:numPr>
        <w:spacing w:after="100"/>
      </w:pPr>
      <w:r>
        <w:t>Growth in Licensed Event Companies: The number of licensed event management and production companies in Saudi Arabia has grown substantially since the General Entertainment Authority streamlined licensing procedures.</w:t>
      </w:r>
    </w:p>
    <w:p w14:paraId="648BB99B" w14:textId="1EE2B5CD" w:rsidR="006D3170" w:rsidRDefault="007F79C8">
      <w:pPr>
        <w:pStyle w:val="ListParagraph"/>
        <w:numPr>
          <w:ilvl w:val="0"/>
          <w:numId w:val="1"/>
        </w:numPr>
        <w:spacing w:after="100"/>
      </w:pPr>
      <w:r>
        <w:t>Growth in Investment: Government and private investment in entertainment infrastructure has exceeded USD 2 billion since 2016, alongside giga-projects such as Qiddiya</w:t>
      </w:r>
      <w:r w:rsidR="00BC0A5C">
        <w:t>,</w:t>
      </w:r>
      <w:r>
        <w:t xml:space="preserve"> </w:t>
      </w:r>
      <w:r w:rsidR="00BC0A5C">
        <w:t>which</w:t>
      </w:r>
      <w:r>
        <w:t xml:space="preserve"> </w:t>
      </w:r>
      <w:r w:rsidR="00BC0A5C">
        <w:t>include</w:t>
      </w:r>
      <w:r>
        <w:t xml:space="preserve"> purpose-built venues (General Entertainment Authority, 2025; AHK Saudi Arabia, 2026).</w:t>
      </w:r>
    </w:p>
    <w:p w14:paraId="5F5C5762" w14:textId="77777777" w:rsidR="006D3170" w:rsidRDefault="007F79C8">
      <w:pPr>
        <w:pStyle w:val="ListParagraph"/>
        <w:numPr>
          <w:ilvl w:val="0"/>
          <w:numId w:val="1"/>
        </w:numPr>
        <w:spacing w:after="100"/>
      </w:pPr>
      <w:r>
        <w:t>Growth in Visitor Numbers: Flagship programs such as Riyadh Season have attracted more than 12 million visitors in a single recent edition (General Entertainment Authority, 2025).</w:t>
      </w:r>
    </w:p>
    <w:p w14:paraId="74912FE7" w14:textId="77777777" w:rsidR="006D3170" w:rsidRDefault="007F79C8">
      <w:pPr>
        <w:pStyle w:val="ListParagraph"/>
        <w:numPr>
          <w:ilvl w:val="0"/>
          <w:numId w:val="1"/>
        </w:numPr>
        <w:spacing w:after="100"/>
      </w:pPr>
      <w:r>
        <w:t>Growth in Employment: Entertainment-sector employment in Riyadh reached an estimated 42,000 jobs recently, with projections toward roughly 95,000 by 2030 (Custom Market Insights, 2026).</w:t>
      </w:r>
    </w:p>
    <w:p w14:paraId="00E7A0F1" w14:textId="77777777" w:rsidR="006D3170" w:rsidRDefault="007F79C8">
      <w:pPr>
        <w:pStyle w:val="ListParagraph"/>
        <w:numPr>
          <w:ilvl w:val="0"/>
          <w:numId w:val="1"/>
        </w:numPr>
        <w:spacing w:after="100"/>
      </w:pPr>
      <w:r>
        <w:t>Establishment of the General Entertainment Authority: An independent body overseeing licensing, content approval, and development of the entertainment sector.</w:t>
      </w:r>
    </w:p>
    <w:p w14:paraId="5115DFF1" w14:textId="77777777" w:rsidR="006D3170" w:rsidRDefault="007F79C8">
      <w:pPr>
        <w:pStyle w:val="ListParagraph"/>
        <w:numPr>
          <w:ilvl w:val="0"/>
          <w:numId w:val="1"/>
        </w:numPr>
        <w:spacing w:after="100"/>
      </w:pPr>
      <w:r>
        <w:t>Advancements in Event Production: There has been significant progress in production quality, technical capability, and international collaboration in recent years.</w:t>
      </w:r>
    </w:p>
    <w:p w14:paraId="4F3D08B4" w14:textId="77777777" w:rsidR="006D3170" w:rsidRDefault="007F79C8">
      <w:pPr>
        <w:pStyle w:val="ListParagraph"/>
        <w:numPr>
          <w:ilvl w:val="0"/>
          <w:numId w:val="1"/>
        </w:numPr>
        <w:spacing w:after="100"/>
      </w:pPr>
      <w:r>
        <w:t>Growth in the Business Events (MICE) Segment: Saudi Arabia has become one of the fastest-growing business-event markets among G20 nations (Arab News, 2025).</w:t>
      </w:r>
    </w:p>
    <w:p w14:paraId="7383B2C3" w14:textId="77777777" w:rsidR="006D3170" w:rsidRDefault="007F79C8">
      <w:pPr>
        <w:spacing w:after="200" w:line="300" w:lineRule="auto"/>
        <w:jc w:val="both"/>
      </w:pPr>
      <w:r>
        <w:t>These points give a preliminary view of how Saudi Arabia has developed its events and entertainment sector, and they help frame the questions this study seeks to answer regarding challenges, opportunities, and impacts on ductwork... on event production and event management specifically.</w:t>
      </w:r>
    </w:p>
    <w:p w14:paraId="1E6DC6B9" w14:textId="77777777" w:rsidR="006D3170" w:rsidRDefault="007F79C8">
      <w:pPr>
        <w:pStyle w:val="Heading2"/>
        <w:spacing w:before="240" w:after="160"/>
      </w:pPr>
      <w:bookmarkStart w:id="12" w:name="_Toc235048736"/>
      <w:r>
        <w:t>1.6 Research Hypotheses</w:t>
      </w:r>
      <w:bookmarkEnd w:id="12"/>
    </w:p>
    <w:p w14:paraId="746D5FA0" w14:textId="77777777" w:rsidR="006D3170" w:rsidRDefault="007F79C8">
      <w:pPr>
        <w:spacing w:after="200" w:line="300" w:lineRule="auto"/>
        <w:jc w:val="both"/>
      </w:pPr>
      <w:r>
        <w:t>The following are potential research hypotheses for the challenges, opportunities, and impacts of Vision 2030 on the event production and event management sector in Riyadh, Saudi Arabia:</w:t>
      </w:r>
    </w:p>
    <w:p w14:paraId="22FA74B6" w14:textId="77777777" w:rsidR="006D3170" w:rsidRDefault="007F79C8">
      <w:pPr>
        <w:pStyle w:val="ListParagraph"/>
        <w:numPr>
          <w:ilvl w:val="0"/>
          <w:numId w:val="1"/>
        </w:numPr>
        <w:spacing w:after="100"/>
      </w:pPr>
      <w:r>
        <w:t>H1: The impact of Vision 2030 on event production companies has a significant positive impact on growth opportunities.</w:t>
      </w:r>
    </w:p>
    <w:p w14:paraId="7D5C400E" w14:textId="55A4F2CB" w:rsidR="006D3170" w:rsidRDefault="007F79C8">
      <w:pPr>
        <w:pStyle w:val="ListParagraph"/>
        <w:numPr>
          <w:ilvl w:val="0"/>
          <w:numId w:val="1"/>
        </w:numPr>
        <w:spacing w:after="100"/>
      </w:pPr>
      <w:r>
        <w:t xml:space="preserve">H2: Part of the challenges of Vision 2030 are the same </w:t>
      </w:r>
      <w:r w:rsidR="00BC0A5C">
        <w:t>on</w:t>
      </w:r>
      <w:r>
        <w:t xml:space="preserve">es that event management companies </w:t>
      </w:r>
      <w:r w:rsidR="00BC0A5C">
        <w:t>face</w:t>
      </w:r>
      <w:r>
        <w:t>.</w:t>
      </w:r>
    </w:p>
    <w:p w14:paraId="57126666" w14:textId="6C14CDF5" w:rsidR="006D3170" w:rsidRDefault="007F79C8">
      <w:pPr>
        <w:pStyle w:val="ListParagraph"/>
        <w:numPr>
          <w:ilvl w:val="0"/>
          <w:numId w:val="1"/>
        </w:numPr>
        <w:spacing w:after="100"/>
      </w:pPr>
      <w:r>
        <w:t xml:space="preserve">H3: The challenges faced by event production companies in Riyadh are significantly influenced by regulatory changes introduced </w:t>
      </w:r>
      <w:r w:rsidR="00BC0A5C">
        <w:t>under</w:t>
      </w:r>
      <w:r>
        <w:t xml:space="preserve"> Vision 2030.</w:t>
      </w:r>
    </w:p>
    <w:p w14:paraId="77EF46EB" w14:textId="77777777" w:rsidR="006D3170" w:rsidRDefault="007F79C8">
      <w:pPr>
        <w:pStyle w:val="ListParagraph"/>
        <w:numPr>
          <w:ilvl w:val="0"/>
          <w:numId w:val="1"/>
        </w:numPr>
        <w:spacing w:after="100"/>
      </w:pPr>
      <w:r>
        <w:t>H4: There is a good relationship between the new technologies approved under Vision 2030 and event production companies.</w:t>
      </w:r>
    </w:p>
    <w:p w14:paraId="3180ACD8" w14:textId="1F562816" w:rsidR="006D3170" w:rsidRDefault="007F79C8">
      <w:pPr>
        <w:pStyle w:val="ListParagraph"/>
        <w:numPr>
          <w:ilvl w:val="0"/>
          <w:numId w:val="1"/>
        </w:numPr>
        <w:spacing w:after="100"/>
      </w:pPr>
      <w:r>
        <w:t xml:space="preserve">H5: The new relationships between Saudi Arabia and other countries under Vision 2030 </w:t>
      </w:r>
      <w:r w:rsidR="00BC0A5C">
        <w:t>provid</w:t>
      </w:r>
      <w:r>
        <w:t xml:space="preserve">e a competitive advantage to the event production and entertainment </w:t>
      </w:r>
      <w:r w:rsidR="00BC0A5C">
        <w:t>sector</w:t>
      </w:r>
      <w:r>
        <w:t>.</w:t>
      </w:r>
    </w:p>
    <w:p w14:paraId="30739D88" w14:textId="77777777" w:rsidR="006D3170" w:rsidRDefault="007F79C8">
      <w:pPr>
        <w:pStyle w:val="ListParagraph"/>
        <w:numPr>
          <w:ilvl w:val="0"/>
          <w:numId w:val="1"/>
        </w:numPr>
        <w:spacing w:after="100"/>
      </w:pPr>
      <w:r>
        <w:t>H6: Vision 2030's emphasis on local content and Saudization policies has led to increased challenges for foreign-owned event management companies.</w:t>
      </w:r>
    </w:p>
    <w:p w14:paraId="5E6F33AF" w14:textId="77777777" w:rsidR="006D3170" w:rsidRDefault="007F79C8">
      <w:pPr>
        <w:pStyle w:val="Heading2"/>
        <w:spacing w:before="240" w:after="160"/>
      </w:pPr>
      <w:bookmarkStart w:id="13" w:name="_Toc235048737"/>
      <w:r>
        <w:t>1.7 Theoretical Model</w:t>
      </w:r>
      <w:bookmarkEnd w:id="13"/>
    </w:p>
    <w:p w14:paraId="6B1EB323" w14:textId="77777777" w:rsidR="006D3170" w:rsidRDefault="007F79C8">
      <w:pPr>
        <w:spacing w:after="200" w:line="300" w:lineRule="auto"/>
        <w:jc w:val="both"/>
      </w:pPr>
      <w:r>
        <w:lastRenderedPageBreak/>
        <w:t>The following theoretical model indicates the impact of Vision 2030 on event production and event management companies in Riyadh, Saudi Arabia:</w:t>
      </w:r>
    </w:p>
    <w:p w14:paraId="13CB3B81" w14:textId="77777777" w:rsidR="006D3170" w:rsidRDefault="007F79C8">
      <w:pPr>
        <w:pStyle w:val="Heading3"/>
        <w:spacing w:before="200" w:after="120"/>
      </w:pPr>
      <w:r>
        <w:t>1. Vision 2030 Initiatives</w:t>
      </w:r>
    </w:p>
    <w:p w14:paraId="76B68C04" w14:textId="2BACCD8B" w:rsidR="006D3170" w:rsidRDefault="007F79C8">
      <w:pPr>
        <w:spacing w:after="200" w:line="300" w:lineRule="auto"/>
        <w:jc w:val="both"/>
      </w:pPr>
      <w:r>
        <w:t xml:space="preserve">Vision 2030 focuses on improving local production capacity and Saudization within the events sector. These efforts affect international production companies but </w:t>
      </w:r>
      <w:r w:rsidR="00BC0A5C">
        <w:t xml:space="preserve">also </w:t>
      </w:r>
      <w:r>
        <w:t xml:space="preserve">aim to improve local companies by giving Saudi professionals more </w:t>
      </w:r>
      <w:r w:rsidR="00BC0A5C">
        <w:t>opportuniti</w:t>
      </w:r>
      <w:r>
        <w:t xml:space="preserve">es to gain skills and experience </w:t>
      </w:r>
      <w:r w:rsidR="00BC0A5C">
        <w:t>on</w:t>
      </w:r>
      <w:r>
        <w:t xml:space="preserve"> international productions and transfer that knowledge locally.</w:t>
      </w:r>
    </w:p>
    <w:p w14:paraId="54267295" w14:textId="77777777" w:rsidR="006D3170" w:rsidRDefault="007F79C8">
      <w:pPr>
        <w:pStyle w:val="Heading3"/>
        <w:spacing w:before="200" w:after="120"/>
      </w:pPr>
      <w:r>
        <w:t>2. Promoting New Technologies in the Field</w:t>
      </w:r>
    </w:p>
    <w:p w14:paraId="6206A501" w14:textId="77777777" w:rsidR="006D3170" w:rsidRDefault="007F79C8">
      <w:pPr>
        <w:spacing w:after="200" w:line="300" w:lineRule="auto"/>
        <w:jc w:val="both"/>
      </w:pPr>
      <w:r>
        <w:t>Vision 2030 encourages the use of new event technologies - ticketing platforms, AI-driven crowd and demand management, and immersive production tools - to reduce cost, increase production efficiency, and deliver world-class attendee experiences.</w:t>
      </w:r>
    </w:p>
    <w:p w14:paraId="33F50044" w14:textId="77777777" w:rsidR="006D3170" w:rsidRDefault="007F79C8">
      <w:pPr>
        <w:pStyle w:val="Heading3"/>
        <w:spacing w:before="200" w:after="120"/>
      </w:pPr>
      <w:r>
        <w:t>3. Government Support</w:t>
      </w:r>
    </w:p>
    <w:p w14:paraId="5917EF91" w14:textId="77777777" w:rsidR="006D3170" w:rsidRDefault="007F79C8">
      <w:pPr>
        <w:spacing w:after="200" w:line="300" w:lineRule="auto"/>
        <w:jc w:val="both"/>
      </w:pPr>
      <w:r>
        <w:t>The Saudi government supports local companies and prioritizes them for major national events and giga-projects. Choosing local production companies for flagship programs such as Riyadh Season encourages local companies to match international standards and become locally rooted, sustainable businesses.</w:t>
      </w:r>
    </w:p>
    <w:p w14:paraId="064E76BB" w14:textId="77777777" w:rsidR="006D3170" w:rsidRDefault="007F79C8">
      <w:pPr>
        <w:pStyle w:val="Heading1"/>
        <w:pageBreakBefore/>
      </w:pPr>
      <w:bookmarkStart w:id="14" w:name="_Toc235048738"/>
      <w:r>
        <w:lastRenderedPageBreak/>
        <w:t>CHAPTER 2: LITERATURE REVIEW</w:t>
      </w:r>
      <w:bookmarkEnd w:id="14"/>
    </w:p>
    <w:p w14:paraId="0B2D8A60" w14:textId="77777777" w:rsidR="006D3170" w:rsidRDefault="007F79C8">
      <w:pPr>
        <w:pStyle w:val="Heading2"/>
        <w:spacing w:before="240" w:after="160"/>
      </w:pPr>
      <w:bookmarkStart w:id="15" w:name="_Toc235048739"/>
      <w:r>
        <w:t>2.1 Introduction</w:t>
      </w:r>
      <w:bookmarkEnd w:id="15"/>
    </w:p>
    <w:p w14:paraId="6D223F51" w14:textId="77777777" w:rsidR="006D3170" w:rsidRDefault="007F79C8">
      <w:pPr>
        <w:spacing w:after="200" w:line="300" w:lineRule="auto"/>
        <w:jc w:val="both"/>
      </w:pPr>
      <w:r>
        <w:t>Saudi Arabia's Vision 2030 aims to develop the country's economy toward the standards of leading global economies while creating new opportunities for growth that replace oil dependence with diversified, non-oil industries. The event production and event management industry is one of the most visible of these new industries, supplying the staging, technical production, and organizational capability behind Riyadh's festivals, concerts, exhibitions, and conferences.</w:t>
      </w:r>
    </w:p>
    <w:p w14:paraId="55E3FA57" w14:textId="77777777" w:rsidR="006D3170" w:rsidRDefault="007F79C8">
      <w:pPr>
        <w:spacing w:after="200" w:line="300" w:lineRule="auto"/>
        <w:jc w:val="both"/>
      </w:pPr>
      <w:r>
        <w:t>This chapter reviews what researchers, industry reports, and representatives of the Saudi events industry have said about the challenges and opportunities this sector faces, and how these may evolve as the Kingdom works toward its 2030 goals.</w:t>
      </w:r>
    </w:p>
    <w:p w14:paraId="2607B572" w14:textId="77777777" w:rsidR="006D3170" w:rsidRDefault="007F79C8">
      <w:pPr>
        <w:spacing w:after="200" w:line="300" w:lineRule="auto"/>
        <w:jc w:val="both"/>
      </w:pPr>
      <w:r>
        <w:t>One goal of Vision 2030 is to increase the capacity of local event production companies and raise the quality of local production to match international standards. This chapter also discusses how Vision 2030 might change the way event companies operate, adopt new technology, and develop their workforce.</w:t>
      </w:r>
    </w:p>
    <w:p w14:paraId="10C8A817" w14:textId="77777777" w:rsidR="006D3170" w:rsidRDefault="007F79C8">
      <w:pPr>
        <w:pStyle w:val="Heading2"/>
        <w:spacing w:before="240" w:after="160"/>
      </w:pPr>
      <w:bookmarkStart w:id="16" w:name="_Toc235048740"/>
      <w:r>
        <w:t>2.2 Dependent Variable</w:t>
      </w:r>
      <w:bookmarkEnd w:id="16"/>
    </w:p>
    <w:p w14:paraId="7CE52D61" w14:textId="7B98495B" w:rsidR="006D3170" w:rsidRDefault="007F79C8">
      <w:pPr>
        <w:spacing w:after="200" w:line="300" w:lineRule="auto"/>
        <w:jc w:val="both"/>
      </w:pPr>
      <w:r>
        <w:t xml:space="preserve">This section studies the overall performance of the event production and event management industry in Riyadh, Saudi Arabia. The dependent variable captures how Saudi Vision 2030 </w:t>
      </w:r>
      <w:r w:rsidR="00BC0A5C">
        <w:t>affects sector performance, event production quality over time, and sector growth.</w:t>
      </w:r>
    </w:p>
    <w:p w14:paraId="7F0AD6D3" w14:textId="77777777" w:rsidR="006D3170" w:rsidRDefault="007F79C8">
      <w:pPr>
        <w:pStyle w:val="Heading2"/>
        <w:spacing w:before="240" w:after="160"/>
      </w:pPr>
      <w:bookmarkStart w:id="17" w:name="_Toc235048741"/>
      <w:r>
        <w:t>2.3 Independent Variable</w:t>
      </w:r>
      <w:bookmarkEnd w:id="17"/>
    </w:p>
    <w:p w14:paraId="5DE04EC4" w14:textId="77777777" w:rsidR="006D3170" w:rsidRDefault="007F79C8">
      <w:pPr>
        <w:pStyle w:val="Heading3"/>
        <w:spacing w:before="200" w:after="120"/>
      </w:pPr>
      <w:r>
        <w:t>2.3.1 Companies Independent Variable</w:t>
      </w:r>
    </w:p>
    <w:p w14:paraId="013AA79F" w14:textId="77777777" w:rsidR="006D3170" w:rsidRDefault="007F79C8">
      <w:pPr>
        <w:pStyle w:val="ListParagraph"/>
        <w:numPr>
          <w:ilvl w:val="0"/>
          <w:numId w:val="1"/>
        </w:numPr>
        <w:spacing w:after="100"/>
      </w:pPr>
      <w:r>
        <w:t>Production capacity level of event production companies</w:t>
      </w:r>
    </w:p>
    <w:p w14:paraId="423D4040" w14:textId="77777777" w:rsidR="006D3170" w:rsidRDefault="007F79C8">
      <w:pPr>
        <w:pStyle w:val="ListParagraph"/>
        <w:numPr>
          <w:ilvl w:val="0"/>
          <w:numId w:val="1"/>
        </w:numPr>
        <w:spacing w:after="100"/>
      </w:pPr>
      <w:r>
        <w:t>The share of event production companies in Saudi Arabia's market</w:t>
      </w:r>
    </w:p>
    <w:p w14:paraId="42D6A7A6" w14:textId="77777777" w:rsidR="006D3170" w:rsidRDefault="007F79C8">
      <w:pPr>
        <w:pStyle w:val="ListParagraph"/>
        <w:numPr>
          <w:ilvl w:val="0"/>
          <w:numId w:val="1"/>
        </w:numPr>
        <w:spacing w:after="100"/>
      </w:pPr>
      <w:r>
        <w:t>Increase in the number of local event production companies</w:t>
      </w:r>
    </w:p>
    <w:p w14:paraId="3FEA6CC9" w14:textId="77777777" w:rsidR="006D3170" w:rsidRDefault="007F79C8">
      <w:pPr>
        <w:pStyle w:val="ListParagraph"/>
        <w:numPr>
          <w:ilvl w:val="0"/>
          <w:numId w:val="1"/>
        </w:numPr>
        <w:spacing w:after="100"/>
      </w:pPr>
      <w:r>
        <w:t>Revenue growth</w:t>
      </w:r>
    </w:p>
    <w:p w14:paraId="1F5C40ED" w14:textId="77777777" w:rsidR="006D3170" w:rsidRDefault="007F79C8">
      <w:pPr>
        <w:pStyle w:val="ListParagraph"/>
        <w:numPr>
          <w:ilvl w:val="0"/>
          <w:numId w:val="1"/>
        </w:numPr>
        <w:spacing w:after="100"/>
      </w:pPr>
      <w:r>
        <w:t>Innovation and adoption of new technologies</w:t>
      </w:r>
    </w:p>
    <w:p w14:paraId="313378C6" w14:textId="77777777" w:rsidR="006D3170" w:rsidRDefault="007F79C8">
      <w:pPr>
        <w:pStyle w:val="ListParagraph"/>
        <w:numPr>
          <w:ilvl w:val="0"/>
          <w:numId w:val="1"/>
        </w:numPr>
        <w:spacing w:after="100"/>
      </w:pPr>
      <w:r>
        <w:t>Employment rates within the sector</w:t>
      </w:r>
    </w:p>
    <w:p w14:paraId="1EAD1202" w14:textId="77777777" w:rsidR="006D3170" w:rsidRDefault="007F79C8">
      <w:pPr>
        <w:pStyle w:val="ListParagraph"/>
        <w:numPr>
          <w:ilvl w:val="0"/>
          <w:numId w:val="1"/>
        </w:numPr>
        <w:spacing w:after="100"/>
      </w:pPr>
      <w:r>
        <w:t>Quality standards that companies are complying with</w:t>
      </w:r>
    </w:p>
    <w:p w14:paraId="7098948A" w14:textId="77777777" w:rsidR="006D3170" w:rsidRDefault="007F79C8">
      <w:pPr>
        <w:pStyle w:val="ListParagraph"/>
        <w:numPr>
          <w:ilvl w:val="0"/>
          <w:numId w:val="1"/>
        </w:numPr>
        <w:spacing w:after="100"/>
      </w:pPr>
      <w:r>
        <w:t>Replacing oil production growth with the events industry's production growth</w:t>
      </w:r>
    </w:p>
    <w:p w14:paraId="28876CB8" w14:textId="77777777" w:rsidR="006D3170" w:rsidRDefault="007F79C8">
      <w:pPr>
        <w:pStyle w:val="Heading3"/>
        <w:spacing w:before="200" w:after="120"/>
      </w:pPr>
      <w:r>
        <w:t>2.3.2 Events (Projects) Independent Variable</w:t>
      </w:r>
    </w:p>
    <w:p w14:paraId="6E62889C" w14:textId="6A501674" w:rsidR="006D3170" w:rsidRDefault="007F79C8">
      <w:pPr>
        <w:pStyle w:val="ListParagraph"/>
        <w:numPr>
          <w:ilvl w:val="0"/>
          <w:numId w:val="1"/>
        </w:numPr>
        <w:spacing w:after="100"/>
      </w:pPr>
      <w:r>
        <w:t xml:space="preserve">Impact on </w:t>
      </w:r>
      <w:r w:rsidR="00BC0A5C">
        <w:t xml:space="preserve">the </w:t>
      </w:r>
      <w:r>
        <w:t>quality of the event delivered on</w:t>
      </w:r>
      <w:r w:rsidR="00BC0A5C">
        <w:t>-</w:t>
      </w:r>
      <w:r>
        <w:t>site</w:t>
      </w:r>
    </w:p>
    <w:p w14:paraId="551FCA99" w14:textId="77777777" w:rsidR="006D3170" w:rsidRDefault="007F79C8">
      <w:pPr>
        <w:pStyle w:val="ListParagraph"/>
        <w:numPr>
          <w:ilvl w:val="0"/>
          <w:numId w:val="1"/>
        </w:numPr>
        <w:spacing w:after="100"/>
      </w:pPr>
      <w:r>
        <w:t>Impact on event timeline</w:t>
      </w:r>
    </w:p>
    <w:p w14:paraId="3FAC2813" w14:textId="77777777" w:rsidR="006D3170" w:rsidRDefault="007F79C8">
      <w:pPr>
        <w:pStyle w:val="ListParagraph"/>
        <w:numPr>
          <w:ilvl w:val="0"/>
          <w:numId w:val="1"/>
        </w:numPr>
        <w:spacing w:after="100"/>
      </w:pPr>
      <w:r>
        <w:t>Impact on event cost</w:t>
      </w:r>
    </w:p>
    <w:p w14:paraId="4A8A283C" w14:textId="77E66322" w:rsidR="006D3170" w:rsidRDefault="007F79C8">
      <w:pPr>
        <w:pStyle w:val="ListParagraph"/>
        <w:numPr>
          <w:ilvl w:val="0"/>
          <w:numId w:val="1"/>
        </w:numPr>
        <w:spacing w:after="100"/>
      </w:pPr>
      <w:r>
        <w:t>Impact on client</w:t>
      </w:r>
      <w:r w:rsidR="00BC0A5C">
        <w:t>/</w:t>
      </w:r>
      <w:r>
        <w:t>organizer satisfaction</w:t>
      </w:r>
    </w:p>
    <w:p w14:paraId="31365CA4" w14:textId="4A51C2E6" w:rsidR="006D3170" w:rsidRDefault="007F79C8">
      <w:pPr>
        <w:spacing w:after="200" w:line="300" w:lineRule="auto"/>
        <w:jc w:val="both"/>
      </w:pPr>
      <w:r>
        <w:lastRenderedPageBreak/>
        <w:t>By studying these indicators, this research analyzes the influence of Vision 2030</w:t>
      </w:r>
      <w:r w:rsidR="00BC0A5C">
        <w:t>,</w:t>
      </w:r>
      <w:r>
        <w:t xml:space="preserve"> the challenges and opportunities it creates, and </w:t>
      </w:r>
      <w:r w:rsidR="00BC0A5C">
        <w:t>its</w:t>
      </w:r>
      <w:r>
        <w:t xml:space="preserve"> i</w:t>
      </w:r>
      <w:r w:rsidR="00BC0A5C">
        <w:t>mpac</w:t>
      </w:r>
      <w:r>
        <w:t xml:space="preserve">t </w:t>
      </w:r>
      <w:r w:rsidR="00BC0A5C">
        <w:t>on</w:t>
      </w:r>
      <w:r>
        <w:t xml:space="preserve"> the development and success of the event production and event management industry in Riyadh.</w:t>
      </w:r>
    </w:p>
    <w:p w14:paraId="0D8CC710" w14:textId="77777777" w:rsidR="006D3170" w:rsidRDefault="007F79C8">
      <w:pPr>
        <w:pStyle w:val="Heading3"/>
        <w:spacing w:before="200" w:after="120"/>
      </w:pPr>
      <w:r>
        <w:t>2.3.3 Theoretical Grounding</w:t>
      </w:r>
    </w:p>
    <w:p w14:paraId="6CBD6F3A" w14:textId="77777777" w:rsidR="006D3170" w:rsidRDefault="007F79C8">
      <w:pPr>
        <w:spacing w:after="200" w:line="300" w:lineRule="auto"/>
        <w:jc w:val="both"/>
      </w:pPr>
      <w:r>
        <w:t>This study borrows from general economic diversification theory, which holds that countries heavily dependent on a single resource, such as oil, benefit from deliberately growing new, non-resource sectors to reduce the risk of relying on one source of income. Applied to Saudi Arabia, this framing helps explain why the government has chosen to actively support sectors like entertainment and events through direct investment, new regulatory bodies, and flagship programming, rather than simply waiting for the private sector to grow the industry on its own. The event production and event management sector is treated here as one visible test case of this wider diversification strategy at work.</w:t>
      </w:r>
    </w:p>
    <w:p w14:paraId="3A60E9AC" w14:textId="77777777" w:rsidR="006D3170" w:rsidRDefault="007F79C8">
      <w:pPr>
        <w:spacing w:before="120" w:after="240"/>
        <w:jc w:val="center"/>
      </w:pPr>
      <w:r>
        <w:rPr>
          <w:b/>
          <w:bCs/>
          <w:i/>
          <w:iCs/>
          <w:sz w:val="20"/>
          <w:szCs w:val="20"/>
        </w:rPr>
        <w:t>Figure 1: Dependent Variable and Independent Variable on Event Production Companies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6D3170" w14:paraId="5CF64DED" w14:textId="77777777">
        <w:tc>
          <w:tcPr>
            <w:tcW w:w="3008" w:type="dxa"/>
            <w:shd w:val="clear" w:color="auto" w:fill="DCE6F1"/>
            <w:tcMar>
              <w:top w:w="90" w:type="dxa"/>
              <w:left w:w="110" w:type="dxa"/>
              <w:bottom w:w="90" w:type="dxa"/>
              <w:right w:w="110" w:type="dxa"/>
            </w:tcMar>
            <w:vAlign w:val="center"/>
          </w:tcPr>
          <w:p w14:paraId="32F15103" w14:textId="77777777" w:rsidR="006D3170" w:rsidRDefault="007F79C8">
            <w:pPr>
              <w:jc w:val="center"/>
            </w:pPr>
            <w:r>
              <w:rPr>
                <w:b/>
                <w:bCs/>
                <w:sz w:val="18"/>
                <w:szCs w:val="18"/>
              </w:rPr>
              <w:t>What is Vision 2030?</w:t>
            </w:r>
          </w:p>
        </w:tc>
        <w:tc>
          <w:tcPr>
            <w:tcW w:w="3008" w:type="dxa"/>
            <w:shd w:val="clear" w:color="auto" w:fill="DCE6F1"/>
            <w:tcMar>
              <w:top w:w="90" w:type="dxa"/>
              <w:left w:w="110" w:type="dxa"/>
              <w:bottom w:w="90" w:type="dxa"/>
              <w:right w:w="110" w:type="dxa"/>
            </w:tcMar>
            <w:vAlign w:val="center"/>
          </w:tcPr>
          <w:p w14:paraId="6EBDBEA6" w14:textId="77777777" w:rsidR="006D3170" w:rsidRDefault="007F79C8">
            <w:pPr>
              <w:jc w:val="center"/>
            </w:pPr>
            <w:r>
              <w:rPr>
                <w:b/>
                <w:bCs/>
                <w:sz w:val="18"/>
                <w:szCs w:val="18"/>
              </w:rPr>
              <w:t>Dependent Variable</w:t>
            </w:r>
          </w:p>
        </w:tc>
        <w:tc>
          <w:tcPr>
            <w:tcW w:w="3008" w:type="dxa"/>
            <w:shd w:val="clear" w:color="auto" w:fill="DCE6F1"/>
            <w:tcMar>
              <w:top w:w="90" w:type="dxa"/>
              <w:left w:w="110" w:type="dxa"/>
              <w:bottom w:w="90" w:type="dxa"/>
              <w:right w:w="110" w:type="dxa"/>
            </w:tcMar>
            <w:vAlign w:val="center"/>
          </w:tcPr>
          <w:p w14:paraId="0047C8FD" w14:textId="77777777" w:rsidR="006D3170" w:rsidRDefault="007F79C8">
            <w:pPr>
              <w:jc w:val="center"/>
            </w:pPr>
            <w:r>
              <w:rPr>
                <w:b/>
                <w:bCs/>
                <w:sz w:val="18"/>
                <w:szCs w:val="18"/>
              </w:rPr>
              <w:t>Independent Variable (Companies)</w:t>
            </w:r>
          </w:p>
        </w:tc>
      </w:tr>
      <w:tr w:rsidR="006D3170" w14:paraId="699FFC8A" w14:textId="77777777">
        <w:tc>
          <w:tcPr>
            <w:tcW w:w="3008" w:type="dxa"/>
            <w:shd w:val="clear" w:color="auto" w:fill="DCE6F1"/>
            <w:tcMar>
              <w:top w:w="90" w:type="dxa"/>
              <w:left w:w="110" w:type="dxa"/>
              <w:bottom w:w="90" w:type="dxa"/>
              <w:right w:w="110" w:type="dxa"/>
            </w:tcMar>
            <w:vAlign w:val="center"/>
          </w:tcPr>
          <w:p w14:paraId="701869E4" w14:textId="77777777" w:rsidR="006D3170" w:rsidRDefault="007F79C8">
            <w:pPr>
              <w:jc w:val="center"/>
            </w:pPr>
            <w:r>
              <w:rPr>
                <w:b/>
                <w:bCs/>
                <w:sz w:val="18"/>
                <w:szCs w:val="18"/>
              </w:rPr>
              <w:t>A plan by the Saudi government to grow the non-oil economy, promote new technology, and support local industries such as event production.</w:t>
            </w:r>
          </w:p>
        </w:tc>
        <w:tc>
          <w:tcPr>
            <w:tcW w:w="3008" w:type="dxa"/>
            <w:shd w:val="clear" w:color="auto" w:fill="DCE6F1"/>
            <w:tcMar>
              <w:top w:w="90" w:type="dxa"/>
              <w:left w:w="110" w:type="dxa"/>
              <w:bottom w:w="90" w:type="dxa"/>
              <w:right w:w="110" w:type="dxa"/>
            </w:tcMar>
            <w:vAlign w:val="center"/>
          </w:tcPr>
          <w:p w14:paraId="73A35486" w14:textId="77777777" w:rsidR="006D3170" w:rsidRDefault="007F79C8">
            <w:pPr>
              <w:jc w:val="center"/>
            </w:pPr>
            <w:r>
              <w:rPr>
                <w:b/>
                <w:bCs/>
                <w:sz w:val="18"/>
                <w:szCs w:val="18"/>
              </w:rPr>
              <w:t>How Vision 2030 is affecting the event production and event management industry in Riyadh.</w:t>
            </w:r>
          </w:p>
        </w:tc>
        <w:tc>
          <w:tcPr>
            <w:tcW w:w="3008" w:type="dxa"/>
            <w:shd w:val="clear" w:color="auto" w:fill="DCE6F1"/>
            <w:tcMar>
              <w:top w:w="90" w:type="dxa"/>
              <w:left w:w="110" w:type="dxa"/>
              <w:bottom w:w="90" w:type="dxa"/>
              <w:right w:w="110" w:type="dxa"/>
            </w:tcMar>
            <w:vAlign w:val="center"/>
          </w:tcPr>
          <w:p w14:paraId="5BEE8CE4" w14:textId="77777777" w:rsidR="006D3170" w:rsidRDefault="007F79C8">
            <w:pPr>
              <w:jc w:val="center"/>
            </w:pPr>
            <w:r>
              <w:rPr>
                <w:b/>
                <w:bCs/>
                <w:sz w:val="18"/>
                <w:szCs w:val="18"/>
              </w:rPr>
              <w:t>Share of local market, number of local companies, revenue growth, innovation, employment, quality standards, replacing oil growth.</w:t>
            </w:r>
          </w:p>
        </w:tc>
      </w:tr>
    </w:tbl>
    <w:p w14:paraId="39A821AF" w14:textId="77777777" w:rsidR="006D3170" w:rsidRDefault="007F79C8">
      <w:pPr>
        <w:spacing w:before="120" w:after="240"/>
        <w:jc w:val="center"/>
      </w:pPr>
      <w:r>
        <w:rPr>
          <w:b/>
          <w:bCs/>
          <w:i/>
          <w:iCs/>
          <w:sz w:val="20"/>
          <w:szCs w:val="20"/>
        </w:rPr>
        <w:t>Figure 2: Event (Project) Independent Variables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6D3170" w14:paraId="43D87C92" w14:textId="77777777">
        <w:tc>
          <w:tcPr>
            <w:tcW w:w="4513" w:type="dxa"/>
            <w:shd w:val="clear" w:color="auto" w:fill="DCE6F1"/>
            <w:tcMar>
              <w:top w:w="90" w:type="dxa"/>
              <w:left w:w="110" w:type="dxa"/>
              <w:bottom w:w="90" w:type="dxa"/>
              <w:right w:w="110" w:type="dxa"/>
            </w:tcMar>
            <w:vAlign w:val="center"/>
          </w:tcPr>
          <w:p w14:paraId="02211177" w14:textId="77777777" w:rsidR="006D3170" w:rsidRDefault="007F79C8">
            <w:pPr>
              <w:jc w:val="center"/>
            </w:pPr>
            <w:r>
              <w:rPr>
                <w:b/>
                <w:bCs/>
                <w:sz w:val="18"/>
                <w:szCs w:val="18"/>
              </w:rPr>
              <w:t>What is Vision 2030?</w:t>
            </w:r>
          </w:p>
        </w:tc>
        <w:tc>
          <w:tcPr>
            <w:tcW w:w="4513" w:type="dxa"/>
            <w:shd w:val="clear" w:color="auto" w:fill="DCE6F1"/>
            <w:tcMar>
              <w:top w:w="90" w:type="dxa"/>
              <w:left w:w="110" w:type="dxa"/>
              <w:bottom w:w="90" w:type="dxa"/>
              <w:right w:w="110" w:type="dxa"/>
            </w:tcMar>
            <w:vAlign w:val="center"/>
          </w:tcPr>
          <w:p w14:paraId="49A7C25E" w14:textId="77777777" w:rsidR="006D3170" w:rsidRDefault="007F79C8">
            <w:pPr>
              <w:jc w:val="center"/>
            </w:pPr>
            <w:r>
              <w:rPr>
                <w:b/>
                <w:bCs/>
                <w:sz w:val="18"/>
                <w:szCs w:val="18"/>
              </w:rPr>
              <w:t>Independent Variable on Events (Projects)</w:t>
            </w:r>
          </w:p>
        </w:tc>
      </w:tr>
      <w:tr w:rsidR="006D3170" w14:paraId="641AA442" w14:textId="77777777">
        <w:tc>
          <w:tcPr>
            <w:tcW w:w="4513" w:type="dxa"/>
            <w:shd w:val="clear" w:color="auto" w:fill="DCE6F1"/>
            <w:tcMar>
              <w:top w:w="90" w:type="dxa"/>
              <w:left w:w="110" w:type="dxa"/>
              <w:bottom w:w="90" w:type="dxa"/>
              <w:right w:w="110" w:type="dxa"/>
            </w:tcMar>
            <w:vAlign w:val="center"/>
          </w:tcPr>
          <w:p w14:paraId="632FD783" w14:textId="77777777" w:rsidR="006D3170" w:rsidRDefault="007F79C8">
            <w:pPr>
              <w:jc w:val="center"/>
            </w:pPr>
            <w:r>
              <w:rPr>
                <w:b/>
                <w:bCs/>
                <w:sz w:val="18"/>
                <w:szCs w:val="18"/>
              </w:rPr>
              <w:t>A plan by the Saudi government to improve the economy, promote new technology, and support local industries such as event production.</w:t>
            </w:r>
          </w:p>
        </w:tc>
        <w:tc>
          <w:tcPr>
            <w:tcW w:w="4513" w:type="dxa"/>
            <w:shd w:val="clear" w:color="auto" w:fill="DCE6F1"/>
            <w:tcMar>
              <w:top w:w="90" w:type="dxa"/>
              <w:left w:w="110" w:type="dxa"/>
              <w:bottom w:w="90" w:type="dxa"/>
              <w:right w:w="110" w:type="dxa"/>
            </w:tcMar>
            <w:vAlign w:val="center"/>
          </w:tcPr>
          <w:p w14:paraId="3D6B9AB3" w14:textId="77777777" w:rsidR="006D3170" w:rsidRDefault="007F79C8">
            <w:pPr>
              <w:jc w:val="center"/>
            </w:pPr>
            <w:r>
              <w:rPr>
                <w:b/>
                <w:bCs/>
                <w:sz w:val="18"/>
                <w:szCs w:val="18"/>
              </w:rPr>
              <w:t>Impact on Quality | Impact on Event Timeline | Impact on Event Cost | Impact on Client / Organizer Satisfaction</w:t>
            </w:r>
          </w:p>
        </w:tc>
      </w:tr>
    </w:tbl>
    <w:p w14:paraId="6D1C7302" w14:textId="77777777" w:rsidR="006D3170" w:rsidRDefault="007F79C8">
      <w:pPr>
        <w:pStyle w:val="Heading2"/>
        <w:spacing w:before="240" w:after="160"/>
      </w:pPr>
      <w:bookmarkStart w:id="18" w:name="_Toc235048742"/>
      <w:r>
        <w:t>2.4 Scope of the Research</w:t>
      </w:r>
      <w:bookmarkEnd w:id="18"/>
    </w:p>
    <w:p w14:paraId="7774F74E" w14:textId="3DAEBC7C" w:rsidR="006D3170" w:rsidRDefault="007F79C8">
      <w:pPr>
        <w:spacing w:after="200" w:line="300" w:lineRule="auto"/>
        <w:jc w:val="both"/>
      </w:pPr>
      <w:r>
        <w:t>Spatial Domain: This study was applied to event production and event management companies, and to events and projects delivered in the Riyadh region of Saudi Arabia.</w:t>
      </w:r>
    </w:p>
    <w:p w14:paraId="5D40549C" w14:textId="77777777" w:rsidR="006D3170" w:rsidRDefault="007F79C8">
      <w:pPr>
        <w:spacing w:after="200" w:line="300" w:lineRule="auto"/>
        <w:jc w:val="both"/>
      </w:pPr>
      <w:r>
        <w:t>Human Domain: The study was conducted on a random sample of professionals working in event production and event management companies in the Riyadh region.</w:t>
      </w:r>
    </w:p>
    <w:p w14:paraId="07FAC675" w14:textId="77777777" w:rsidR="006D3170" w:rsidRDefault="007F79C8">
      <w:pPr>
        <w:spacing w:after="200" w:line="300" w:lineRule="auto"/>
        <w:jc w:val="both"/>
      </w:pPr>
      <w:r>
        <w:t>Temporal Domain: The study was carried out from January to August 2026.</w:t>
      </w:r>
    </w:p>
    <w:p w14:paraId="3A9C2B8E" w14:textId="77777777" w:rsidR="006D3170" w:rsidRDefault="007F79C8">
      <w:pPr>
        <w:spacing w:after="200" w:line="300" w:lineRule="auto"/>
        <w:jc w:val="both"/>
      </w:pPr>
      <w:r>
        <w:t>Thematic Domain: This study focused on the impact of Saudi Vision 2030 on the event production and event management sector in the Riyadh region.</w:t>
      </w:r>
    </w:p>
    <w:p w14:paraId="143FB125" w14:textId="77777777" w:rsidR="006D3170" w:rsidRDefault="007F79C8">
      <w:pPr>
        <w:spacing w:before="120" w:after="240"/>
        <w:jc w:val="center"/>
      </w:pPr>
      <w:r>
        <w:rPr>
          <w:b/>
          <w:bCs/>
          <w:i/>
          <w:iCs/>
          <w:sz w:val="20"/>
          <w:szCs w:val="20"/>
        </w:rPr>
        <w:t>Figure 3: Scope of the Research</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6D3170" w14:paraId="3349D501" w14:textId="77777777">
        <w:tc>
          <w:tcPr>
            <w:tcW w:w="2256" w:type="dxa"/>
            <w:shd w:val="clear" w:color="auto" w:fill="DCE6F1"/>
            <w:tcMar>
              <w:top w:w="90" w:type="dxa"/>
              <w:left w:w="110" w:type="dxa"/>
              <w:bottom w:w="90" w:type="dxa"/>
              <w:right w:w="110" w:type="dxa"/>
            </w:tcMar>
            <w:vAlign w:val="center"/>
          </w:tcPr>
          <w:p w14:paraId="6A7B81A6" w14:textId="77777777" w:rsidR="006D3170" w:rsidRDefault="007F79C8">
            <w:pPr>
              <w:jc w:val="center"/>
            </w:pPr>
            <w:r>
              <w:rPr>
                <w:b/>
                <w:bCs/>
                <w:sz w:val="18"/>
                <w:szCs w:val="18"/>
              </w:rPr>
              <w:t>Spatial Domain</w:t>
            </w:r>
          </w:p>
        </w:tc>
        <w:tc>
          <w:tcPr>
            <w:tcW w:w="2256" w:type="dxa"/>
            <w:shd w:val="clear" w:color="auto" w:fill="DCE6F1"/>
            <w:tcMar>
              <w:top w:w="90" w:type="dxa"/>
              <w:left w:w="110" w:type="dxa"/>
              <w:bottom w:w="90" w:type="dxa"/>
              <w:right w:w="110" w:type="dxa"/>
            </w:tcMar>
            <w:vAlign w:val="center"/>
          </w:tcPr>
          <w:p w14:paraId="1F29B9C3" w14:textId="77777777" w:rsidR="006D3170" w:rsidRDefault="007F79C8">
            <w:pPr>
              <w:jc w:val="center"/>
            </w:pPr>
            <w:r>
              <w:rPr>
                <w:b/>
                <w:bCs/>
                <w:sz w:val="18"/>
                <w:szCs w:val="18"/>
              </w:rPr>
              <w:t>Human Domain</w:t>
            </w:r>
          </w:p>
        </w:tc>
        <w:tc>
          <w:tcPr>
            <w:tcW w:w="2256" w:type="dxa"/>
            <w:shd w:val="clear" w:color="auto" w:fill="DCE6F1"/>
            <w:tcMar>
              <w:top w:w="90" w:type="dxa"/>
              <w:left w:w="110" w:type="dxa"/>
              <w:bottom w:w="90" w:type="dxa"/>
              <w:right w:w="110" w:type="dxa"/>
            </w:tcMar>
            <w:vAlign w:val="center"/>
          </w:tcPr>
          <w:p w14:paraId="1EC83C5E" w14:textId="77777777" w:rsidR="006D3170" w:rsidRDefault="007F79C8">
            <w:pPr>
              <w:jc w:val="center"/>
            </w:pPr>
            <w:r>
              <w:rPr>
                <w:b/>
                <w:bCs/>
                <w:sz w:val="18"/>
                <w:szCs w:val="18"/>
              </w:rPr>
              <w:t>Temporal Domain</w:t>
            </w:r>
          </w:p>
        </w:tc>
        <w:tc>
          <w:tcPr>
            <w:tcW w:w="2256" w:type="dxa"/>
            <w:shd w:val="clear" w:color="auto" w:fill="DCE6F1"/>
            <w:tcMar>
              <w:top w:w="90" w:type="dxa"/>
              <w:left w:w="110" w:type="dxa"/>
              <w:bottom w:w="90" w:type="dxa"/>
              <w:right w:w="110" w:type="dxa"/>
            </w:tcMar>
            <w:vAlign w:val="center"/>
          </w:tcPr>
          <w:p w14:paraId="02C0A36A" w14:textId="77777777" w:rsidR="006D3170" w:rsidRDefault="007F79C8">
            <w:pPr>
              <w:jc w:val="center"/>
            </w:pPr>
            <w:r>
              <w:rPr>
                <w:b/>
                <w:bCs/>
                <w:sz w:val="18"/>
                <w:szCs w:val="18"/>
              </w:rPr>
              <w:t>Thematic Domain</w:t>
            </w:r>
          </w:p>
        </w:tc>
      </w:tr>
    </w:tbl>
    <w:p w14:paraId="105CFCE2" w14:textId="77777777" w:rsidR="002F7D4A" w:rsidRDefault="002F7D4A">
      <w:pPr>
        <w:pStyle w:val="Heading2"/>
        <w:spacing w:before="240" w:after="160"/>
        <w:rPr>
          <w:rtl/>
        </w:rPr>
      </w:pPr>
    </w:p>
    <w:p w14:paraId="327D4362" w14:textId="687CA1ED" w:rsidR="006D3170" w:rsidRDefault="007F79C8">
      <w:pPr>
        <w:pStyle w:val="Heading2"/>
        <w:spacing w:before="240" w:after="160"/>
      </w:pPr>
      <w:bookmarkStart w:id="19" w:name="_Toc235048743"/>
      <w:r>
        <w:lastRenderedPageBreak/>
        <w:t>2.5 Summary of Past Studies</w:t>
      </w:r>
      <w:bookmarkEnd w:id="19"/>
    </w:p>
    <w:p w14:paraId="0A8EE40A" w14:textId="77777777" w:rsidR="006D3170" w:rsidRDefault="007F79C8">
      <w:pPr>
        <w:pStyle w:val="Heading3"/>
        <w:spacing w:before="200" w:after="120"/>
      </w:pPr>
      <w:r>
        <w:t>2.5.1 English Version</w:t>
      </w:r>
    </w:p>
    <w:p w14:paraId="26CF1A84" w14:textId="77777777" w:rsidR="006D3170" w:rsidRDefault="007F79C8">
      <w:pPr>
        <w:spacing w:before="160" w:after="120"/>
      </w:pPr>
      <w:r>
        <w:rPr>
          <w:b/>
          <w:bCs/>
        </w:rPr>
        <w:t>2.5.1.1 Saudi Arabia Event Management Market Size</w:t>
      </w:r>
    </w:p>
    <w:p w14:paraId="72390D58" w14:textId="706BA1BC" w:rsidR="006D3170" w:rsidRDefault="007F79C8">
      <w:pPr>
        <w:spacing w:after="200" w:line="300" w:lineRule="auto"/>
        <w:jc w:val="both"/>
      </w:pPr>
      <w:r>
        <w:t>Saudi Arabia's event management market was worth about 2 billion US dollars in 2024 (IMARC Group, 2026). By the early 2030s</w:t>
      </w:r>
      <w:r w:rsidR="001648C4">
        <w:t>,</w:t>
      </w:r>
      <w:r>
        <w:t xml:space="preserve"> the market is expected to more than double, growing at around 7</w:t>
      </w:r>
      <w:r w:rsidR="001648C4">
        <w:t>-</w:t>
      </w:r>
      <w:r>
        <w:t xml:space="preserve">8 percent </w:t>
      </w:r>
      <w:r w:rsidR="001648C4">
        <w:t>annually</w:t>
      </w:r>
      <w:r>
        <w:t xml:space="preserve"> (IMARC Group, 2026). Corporate events, such as conferences and product launches, make up the largest part of this market, mainly because more international and local companies are opening offices in the Kingdom as part of Vision 2030 (MarkNtel Advisors, 2025). Exhibitions and conferences are growing the fastest, since some trade shows that used to be held in Dubai are now being held in Riyadh instead (Mordor Intelligence, 2026).</w:t>
      </w:r>
      <w:r w:rsidR="001648C4">
        <w:t xml:space="preserve"> </w:t>
      </w:r>
      <w:r>
        <w:t>More recent estimates place the value of Saudi Arabia's business</w:t>
      </w:r>
      <w:r w:rsidR="001648C4">
        <w:t xml:space="preserve"> </w:t>
      </w:r>
      <w:r>
        <w:t>events (MICE) segment specifically at around 3 billion US dollars in 2025, with forecasts pointing toward a market of more than 5 billion US dollars by the early 2030s, growing at close to 10 percent a year (Ken Research, 2026; Mordor Intelligence, 2026). Within this segment, ticket and registration fees are the fastest-growing revenue line</w:t>
      </w:r>
      <w:r w:rsidR="001648C4">
        <w:t>. At</w:t>
      </w:r>
      <w:r>
        <w:t xml:space="preserve"> </w:t>
      </w:r>
      <w:r w:rsidR="001648C4">
        <w:t>the same time,</w:t>
      </w:r>
      <w:r>
        <w:t xml:space="preserve"> accommodation remains the single largest cost and revenue component, reflecting how closely the events sector is tied to hotel and hospitality investment (Ken Research, 2026). Riyadh, Jeddah, and Dammam are consistently identified as the three cities driving this growth, with Riyadh acting as the primary hub because </w:t>
      </w:r>
      <w:r w:rsidR="001648C4">
        <w:t>it</w:t>
      </w:r>
      <w:r>
        <w:t xml:space="preserve"> </w:t>
      </w:r>
      <w:r w:rsidR="001648C4">
        <w:t>concentrates</w:t>
      </w:r>
      <w:r>
        <w:t xml:space="preserve"> government offices, purpose-built venues such as the Riyadh Front Exhibition and Conference Cent</w:t>
      </w:r>
      <w:r w:rsidR="001648C4">
        <w:t>er</w:t>
      </w:r>
      <w:r>
        <w:t>, and the headquarters of multinational companies relocating under the Kingdom's regional-headquarters program (Ken Research, 2026; Vision2030.ai, 2026).</w:t>
      </w:r>
    </w:p>
    <w:p w14:paraId="11C1EF8B" w14:textId="77777777" w:rsidR="006D3170" w:rsidRDefault="006D3170">
      <w:pPr>
        <w:spacing w:after="200" w:line="300" w:lineRule="auto"/>
        <w:jc w:val="both"/>
      </w:pPr>
    </w:p>
    <w:p w14:paraId="580F63AA" w14:textId="77777777" w:rsidR="006D3170" w:rsidRDefault="007F79C8">
      <w:pPr>
        <w:spacing w:after="200" w:line="300" w:lineRule="auto"/>
        <w:jc w:val="both"/>
      </w:pPr>
      <w:r>
        <w:t>Ticket sales are still the biggest source of income for event companies, but sponsorship money is growing quickly too, as brands want to reach young Saudi consumers (PS Market Research, 2026). Riyadh and the central region bring in the largest share of event revenue in the country, because most government offices, company headquarters, and large venues are based there (Mordor Intelligence, 2026).</w:t>
      </w:r>
    </w:p>
    <w:p w14:paraId="616F4520" w14:textId="77777777" w:rsidR="006D3170" w:rsidRDefault="007F79C8">
      <w:pPr>
        <w:spacing w:before="160" w:after="120"/>
      </w:pPr>
      <w:r>
        <w:rPr>
          <w:b/>
          <w:bCs/>
          <w:sz w:val="21"/>
          <w:szCs w:val="21"/>
        </w:rPr>
        <w:t>2.5.1.1.1 Riyadh Season and Major Events</w:t>
      </w:r>
    </w:p>
    <w:p w14:paraId="04BBCAB3" w14:textId="768A673C" w:rsidR="006D3170" w:rsidRDefault="007F79C8">
      <w:pPr>
        <w:spacing w:after="200" w:line="300" w:lineRule="auto"/>
        <w:jc w:val="both"/>
      </w:pPr>
      <w:r>
        <w:t xml:space="preserve">Riyadh Season started in 2019 and is run by the General Entertainment Authority. It is the clearest example of what Vision 2030 </w:t>
      </w:r>
      <w:r w:rsidR="001648C4">
        <w:t>aims to achieve in entertainment, and it has attracted more than 10</w:t>
      </w:r>
      <w:r>
        <w:t xml:space="preserve"> million visitors in recent years (General Entertainment Authority, 2025). The festival includes concerts, cultural areas, sports, and family attractions spread across several purpose-built zones in the city. Because the festival is so large, it created demand for staging, sound, lighting, hospitality, and safety services that barely existed in Saudi Arabia ten years ago.</w:t>
      </w:r>
      <w:r w:rsidR="001648C4">
        <w:t xml:space="preserve"> </w:t>
      </w:r>
      <w:r>
        <w:t xml:space="preserve">A 2025 report from the General Entertainment Authority puts this growth in sharper focus: across all entertainment activity in the Kingdom, not only Riyadh Season, the sector attracted more than 89 million visitors in a single year, hosting 1,690 separate events across a combined 75,661 event days, with 6,778 companies participating in some part of the sector's activity (General Entertainment Authority, 2025, as cited in Arab News, 2026). Industry commentators describe this scale of activity as evidence that </w:t>
      </w:r>
      <w:r>
        <w:lastRenderedPageBreak/>
        <w:t>entertainment has moved from being treated as a lifestyle add-on to being managed as a core economic pillar, with one regional strategy consultant noting that the sector now drives investment and tourism while working toward an official target of creating 450,000 jobs by 2030 (Arab News, 2026).</w:t>
      </w:r>
    </w:p>
    <w:p w14:paraId="335BE1FC" w14:textId="77777777" w:rsidR="006D3170" w:rsidRDefault="006D3170">
      <w:pPr>
        <w:spacing w:after="200" w:line="300" w:lineRule="auto"/>
        <w:jc w:val="both"/>
      </w:pPr>
    </w:p>
    <w:p w14:paraId="66F959C9" w14:textId="673C9F6D" w:rsidR="006D3170" w:rsidRDefault="007F79C8">
      <w:pPr>
        <w:spacing w:after="200" w:line="300" w:lineRule="auto"/>
        <w:jc w:val="both"/>
      </w:pPr>
      <w:r>
        <w:t>Apart from Riyadh Season, Saudi Arabia has also become one of the fastest</w:t>
      </w:r>
      <w:r w:rsidR="001648C4">
        <w:t>-</w:t>
      </w:r>
      <w:r>
        <w:t xml:space="preserve">growing G20 </w:t>
      </w:r>
      <w:r w:rsidR="001648C4">
        <w:t xml:space="preserve">countries </w:t>
      </w:r>
      <w:r>
        <w:t>for business events (MarkNtel Advisors, 2025). In recent year</w:t>
      </w:r>
      <w:r w:rsidR="001648C4">
        <w:t>s,</w:t>
      </w:r>
      <w:r>
        <w:t xml:space="preserve"> the Kingdom hosted a record number of business events, and several international event companies opened offices in Riyadh for the first time (Ken Research, 2026).</w:t>
      </w:r>
    </w:p>
    <w:p w14:paraId="06F65AAD" w14:textId="77777777" w:rsidR="006D3170" w:rsidRDefault="007F79C8">
      <w:pPr>
        <w:spacing w:before="160" w:after="120"/>
      </w:pPr>
      <w:r>
        <w:rPr>
          <w:b/>
          <w:bCs/>
          <w:sz w:val="21"/>
          <w:szCs w:val="21"/>
        </w:rPr>
        <w:t>2.5.1.1.2 Technology Used in Event Production</w:t>
      </w:r>
    </w:p>
    <w:p w14:paraId="34014C7B" w14:textId="77777777" w:rsidR="006D3170" w:rsidRDefault="007F79C8">
      <w:pPr>
        <w:spacing w:after="200" w:line="300" w:lineRule="auto"/>
        <w:jc w:val="both"/>
      </w:pPr>
      <w:r>
        <w:t>Event companies in Saudi Arabia are starting to use artificial intelligence to personalize the experience for attendees, to predict how many tickets will sell, and to set ticket prices (PS Market Research, 2026). Production companies are also using better sound, lighting, and crowd management technology for large events. On top of this, the General Entertainment Authority made it faster for foreign event companies to open a branch in Saudi Arabia, which has helped the local industry grow and become more professional (Vision2030.ai, 2026).</w:t>
      </w:r>
    </w:p>
    <w:p w14:paraId="30DFD5EA" w14:textId="77777777" w:rsidR="006D3170" w:rsidRDefault="007F79C8">
      <w:pPr>
        <w:spacing w:before="160" w:after="120"/>
      </w:pPr>
      <w:r>
        <w:rPr>
          <w:b/>
          <w:bCs/>
          <w:sz w:val="21"/>
          <w:szCs w:val="21"/>
        </w:rPr>
        <w:t>2.5.1.1.3 Summary of the Study</w:t>
      </w:r>
    </w:p>
    <w:p w14:paraId="161E3393" w14:textId="77777777" w:rsidR="006D3170" w:rsidRDefault="007F79C8">
      <w:pPr>
        <w:spacing w:after="200" w:line="300" w:lineRule="auto"/>
        <w:jc w:val="both"/>
      </w:pPr>
      <w:r>
        <w:t>This part of the literature gives a general picture of the Saudi Arabia event management market, including which types of events are growing fastest, where most of the money comes from, and what is driving the growth of the sector on the way to 2030.</w:t>
      </w:r>
    </w:p>
    <w:p w14:paraId="1FAD3F68" w14:textId="77777777" w:rsidR="006D3170" w:rsidRDefault="007F79C8">
      <w:pPr>
        <w:spacing w:before="160" w:after="120"/>
      </w:pPr>
      <w:r>
        <w:rPr>
          <w:b/>
          <w:bCs/>
          <w:sz w:val="21"/>
          <w:szCs w:val="21"/>
        </w:rPr>
        <w:t>2.5.1.1.4 Market Segmentation and Leading Venues</w:t>
      </w:r>
    </w:p>
    <w:p w14:paraId="54664AAD" w14:textId="5B206EA8" w:rsidR="006D3170" w:rsidRDefault="007F79C8">
      <w:pPr>
        <w:spacing w:after="200" w:line="300" w:lineRule="auto"/>
        <w:jc w:val="both"/>
        <w:rPr>
          <w:rtl/>
        </w:rPr>
      </w:pPr>
      <w:r>
        <w:t>Beyond overall market size, industry reporting breaks the Saudi events and business</w:t>
      </w:r>
      <w:r w:rsidR="001648C4">
        <w:t xml:space="preserve"> </w:t>
      </w:r>
      <w:r>
        <w:t>events market down by venue type and service line. The Riyadh Front Exhibition and Conference Cent</w:t>
      </w:r>
      <w:r w:rsidR="001648C4">
        <w:t>er</w:t>
      </w:r>
      <w:r>
        <w:t>, the conference facilities within the King Abdullah Financial District, and the Riyadh International Convention and Exhibition Cent</w:t>
      </w:r>
      <w:r w:rsidR="001648C4">
        <w:t>er</w:t>
      </w:r>
      <w:r>
        <w:t xml:space="preserve"> are consistently named among the primary venues anchoring large-scale conferences and exhibitions, alongside hotel-based venues such as Hilton Riyadh and Four Seasons Riyadh, both of which have reported double-digit growth in corporate meeting bookings in recent years (Ken Research, 2026). On the organi</w:t>
      </w:r>
      <w:r w:rsidR="001648C4">
        <w:t>z</w:t>
      </w:r>
      <w:r>
        <w:t>er side, the market remains fragmented rather than dominated by one or two players, with local and international companies - including Sela, Benchmark Events, and a growing number of joint ventures between global exhibition houses and Saudi partners - competing for exhibition, conference, and government-sector contracts (Ken Research, 2026; Setup in Saudi</w:t>
      </w:r>
      <w:r w:rsidR="001648C4">
        <w:t xml:space="preserve"> Arabia</w:t>
      </w:r>
      <w:r>
        <w:t>, 2026). This fragmented but fast-growing structure is one reason this study treats the increase in the number of local event production companies as a variable worth measuring in its own right (Section 2.3.1), rather than assuming the market is already consolidated around a small number of dominant firms.</w:t>
      </w:r>
    </w:p>
    <w:p w14:paraId="680903C8" w14:textId="77777777" w:rsidR="002F7D4A" w:rsidRDefault="002F7D4A">
      <w:pPr>
        <w:spacing w:after="200" w:line="300" w:lineRule="auto"/>
        <w:jc w:val="both"/>
        <w:rPr>
          <w:rtl/>
        </w:rPr>
      </w:pPr>
    </w:p>
    <w:p w14:paraId="32E3913C" w14:textId="77777777" w:rsidR="002F7D4A" w:rsidRDefault="002F7D4A">
      <w:pPr>
        <w:spacing w:after="200" w:line="300" w:lineRule="auto"/>
        <w:jc w:val="both"/>
      </w:pPr>
    </w:p>
    <w:p w14:paraId="734BBD24" w14:textId="77777777" w:rsidR="006D3170" w:rsidRDefault="007F79C8">
      <w:pPr>
        <w:spacing w:before="160" w:after="120"/>
      </w:pPr>
      <w:r>
        <w:rPr>
          <w:b/>
          <w:bCs/>
        </w:rPr>
        <w:lastRenderedPageBreak/>
        <w:t>2.5.1.2 Vision 2030 and the Wider Push to Diversify the Economy</w:t>
      </w:r>
    </w:p>
    <w:p w14:paraId="3BA3F64E" w14:textId="4A3169E4" w:rsidR="006D3170" w:rsidRDefault="007F79C8">
      <w:pPr>
        <w:spacing w:after="200" w:line="300" w:lineRule="auto"/>
        <w:jc w:val="both"/>
      </w:pPr>
      <w:r>
        <w:t>Saudi Arabia is changing its economy in a big way. For a long time</w:t>
      </w:r>
      <w:r w:rsidR="001648C4">
        <w:t>,</w:t>
      </w:r>
      <w:r>
        <w:t xml:space="preserve"> oil and gas were almost the </w:t>
      </w:r>
      <w:r w:rsidR="001648C4">
        <w:t xml:space="preserve">country's </w:t>
      </w:r>
      <w:r>
        <w:t xml:space="preserve">only source of </w:t>
      </w:r>
      <w:r w:rsidR="001648C4">
        <w:t>revenue</w:t>
      </w:r>
      <w:r>
        <w:t xml:space="preserve">. Now the government is building new industries that do not depend on oil, and entertainment and events are one of the industries </w:t>
      </w:r>
      <w:r w:rsidR="001648C4">
        <w:t xml:space="preserve">where </w:t>
      </w:r>
      <w:r>
        <w:t>people can see and feel the most.</w:t>
      </w:r>
    </w:p>
    <w:p w14:paraId="1C2CDB4A" w14:textId="77777777" w:rsidR="006D3170" w:rsidRDefault="007F79C8">
      <w:pPr>
        <w:pStyle w:val="Heading3"/>
        <w:spacing w:before="200" w:after="120"/>
      </w:pPr>
      <w:r>
        <w:t>2.5.1.2.1 New Venues and Giga-Projects</w:t>
      </w:r>
    </w:p>
    <w:p w14:paraId="7FE56E43" w14:textId="4B972E62" w:rsidR="006D3170" w:rsidRDefault="007F79C8">
      <w:pPr>
        <w:spacing w:after="200" w:line="300" w:lineRule="auto"/>
        <w:jc w:val="both"/>
      </w:pPr>
      <w:r>
        <w:t xml:space="preserve">This change is being supported by </w:t>
      </w:r>
      <w:r w:rsidR="001648C4">
        <w:t>substantial</w:t>
      </w:r>
      <w:r>
        <w:t xml:space="preserve"> </w:t>
      </w:r>
      <w:r w:rsidR="001648C4">
        <w:t>funding</w:t>
      </w:r>
      <w:r>
        <w:t xml:space="preserve"> </w:t>
      </w:r>
      <w:r w:rsidR="001648C4">
        <w:t>for</w:t>
      </w:r>
      <w:r>
        <w:t xml:space="preserve"> new arenas, stadiums, and entertainment </w:t>
      </w:r>
      <w:r w:rsidR="001648C4">
        <w:t>venue</w:t>
      </w:r>
      <w:r>
        <w:t>s. Giga-projects like Qiddiya are being built from the start with event venues included. The government has reportedly spent more than 2 billion US dollars on entertainment infrastructure since the General Entertainment Authority was created in 2016 (General Entertainment Authority, 2025).</w:t>
      </w:r>
      <w:r w:rsidR="001648C4">
        <w:t xml:space="preserve"> </w:t>
      </w:r>
      <w:r>
        <w:t>This spending has recently been reinforced by a dedicated financing vehicle: the Events Investment Fund (EIF), launched in January 2023, which is intended to channel up to 7.5 billion US dollars of foreign direct investment into Saudi entertainment infrastructure by 2045, with a particular focus on enlarging venue capacity in Riyadh, Jeddah, and the Taif region (AHK Saudi Arabia, 2026). Alongside the Fund, giga-projects positioned partly around events and leisure - including Qiddiya, an entertainment city being built south-west of Riyadh, and the wider Riyadh Boulevard development - are designed from the outset to include permanent, purpose-built event venues rather than the temporary staging structures that dominated the market before 2016 (Vision2030.ai, 2026).</w:t>
      </w:r>
    </w:p>
    <w:p w14:paraId="1FC3EC04" w14:textId="77777777" w:rsidR="006D3170" w:rsidRDefault="006D3170">
      <w:pPr>
        <w:spacing w:after="200" w:line="300" w:lineRule="auto"/>
        <w:jc w:val="both"/>
      </w:pPr>
    </w:p>
    <w:p w14:paraId="3A4209AE" w14:textId="77777777" w:rsidR="006D3170" w:rsidRDefault="007F79C8">
      <w:pPr>
        <w:pStyle w:val="Heading3"/>
        <w:spacing w:before="200" w:after="120"/>
      </w:pPr>
      <w:r>
        <w:t>2.5.1.2.2 Jobs and Saudi Talent</w:t>
      </w:r>
    </w:p>
    <w:p w14:paraId="127A22D8" w14:textId="31435AA3" w:rsidR="006D3170" w:rsidRDefault="007F79C8">
      <w:pPr>
        <w:spacing w:after="200" w:line="300" w:lineRule="auto"/>
        <w:jc w:val="both"/>
        <w:rPr>
          <w:rtl/>
        </w:rPr>
      </w:pPr>
      <w:r>
        <w:t xml:space="preserve">Jobs in the entertainment sector in Riyadh have grown quickly and are expected to keep growing until 2030. This is giving young Saudis new career paths in event management, hospitality, and technical production (Trivandi, 2026). More Saudi professionals are now getting international certificates in exhibition and event management, which shows the country is trying to build local expertise rather than only bring in foreign staff (Custom Market Insights, 2026).Despite this progress, industry analysis published in 2026 cautions that the pace of infrastructure delivery is currently running ahead of the pace of workforce development, and that the Kingdom faces a narrowing window to close this gap before major commitments such as Expo 2030 and the FIFA World Cup 2034 create simultaneous, time-bound demand for skilled production and event-delivery professionals (Trivandi, 2026). The same analysis argues that closing this gap requires industry-aligned academies and applied, hands-on training built around what </w:t>
      </w:r>
      <w:r w:rsidR="001648C4">
        <w:t xml:space="preserve">on-site </w:t>
      </w:r>
      <w:r>
        <w:t xml:space="preserve">event production actually requires, rather than training built solely </w:t>
      </w:r>
      <w:r w:rsidR="001648C4">
        <w:t>on</w:t>
      </w:r>
      <w:r>
        <w:t xml:space="preserve"> conventional academic curricula (Trivandi, 2026). This observation is consistent with the talent-shortage challenge identified in the Problem Statement (Section 1.2)</w:t>
      </w:r>
      <w:r w:rsidR="001648C4">
        <w:t>.</w:t>
      </w:r>
      <w:r>
        <w:t xml:space="preserve"> </w:t>
      </w:r>
      <w:r w:rsidR="001648C4">
        <w:t>It</w:t>
      </w:r>
      <w:r>
        <w:t xml:space="preserve"> is measured directly by the questionnaire items on Employment Rates within the Sector (Section 4.2, Company Perspectives - Part 5).</w:t>
      </w:r>
    </w:p>
    <w:p w14:paraId="539BCB33" w14:textId="77777777" w:rsidR="002F7D4A" w:rsidRDefault="002F7D4A">
      <w:pPr>
        <w:spacing w:after="200" w:line="300" w:lineRule="auto"/>
        <w:jc w:val="both"/>
        <w:rPr>
          <w:rtl/>
        </w:rPr>
      </w:pPr>
    </w:p>
    <w:p w14:paraId="1C8044AB" w14:textId="77777777" w:rsidR="002F7D4A" w:rsidRDefault="002F7D4A">
      <w:pPr>
        <w:spacing w:after="200" w:line="300" w:lineRule="auto"/>
        <w:jc w:val="both"/>
      </w:pPr>
    </w:p>
    <w:p w14:paraId="729768A5" w14:textId="77777777" w:rsidR="006D3170" w:rsidRDefault="006D3170">
      <w:pPr>
        <w:spacing w:after="200" w:line="300" w:lineRule="auto"/>
        <w:jc w:val="both"/>
      </w:pPr>
    </w:p>
    <w:p w14:paraId="35967A47" w14:textId="77777777" w:rsidR="006D3170" w:rsidRDefault="007F79C8">
      <w:pPr>
        <w:pStyle w:val="Heading3"/>
        <w:spacing w:before="200" w:after="120"/>
      </w:pPr>
      <w:r>
        <w:t>2.5.1.2.3 Summary of Saudi Arabia's Events Sector Growth Under Vision 2030</w:t>
      </w:r>
    </w:p>
    <w:p w14:paraId="68DDC4B1" w14:textId="1E8A82CB" w:rsidR="006D3170" w:rsidRDefault="007F79C8">
      <w:pPr>
        <w:spacing w:after="200" w:line="300" w:lineRule="auto"/>
        <w:jc w:val="both"/>
      </w:pPr>
      <w:r>
        <w:t>Saudi Arabia is trying to diversify its economy by building new entertainment and events infrastructure in Riyadh and other cities. Large investment</w:t>
      </w:r>
      <w:r w:rsidR="001648C4">
        <w:t>s</w:t>
      </w:r>
      <w:r>
        <w:t xml:space="preserve">, programs like Riyadh Season, and a growing number of international business events are turning the Kingdom into a regional hub for events, tourism, and entertainment, </w:t>
      </w:r>
      <w:r w:rsidR="001648C4">
        <w:t>aligning</w:t>
      </w:r>
      <w:r>
        <w:t xml:space="preserve"> with the wider goals of Vision 2030.</w:t>
      </w:r>
    </w:p>
    <w:p w14:paraId="1ECF9E68" w14:textId="77777777" w:rsidR="006D3170" w:rsidRDefault="007F79C8">
      <w:pPr>
        <w:pStyle w:val="Heading3"/>
        <w:spacing w:before="200" w:after="120"/>
      </w:pPr>
      <w:r>
        <w:t>2.5.2 Arabic Research</w:t>
      </w:r>
    </w:p>
    <w:p w14:paraId="1DFCC909" w14:textId="77777777" w:rsidR="006D3170" w:rsidRDefault="007F79C8">
      <w:pPr>
        <w:spacing w:before="160" w:after="120"/>
      </w:pPr>
      <w:r>
        <w:rPr>
          <w:b/>
          <w:bCs/>
        </w:rPr>
        <w:t>2.5.2.1 Developing the Entertainment and Events Sector Under Vision 2030</w:t>
      </w:r>
    </w:p>
    <w:p w14:paraId="05B91C2A" w14:textId="6C21D226" w:rsidR="006D3170" w:rsidRDefault="007F79C8">
      <w:pPr>
        <w:spacing w:after="200" w:line="300" w:lineRule="auto"/>
        <w:jc w:val="both"/>
      </w:pPr>
      <w:r>
        <w:t xml:space="preserve">Writing in Arabic about Vision 2030 also points out that the Kingdom is trying to reduce how much it depends on oil money by growing sectors such as entertainment, tourism, and culture. The main points usually mentioned are: </w:t>
      </w:r>
      <w:r w:rsidR="001648C4">
        <w:t>simplifying licensing for entertainment and event businesses, building new venues and economic cities, helping small and medium-sized event companies secure</w:t>
      </w:r>
      <w:r>
        <w:t xml:space="preserve"> financing, and encouraging foreign companies to invest in leisure and hospitality (General Entertainment Authority, 2025).</w:t>
      </w:r>
    </w:p>
    <w:p w14:paraId="297A2C15" w14:textId="37EAE554" w:rsidR="006D3170" w:rsidRDefault="007F79C8">
      <w:pPr>
        <w:spacing w:after="200" w:line="300" w:lineRule="auto"/>
        <w:jc w:val="both"/>
      </w:pPr>
      <w:r>
        <w:t xml:space="preserve">At the same time, this writing also points out some ongoing problems: government procedures can still be complicated and slow, different government departments do not always coordinate well on licensing and safety approval, and there is a need for </w:t>
      </w:r>
      <w:r w:rsidR="001648C4">
        <w:t>a</w:t>
      </w:r>
      <w:r>
        <w:t xml:space="preserve"> simple digital platform where event organizers can register, get permits, and follow up on approvals in one place (Setup in Saudi</w:t>
      </w:r>
      <w:r w:rsidR="001648C4">
        <w:t xml:space="preserve"> Arabia</w:t>
      </w:r>
      <w:r>
        <w:t>, 2026).</w:t>
      </w:r>
      <w:r w:rsidR="001648C4">
        <w:t xml:space="preserve"> </w:t>
      </w:r>
      <w:r>
        <w:t>This concern is echoed in more recent English-language coverage of the regulatory landscape, which lists a substantial set of authorities that an event business may need to engage with in the Kingdom, including the General Entertainment Authority, the Saudi Conventions and Exhibitions General Authority, and the Ministry of Investment, depending on the type and scale of the event (Setup in Saudi</w:t>
      </w:r>
      <w:r w:rsidR="001648C4">
        <w:t xml:space="preserve"> Arabia</w:t>
      </w:r>
      <w:r>
        <w:t>, 2026). While each authority has a clearly defined role, having several separate touch-points for licensing, safety approval, and investment facilitation supports the observation, raised repeatedly in the Arabic-language commentary reviewed here, that coordination between departments remains an area for improvement even as individual licensing steps have become faster.</w:t>
      </w:r>
    </w:p>
    <w:p w14:paraId="4EF9FDA4" w14:textId="77777777" w:rsidR="006D3170" w:rsidRDefault="006D3170">
      <w:pPr>
        <w:spacing w:after="200" w:line="300" w:lineRule="auto"/>
        <w:jc w:val="both"/>
      </w:pPr>
    </w:p>
    <w:p w14:paraId="67845883" w14:textId="77777777" w:rsidR="006D3170" w:rsidRDefault="007F79C8">
      <w:pPr>
        <w:spacing w:before="160" w:after="120"/>
      </w:pPr>
      <w:r>
        <w:rPr>
          <w:b/>
          <w:bCs/>
          <w:sz w:val="21"/>
          <w:szCs w:val="21"/>
        </w:rPr>
        <w:t>2.5.2.1.1 Summary of the Study</w:t>
      </w:r>
    </w:p>
    <w:p w14:paraId="5B4494EC" w14:textId="2A4001FC" w:rsidR="006D3170" w:rsidRDefault="007F79C8">
      <w:pPr>
        <w:spacing w:after="200" w:line="300" w:lineRule="auto"/>
        <w:jc w:val="both"/>
      </w:pPr>
      <w:r>
        <w:t xml:space="preserve">Saudi Arabia is working to grow its entertainment and events sector as part of Vision 2030. The Kingdom is </w:t>
      </w:r>
      <w:r w:rsidR="001648C4">
        <w:t>simplifying licensing, building venues and economic zones, and supporting small and medium-sized event businesses, while still working on coordination</w:t>
      </w:r>
      <w:r>
        <w:t xml:space="preserve"> and regulatory issues that affect how quickly companies can grow.</w:t>
      </w:r>
    </w:p>
    <w:p w14:paraId="7111FAD2" w14:textId="77777777" w:rsidR="006D3170" w:rsidRDefault="007F79C8">
      <w:pPr>
        <w:spacing w:before="160" w:after="120"/>
      </w:pPr>
      <w:r>
        <w:rPr>
          <w:b/>
          <w:bCs/>
        </w:rPr>
        <w:t>2.5.2.2 Local Content and Financing for Small and Medium Event Companies</w:t>
      </w:r>
    </w:p>
    <w:p w14:paraId="59D0495E" w14:textId="7800BE48" w:rsidR="006D3170" w:rsidRDefault="007F79C8">
      <w:pPr>
        <w:spacing w:after="200" w:line="300" w:lineRule="auto"/>
        <w:jc w:val="both"/>
      </w:pPr>
      <w:r>
        <w:t>A recurring theme in Arabic-language commentary on the sector is the position of small and medium-sized event companies relative to larger, better-capitali</w:t>
      </w:r>
      <w:r w:rsidR="001648C4">
        <w:t>z</w:t>
      </w:r>
      <w:r>
        <w:t xml:space="preserve">ed competitors. This commentary generally argues that simplified licensing alone is </w:t>
      </w:r>
      <w:r w:rsidR="001648C4">
        <w:t>in</w:t>
      </w:r>
      <w:r>
        <w:t xml:space="preserve">sufficient to </w:t>
      </w:r>
      <w:r w:rsidR="001648C4">
        <w:t>increase</w:t>
      </w:r>
      <w:r>
        <w:t xml:space="preserve"> the number of sustainable local companies, and that access to financing, mentorship, and predictable payment terms from large event </w:t>
      </w:r>
      <w:r>
        <w:lastRenderedPageBreak/>
        <w:t>organi</w:t>
      </w:r>
      <w:r w:rsidR="001648C4">
        <w:t>z</w:t>
      </w:r>
      <w:r>
        <w:t>ers matters just as much as regulatory reform (General Entertainment Authority, 2025). This point is directly relevant to the Company Perspectives section of this study's questionnaire (Section 2.3.1), which measures not only whether the number of local companies has grown, but also whether that growth has translated into revenue growth, employment, and improved quality standards, rather than growth in name only.</w:t>
      </w:r>
    </w:p>
    <w:p w14:paraId="269B7763" w14:textId="77777777" w:rsidR="006D3170" w:rsidRDefault="007F79C8">
      <w:pPr>
        <w:spacing w:before="160" w:after="120"/>
      </w:pPr>
      <w:r>
        <w:rPr>
          <w:b/>
          <w:bCs/>
        </w:rPr>
        <w:t>2.5.3 Business Events and the MICE Segment</w:t>
      </w:r>
    </w:p>
    <w:p w14:paraId="353FDB72" w14:textId="26534C15" w:rsidR="006D3170" w:rsidRDefault="007F79C8">
      <w:pPr>
        <w:spacing w:after="200" w:line="300" w:lineRule="auto"/>
        <w:jc w:val="both"/>
      </w:pPr>
      <w:r>
        <w:t>Beyond festivals like Riyadh Season, a large part of the growth in the Saudi events sector is coming from business events - conferences, exhibitions, and corporate meetings, often grouped under the term MICE (Meetings, Incentives, Conferences, and Exhibitions). Saudi Arabia has become one of the fastest</w:t>
      </w:r>
      <w:r w:rsidR="001648C4">
        <w:t>-</w:t>
      </w:r>
      <w:r>
        <w:t>growing business event markets among the G20 countries. In one recent year</w:t>
      </w:r>
      <w:r w:rsidR="001648C4">
        <w:t>,</w:t>
      </w:r>
      <w:r>
        <w:t xml:space="preserve"> the Kingdom hosted more than 17,000 business events, an all-time high for the region</w:t>
      </w:r>
      <w:r w:rsidR="001648C4">
        <w:t>, according to industry commentators</w:t>
      </w:r>
      <w:r>
        <w:t>.</w:t>
      </w:r>
    </w:p>
    <w:p w14:paraId="6DD26D04" w14:textId="18990FCC" w:rsidR="006D3170" w:rsidRDefault="007F79C8">
      <w:pPr>
        <w:spacing w:after="200" w:line="300" w:lineRule="auto"/>
        <w:jc w:val="both"/>
      </w:pPr>
      <w:r>
        <w:t>Large technology and business conferences such as LEAP have brought together hundreds of startups and thousands of international visitors in a single event. Cybersecurity events such as Black Hat MEA and investment conferences such as the Future Investment Initiative have also grown quickly. Corporate localization rules are pushing multinational companies to hold more of their internal meetings, training sessions, and shareholder events inside the Kingdom rather than abroad, which is adding steady demand for local event management companies beyond the seasonal festival calendar.</w:t>
      </w:r>
    </w:p>
    <w:p w14:paraId="3CAD3308" w14:textId="77777777" w:rsidR="006D3170" w:rsidRDefault="007F79C8">
      <w:pPr>
        <w:spacing w:after="200" w:line="300" w:lineRule="auto"/>
        <w:jc w:val="both"/>
      </w:pPr>
      <w:r>
        <w:t>Joint ventures between international and local companies are becoming more common in this part of the market. For example, a joint venture between a global exhibitions company and local partners has been active in Saudi Arabia since 2023, combining international event management experience with local market knowledge. Partnerships like this are one way that international expertise is being transferred into the local industry.</w:t>
      </w:r>
    </w:p>
    <w:p w14:paraId="5B8B880E" w14:textId="77777777" w:rsidR="006D3170" w:rsidRDefault="007F79C8">
      <w:pPr>
        <w:spacing w:before="160" w:after="120"/>
      </w:pPr>
      <w:r>
        <w:rPr>
          <w:b/>
          <w:bCs/>
        </w:rPr>
        <w:t>2.5.4 Virtual and Hybrid Events</w:t>
      </w:r>
    </w:p>
    <w:p w14:paraId="12EF6C3D" w14:textId="79E88C39" w:rsidR="006D3170" w:rsidRDefault="007F79C8">
      <w:pPr>
        <w:spacing w:after="200" w:line="300" w:lineRule="auto"/>
        <w:jc w:val="both"/>
      </w:pPr>
      <w:r>
        <w:t>Alongside physical events, the market for virtual and hybrid events is also growing in Saudi Arabia</w:t>
      </w:r>
      <w:r w:rsidR="001648C4">
        <w:t>.</w:t>
      </w:r>
      <w:r>
        <w:t xml:space="preserve"> </w:t>
      </w:r>
      <w:r w:rsidR="001648C4">
        <w:t>However,</w:t>
      </w:r>
      <w:r>
        <w:t xml:space="preserve"> it is still a small part of the overall market compared to in-person events. Some conferences now combine an in-person audience with an online component, so people who cannot travel to Riyadh can still take part. A high internet penetration rate and a large number of active social media users in the Kingdom make this kind of format easier to run successfully. Event companies that can offer both in-person and virtual options are likely to have an advantage as more clients ask for hybrid formats.</w:t>
      </w:r>
    </w:p>
    <w:p w14:paraId="061809E6" w14:textId="77777777" w:rsidR="006D3170" w:rsidRDefault="007F79C8">
      <w:pPr>
        <w:spacing w:before="160" w:after="120"/>
      </w:pPr>
      <w:r>
        <w:rPr>
          <w:b/>
          <w:bCs/>
        </w:rPr>
        <w:t>2.5.5 Competitive Landscape and Recent Developments</w:t>
      </w:r>
    </w:p>
    <w:p w14:paraId="634076B2" w14:textId="77777777" w:rsidR="006D3170" w:rsidRDefault="007F79C8">
      <w:pPr>
        <w:spacing w:after="200" w:line="300" w:lineRule="auto"/>
        <w:jc w:val="both"/>
      </w:pPr>
      <w:r>
        <w:t>The event management market in Saudi Arabia is still fragmented, meaning no single company controls a very large share of it. This creates room for both new local companies and international firms to enter and specialize. Some recent developments that show how the market is changing include:</w:t>
      </w:r>
    </w:p>
    <w:p w14:paraId="3B168912" w14:textId="77777777" w:rsidR="006D3170" w:rsidRDefault="007F79C8">
      <w:pPr>
        <w:pStyle w:val="ListParagraph"/>
        <w:numPr>
          <w:ilvl w:val="0"/>
          <w:numId w:val="1"/>
        </w:numPr>
        <w:spacing w:after="100"/>
      </w:pPr>
      <w:r>
        <w:t>The General Entertainment Authority launched services for event businesses through the Saudi Business Center, making it easier and faster to get licenses.</w:t>
      </w:r>
    </w:p>
    <w:p w14:paraId="6A953B6C" w14:textId="77777777" w:rsidR="006D3170" w:rsidRDefault="007F79C8">
      <w:pPr>
        <w:pStyle w:val="ListParagraph"/>
        <w:numPr>
          <w:ilvl w:val="0"/>
          <w:numId w:val="1"/>
        </w:numPr>
        <w:spacing w:after="100"/>
      </w:pPr>
      <w:r>
        <w:lastRenderedPageBreak/>
        <w:t>Local and international event agencies have formed partnerships to combine local knowledge with global event management experience.</w:t>
      </w:r>
    </w:p>
    <w:p w14:paraId="7A158DCD" w14:textId="77777777" w:rsidR="006D3170" w:rsidRDefault="007F79C8">
      <w:pPr>
        <w:pStyle w:val="ListParagraph"/>
        <w:numPr>
          <w:ilvl w:val="0"/>
          <w:numId w:val="1"/>
        </w:numPr>
        <w:spacing w:after="100"/>
      </w:pPr>
      <w:r>
        <w:t>International exhibition organizers have opened offices in the Kingdom and taken part in global trade shows to promote Saudi Arabia as a destination for future events.</w:t>
      </w:r>
    </w:p>
    <w:p w14:paraId="27EDDD12" w14:textId="4B6C1710" w:rsidR="006D3170" w:rsidRDefault="007F79C8">
      <w:pPr>
        <w:pStyle w:val="ListParagraph"/>
        <w:numPr>
          <w:ilvl w:val="0"/>
          <w:numId w:val="1"/>
        </w:numPr>
        <w:spacing w:after="100"/>
      </w:pPr>
      <w:r>
        <w:t xml:space="preserve">New arenas and stadiums, including venues built for major concerts, sports, and awards shows, have increased </w:t>
      </w:r>
      <w:r w:rsidR="001648C4">
        <w:t>the</w:t>
      </w:r>
      <w:r>
        <w:t xml:space="preserve"> </w:t>
      </w:r>
      <w:r w:rsidR="001648C4">
        <w:t>number of</w:t>
      </w:r>
      <w:r>
        <w:t xml:space="preserve"> large events the country can host at the same time.</w:t>
      </w:r>
    </w:p>
    <w:p w14:paraId="6B46CF15" w14:textId="77777777" w:rsidR="006D3170" w:rsidRDefault="007F79C8">
      <w:pPr>
        <w:spacing w:after="200" w:line="300" w:lineRule="auto"/>
        <w:jc w:val="both"/>
      </w:pPr>
      <w:r>
        <w:t>Taken together, these examples show a market that is still forming its final shape, where local event production and event management companies have a real chance to grow quickly if they can keep up with rising quality expectations and fast-changing rules.</w:t>
      </w:r>
    </w:p>
    <w:p w14:paraId="168346C7" w14:textId="77777777" w:rsidR="006D3170" w:rsidRDefault="007F79C8">
      <w:pPr>
        <w:spacing w:before="160" w:after="120"/>
      </w:pPr>
      <w:r>
        <w:rPr>
          <w:b/>
          <w:bCs/>
        </w:rPr>
        <w:t>2.5.6 Implications for This Study</w:t>
      </w:r>
    </w:p>
    <w:p w14:paraId="453EF438" w14:textId="77777777" w:rsidR="006D3170" w:rsidRDefault="007F79C8">
      <w:pPr>
        <w:spacing w:after="200" w:line="300" w:lineRule="auto"/>
        <w:jc w:val="both"/>
      </w:pPr>
      <w:r>
        <w:t>The literature reviewed above suggests that Vision 2030 is affecting the event production and event management sector in Riyadh through several overlapping channels: direct investment in venues and giga-projects, regulatory reform through the General Entertainment Authority, growth in both entertainment and business events, rising use of event technology, and a deliberate push toward Saudization and local content. These themes directly informed the choice of independent variables used in this study (Section 2.3) and the wording of the research hypotheses in Chapter 1. The next chapter explains how this study measured these themes empirically through a structured questionnaire distributed to professionals working across eight leading event production and event management companies in Riyadh.</w:t>
      </w:r>
    </w:p>
    <w:p w14:paraId="476F3BD2" w14:textId="77777777" w:rsidR="00CA57EE" w:rsidRDefault="00CA57EE" w:rsidP="00CA57EE">
      <w:pPr>
        <w:tabs>
          <w:tab w:val="left" w:pos="5407"/>
        </w:tabs>
        <w:bidi/>
      </w:pPr>
    </w:p>
    <w:p w14:paraId="4A66A7B3" w14:textId="77777777" w:rsidR="00CA57EE" w:rsidRDefault="00CA57EE" w:rsidP="00CA57EE">
      <w:pPr>
        <w:tabs>
          <w:tab w:val="left" w:pos="5407"/>
        </w:tabs>
        <w:bidi/>
      </w:pPr>
    </w:p>
    <w:p w14:paraId="2A7C4061" w14:textId="77777777" w:rsidR="00CA57EE" w:rsidRDefault="00CA57EE" w:rsidP="00CA57EE">
      <w:pPr>
        <w:tabs>
          <w:tab w:val="left" w:pos="5407"/>
        </w:tabs>
        <w:bidi/>
      </w:pPr>
    </w:p>
    <w:p w14:paraId="5B076D7F" w14:textId="77777777" w:rsidR="00CA57EE" w:rsidRDefault="00CA57EE" w:rsidP="00CA57EE">
      <w:pPr>
        <w:tabs>
          <w:tab w:val="left" w:pos="5407"/>
        </w:tabs>
        <w:bidi/>
      </w:pPr>
    </w:p>
    <w:p w14:paraId="7BFB7224" w14:textId="77777777" w:rsidR="00CA57EE" w:rsidRDefault="00CA57EE" w:rsidP="00CA57EE">
      <w:pPr>
        <w:tabs>
          <w:tab w:val="left" w:pos="5407"/>
        </w:tabs>
        <w:bidi/>
      </w:pPr>
    </w:p>
    <w:p w14:paraId="3252B1D2" w14:textId="1A9E4C4C" w:rsidR="00CA57EE" w:rsidRDefault="00CA57EE" w:rsidP="00CA57EE">
      <w:pPr>
        <w:tabs>
          <w:tab w:val="left" w:pos="5407"/>
        </w:tabs>
        <w:bidi/>
      </w:pPr>
      <w:r>
        <w:rPr>
          <w:noProof/>
        </w:rPr>
        <w:lastRenderedPageBreak/>
        <w:drawing>
          <wp:anchor distT="0" distB="0" distL="114300" distR="114300" simplePos="0" relativeHeight="251661312" behindDoc="0" locked="0" layoutInCell="1" allowOverlap="1" wp14:anchorId="1707433A" wp14:editId="204508F9">
            <wp:simplePos x="0" y="0"/>
            <wp:positionH relativeFrom="column">
              <wp:posOffset>-395605</wp:posOffset>
            </wp:positionH>
            <wp:positionV relativeFrom="paragraph">
              <wp:posOffset>173990</wp:posOffset>
            </wp:positionV>
            <wp:extent cx="6540500" cy="3679825"/>
            <wp:effectExtent l="0" t="0" r="0" b="3175"/>
            <wp:wrapTopAndBottom/>
            <wp:docPr id="1837649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49859" name="Picture 183764985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0500" cy="3679825"/>
                    </a:xfrm>
                    <a:prstGeom prst="rect">
                      <a:avLst/>
                    </a:prstGeom>
                  </pic:spPr>
                </pic:pic>
              </a:graphicData>
            </a:graphic>
            <wp14:sizeRelH relativeFrom="margin">
              <wp14:pctWidth>0</wp14:pctWidth>
            </wp14:sizeRelH>
            <wp14:sizeRelV relativeFrom="margin">
              <wp14:pctHeight>0</wp14:pctHeight>
            </wp14:sizeRelV>
          </wp:anchor>
        </w:drawing>
      </w:r>
    </w:p>
    <w:p w14:paraId="23A7DB60" w14:textId="1A7F243F" w:rsidR="00CA57EE" w:rsidRPr="0081796B" w:rsidRDefault="00CA57EE" w:rsidP="00CA57EE">
      <w:pPr>
        <w:tabs>
          <w:tab w:val="left" w:pos="5407"/>
        </w:tabs>
        <w:bidi/>
      </w:pPr>
    </w:p>
    <w:sectPr w:rsidR="00CA57EE" w:rsidRPr="0081796B" w:rsidSect="00A814F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E8D980" w14:textId="77777777" w:rsidR="009254A3" w:rsidRDefault="009254A3">
      <w:r>
        <w:separator/>
      </w:r>
    </w:p>
  </w:endnote>
  <w:endnote w:type="continuationSeparator" w:id="0">
    <w:p w14:paraId="6ABAD25F" w14:textId="77777777" w:rsidR="009254A3" w:rsidRDefault="0092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55091235"/>
      <w:docPartObj>
        <w:docPartGallery w:val="Page Numbers (Bottom of Page)"/>
        <w:docPartUnique/>
      </w:docPartObj>
    </w:sdtPr>
    <w:sdtContent>
      <w:p w14:paraId="2E32AE45" w14:textId="64087A74" w:rsidR="00EC166D" w:rsidRDefault="00EC166D" w:rsidP="007F79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7774346" w14:textId="77777777" w:rsidR="00EC166D" w:rsidRDefault="00EC16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93269074"/>
      <w:docPartObj>
        <w:docPartGallery w:val="Page Numbers (Bottom of Page)"/>
        <w:docPartUnique/>
      </w:docPartObj>
    </w:sdtPr>
    <w:sdtContent>
      <w:p w14:paraId="00402012" w14:textId="2F98A3EF" w:rsidR="00EC166D" w:rsidRDefault="00EC166D" w:rsidP="007F79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sdtContent>
  </w:sdt>
  <w:p w14:paraId="6C8710DB" w14:textId="235147E7" w:rsidR="006D3170" w:rsidRDefault="006D3170">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73D0A9" w14:textId="77777777" w:rsidR="00EC166D" w:rsidRDefault="00EC1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6E6EC4B" w14:textId="77777777" w:rsidR="009254A3" w:rsidRDefault="009254A3">
      <w:r>
        <w:separator/>
      </w:r>
    </w:p>
  </w:footnote>
  <w:footnote w:type="continuationSeparator" w:id="0">
    <w:p w14:paraId="1C5F22DF" w14:textId="77777777" w:rsidR="009254A3" w:rsidRDefault="00925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05ACB5" w14:textId="77777777" w:rsidR="00EC166D" w:rsidRDefault="00EC16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409BC9" w14:textId="77777777" w:rsidR="006D3170" w:rsidRDefault="007F79C8">
    <w:pPr>
      <w:jc w:val="right"/>
    </w:pPr>
    <w:r>
      <w:rPr>
        <w:i/>
        <w:iCs/>
        <w:color w:val="808080"/>
        <w:sz w:val="16"/>
        <w:szCs w:val="16"/>
      </w:rPr>
      <w:t>The Impact of Saudi Vision 2030 on Event Production and Event Management in Riyadh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AD06B0" w14:textId="77777777" w:rsidR="00EC166D" w:rsidRDefault="00EC16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F97930"/>
    <w:multiLevelType w:val="hybridMultilevel"/>
    <w:tmpl w:val="0C7418E0"/>
    <w:lvl w:ilvl="0" w:tplc="9858E026">
      <w:start w:val="1"/>
      <w:numFmt w:val="bullet"/>
      <w:lvlText w:val="●"/>
      <w:lvlJc w:val="left"/>
      <w:pPr>
        <w:ind w:left="720" w:hanging="360"/>
      </w:pPr>
    </w:lvl>
    <w:lvl w:ilvl="1" w:tplc="8D9402AE">
      <w:start w:val="1"/>
      <w:numFmt w:val="bullet"/>
      <w:lvlText w:val="○"/>
      <w:lvlJc w:val="left"/>
      <w:pPr>
        <w:ind w:left="1440" w:hanging="360"/>
      </w:pPr>
    </w:lvl>
    <w:lvl w:ilvl="2" w:tplc="1820DE10">
      <w:start w:val="1"/>
      <w:numFmt w:val="bullet"/>
      <w:lvlText w:val="■"/>
      <w:lvlJc w:val="left"/>
      <w:pPr>
        <w:ind w:left="2160" w:hanging="360"/>
      </w:pPr>
    </w:lvl>
    <w:lvl w:ilvl="3" w:tplc="849248D2">
      <w:start w:val="1"/>
      <w:numFmt w:val="bullet"/>
      <w:lvlText w:val="●"/>
      <w:lvlJc w:val="left"/>
      <w:pPr>
        <w:ind w:left="2880" w:hanging="360"/>
      </w:pPr>
    </w:lvl>
    <w:lvl w:ilvl="4" w:tplc="340E481E">
      <w:start w:val="1"/>
      <w:numFmt w:val="bullet"/>
      <w:lvlText w:val="○"/>
      <w:lvlJc w:val="left"/>
      <w:pPr>
        <w:ind w:left="3600" w:hanging="360"/>
      </w:pPr>
    </w:lvl>
    <w:lvl w:ilvl="5" w:tplc="F4B68AB2">
      <w:start w:val="1"/>
      <w:numFmt w:val="bullet"/>
      <w:lvlText w:val="■"/>
      <w:lvlJc w:val="left"/>
      <w:pPr>
        <w:ind w:left="4320" w:hanging="360"/>
      </w:pPr>
    </w:lvl>
    <w:lvl w:ilvl="6" w:tplc="3A38EB62">
      <w:start w:val="1"/>
      <w:numFmt w:val="bullet"/>
      <w:lvlText w:val="●"/>
      <w:lvlJc w:val="left"/>
      <w:pPr>
        <w:ind w:left="5040" w:hanging="360"/>
      </w:pPr>
    </w:lvl>
    <w:lvl w:ilvl="7" w:tplc="B2F05514">
      <w:start w:val="1"/>
      <w:numFmt w:val="bullet"/>
      <w:lvlText w:val="●"/>
      <w:lvlJc w:val="left"/>
      <w:pPr>
        <w:ind w:left="5760" w:hanging="360"/>
      </w:pPr>
    </w:lvl>
    <w:lvl w:ilvl="8" w:tplc="757463E6">
      <w:start w:val="1"/>
      <w:numFmt w:val="bullet"/>
      <w:lvlText w:val="●"/>
      <w:lvlJc w:val="left"/>
      <w:pPr>
        <w:ind w:left="6480" w:hanging="360"/>
      </w:pPr>
    </w:lvl>
  </w:abstractNum>
  <w:num w:numId="1" w16cid:durableId="4607652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170"/>
    <w:rsid w:val="001648C4"/>
    <w:rsid w:val="001C0EEF"/>
    <w:rsid w:val="001C20D9"/>
    <w:rsid w:val="00203953"/>
    <w:rsid w:val="00267A9A"/>
    <w:rsid w:val="002F7D4A"/>
    <w:rsid w:val="0041342D"/>
    <w:rsid w:val="00414DC2"/>
    <w:rsid w:val="0042378D"/>
    <w:rsid w:val="00431BAC"/>
    <w:rsid w:val="006C5DC8"/>
    <w:rsid w:val="006D3170"/>
    <w:rsid w:val="007C7268"/>
    <w:rsid w:val="007E3FA2"/>
    <w:rsid w:val="007F79C8"/>
    <w:rsid w:val="0081796B"/>
    <w:rsid w:val="008C0E47"/>
    <w:rsid w:val="009228FC"/>
    <w:rsid w:val="009254A3"/>
    <w:rsid w:val="00975A87"/>
    <w:rsid w:val="00A814FC"/>
    <w:rsid w:val="00AD6CA0"/>
    <w:rsid w:val="00B43B3A"/>
    <w:rsid w:val="00BC0A5C"/>
    <w:rsid w:val="00C86ADF"/>
    <w:rsid w:val="00CA57EE"/>
    <w:rsid w:val="00CD47F9"/>
    <w:rsid w:val="00E1282C"/>
    <w:rsid w:val="00EC166D"/>
    <w:rsid w:val="00F27F3C"/>
    <w:rsid w:val="00F80EDE"/>
    <w:rsid w:val="00FB21A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AB2A"/>
  <w15:docId w15:val="{03511D8F-0422-0F48-8CA2-825560741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240"/>
      <w:outlineLvl w:val="0"/>
    </w:pPr>
    <w:rPr>
      <w:b/>
      <w:bCs/>
      <w:color w:val="1F4E79"/>
      <w:sz w:val="32"/>
      <w:szCs w:val="32"/>
    </w:rPr>
  </w:style>
  <w:style w:type="paragraph" w:styleId="Heading2">
    <w:name w:val="heading 2"/>
    <w:uiPriority w:val="9"/>
    <w:unhideWhenUsed/>
    <w:qFormat/>
    <w:pPr>
      <w:outlineLvl w:val="1"/>
    </w:pPr>
    <w:rPr>
      <w:b/>
      <w:bCs/>
      <w:color w:val="2E74B5"/>
      <w:sz w:val="26"/>
      <w:szCs w:val="26"/>
    </w:rPr>
  </w:style>
  <w:style w:type="paragraph" w:styleId="Heading3">
    <w:name w:val="heading 3"/>
    <w:uiPriority w:val="9"/>
    <w:unhideWhenUsed/>
    <w:qFormat/>
    <w:pPr>
      <w:outlineLvl w:val="2"/>
    </w:pPr>
    <w:rPr>
      <w:b/>
      <w:bCs/>
      <w:color w:val="2E74B5"/>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2">
    <w:name w:val="toc 2"/>
    <w:basedOn w:val="Normal"/>
    <w:next w:val="Normal"/>
    <w:autoRedefine/>
    <w:uiPriority w:val="39"/>
    <w:unhideWhenUsed/>
    <w:rsid w:val="00EC166D"/>
    <w:pPr>
      <w:spacing w:after="100"/>
      <w:ind w:left="220"/>
    </w:pPr>
  </w:style>
  <w:style w:type="paragraph" w:styleId="TOC1">
    <w:name w:val="toc 1"/>
    <w:basedOn w:val="Normal"/>
    <w:next w:val="Normal"/>
    <w:autoRedefine/>
    <w:uiPriority w:val="39"/>
    <w:unhideWhenUsed/>
    <w:rsid w:val="00EC166D"/>
    <w:pPr>
      <w:spacing w:after="100"/>
    </w:pPr>
  </w:style>
  <w:style w:type="paragraph" w:styleId="Header">
    <w:name w:val="header"/>
    <w:basedOn w:val="Normal"/>
    <w:link w:val="HeaderChar"/>
    <w:uiPriority w:val="99"/>
    <w:unhideWhenUsed/>
    <w:rsid w:val="00EC166D"/>
    <w:pPr>
      <w:tabs>
        <w:tab w:val="center" w:pos="4680"/>
        <w:tab w:val="right" w:pos="9360"/>
      </w:tabs>
    </w:pPr>
  </w:style>
  <w:style w:type="character" w:customStyle="1" w:styleId="HeaderChar">
    <w:name w:val="Header Char"/>
    <w:basedOn w:val="DefaultParagraphFont"/>
    <w:link w:val="Header"/>
    <w:uiPriority w:val="99"/>
    <w:rsid w:val="00EC166D"/>
  </w:style>
  <w:style w:type="paragraph" w:styleId="Footer">
    <w:name w:val="footer"/>
    <w:basedOn w:val="Normal"/>
    <w:link w:val="FooterChar"/>
    <w:uiPriority w:val="99"/>
    <w:unhideWhenUsed/>
    <w:rsid w:val="00EC166D"/>
    <w:pPr>
      <w:tabs>
        <w:tab w:val="center" w:pos="4680"/>
        <w:tab w:val="right" w:pos="9360"/>
      </w:tabs>
    </w:pPr>
  </w:style>
  <w:style w:type="character" w:customStyle="1" w:styleId="FooterChar">
    <w:name w:val="Footer Char"/>
    <w:basedOn w:val="DefaultParagraphFont"/>
    <w:link w:val="Footer"/>
    <w:uiPriority w:val="99"/>
    <w:rsid w:val="00EC166D"/>
  </w:style>
  <w:style w:type="character" w:styleId="PageNumber">
    <w:name w:val="page number"/>
    <w:basedOn w:val="DefaultParagraphFont"/>
    <w:uiPriority w:val="99"/>
    <w:semiHidden/>
    <w:unhideWhenUsed/>
    <w:rsid w:val="00EC166D"/>
  </w:style>
  <w:style w:type="character" w:styleId="UnresolvedMention">
    <w:name w:val="Unresolved Mention"/>
    <w:basedOn w:val="DefaultParagraphFont"/>
    <w:uiPriority w:val="99"/>
    <w:semiHidden/>
    <w:unhideWhenUsed/>
    <w:rsid w:val="00975A87"/>
    <w:rPr>
      <w:color w:val="605E5C"/>
      <w:shd w:val="clear" w:color="auto" w:fill="E1DFDD"/>
    </w:rPr>
  </w:style>
  <w:style w:type="paragraph" w:customStyle="1" w:styleId="font-claude-response-body">
    <w:name w:val="font-claude-response-body"/>
    <w:basedOn w:val="Normal"/>
    <w:rsid w:val="0081796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179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D19FF-60F4-0449-8ADD-9EECA29B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19</Pages>
  <Words>5462</Words>
  <Characters>31138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Mosab Shaban</cp:lastModifiedBy>
  <cp:revision>8</cp:revision>
  <cp:lastPrinted>2026-07-11T17:50:00Z</cp:lastPrinted>
  <dcterms:created xsi:type="dcterms:W3CDTF">2026-07-11T17:50:00Z</dcterms:created>
  <dcterms:modified xsi:type="dcterms:W3CDTF">2026-07-15T19:59:00Z</dcterms:modified>
</cp:coreProperties>
</file>