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EBEA41" w14:textId="7AF1CCD7" w:rsidR="003F03C9" w:rsidRDefault="0014091B">
      <w:pPr>
        <w:pBdr>
          <w:top w:val="nil"/>
          <w:left w:val="nil"/>
          <w:bottom w:val="nil"/>
          <w:right w:val="nil"/>
          <w:between w:val="nil"/>
        </w:pBdr>
        <w:spacing w:after="240" w:line="275" w:lineRule="auto"/>
        <w:rPr>
          <w:color w:val="000000"/>
        </w:rPr>
      </w:pPr>
      <w:r w:rsidRPr="00AA559B">
        <w:rPr>
          <w:noProof/>
        </w:rPr>
        <w:drawing>
          <wp:anchor distT="0" distB="0" distL="114300" distR="114300" simplePos="0" relativeHeight="251659264" behindDoc="1" locked="0" layoutInCell="1" allowOverlap="1" wp14:anchorId="294C5330" wp14:editId="5A86DBEA">
            <wp:simplePos x="0" y="0"/>
            <wp:positionH relativeFrom="column">
              <wp:posOffset>1614115</wp:posOffset>
            </wp:positionH>
            <wp:positionV relativeFrom="paragraph">
              <wp:posOffset>-866692</wp:posOffset>
            </wp:positionV>
            <wp:extent cx="2938272" cy="2938272"/>
            <wp:effectExtent l="0" t="0" r="0" b="0"/>
            <wp:wrapNone/>
            <wp:docPr id="1" name="Picture 1" descr="D:\Midocean University\Logo and templates 2-2025\logo-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docean University\Logo and templates 2-2025\logo-midocean.pn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938272" cy="2938272"/>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7EF093E" w14:textId="77777777" w:rsidR="0014091B" w:rsidRDefault="0014091B" w:rsidP="008D7557">
      <w:pPr>
        <w:pStyle w:val="NormalWeb"/>
        <w:jc w:val="center"/>
        <w:rPr>
          <w:rFonts w:asciiTheme="majorHAnsi" w:hAnsiTheme="majorHAnsi" w:cstheme="majorHAnsi"/>
          <w:b/>
          <w:bCs/>
          <w:sz w:val="48"/>
          <w:szCs w:val="48"/>
        </w:rPr>
      </w:pPr>
    </w:p>
    <w:p w14:paraId="2CF45340" w14:textId="77777777" w:rsidR="00932989" w:rsidRDefault="00932989" w:rsidP="00A46AC9">
      <w:pPr>
        <w:pStyle w:val="NormalWeb"/>
        <w:jc w:val="center"/>
        <w:rPr>
          <w:rFonts w:asciiTheme="majorHAnsi" w:hAnsiTheme="majorHAnsi" w:cstheme="majorHAnsi"/>
          <w:b/>
          <w:bCs/>
          <w:sz w:val="48"/>
          <w:szCs w:val="48"/>
        </w:rPr>
      </w:pPr>
    </w:p>
    <w:p w14:paraId="59E705E0" w14:textId="45FD9971" w:rsidR="00A46AC9" w:rsidRPr="00A46AC9" w:rsidRDefault="00A46AC9" w:rsidP="00A46AC9">
      <w:pPr>
        <w:pStyle w:val="NormalWeb"/>
        <w:jc w:val="center"/>
        <w:rPr>
          <w:rFonts w:asciiTheme="majorBidi" w:hAnsiTheme="majorBidi" w:cstheme="majorBidi"/>
          <w:b/>
          <w:bCs/>
          <w:sz w:val="40"/>
          <w:szCs w:val="40"/>
        </w:rPr>
      </w:pPr>
      <w:r w:rsidRPr="00A46AC9">
        <w:rPr>
          <w:rFonts w:asciiTheme="majorBidi" w:hAnsiTheme="majorBidi" w:cstheme="majorBidi"/>
          <w:b/>
          <w:bCs/>
          <w:sz w:val="40"/>
          <w:szCs w:val="40"/>
        </w:rPr>
        <w:t>Hybrid LSTM–XGBoost Model for Gold Price Forecasting</w:t>
      </w:r>
    </w:p>
    <w:p w14:paraId="2451AEE8" w14:textId="77777777" w:rsidR="003F03C9" w:rsidRPr="00A46AC9" w:rsidRDefault="00000000" w:rsidP="00681FF3">
      <w:pPr>
        <w:pBdr>
          <w:top w:val="nil"/>
          <w:left w:val="nil"/>
          <w:bottom w:val="nil"/>
          <w:right w:val="nil"/>
          <w:between w:val="nil"/>
        </w:pBdr>
        <w:spacing w:before="120" w:after="240" w:line="275" w:lineRule="auto"/>
        <w:jc w:val="center"/>
        <w:rPr>
          <w:rFonts w:asciiTheme="majorBidi" w:eastAsia="Google Sans Text" w:hAnsiTheme="majorBidi" w:cstheme="majorBidi"/>
          <w:b/>
          <w:color w:val="1B1C1D"/>
        </w:rPr>
      </w:pPr>
      <w:r>
        <w:rPr>
          <w:rFonts w:asciiTheme="majorBidi" w:hAnsiTheme="majorBidi" w:cstheme="majorBidi"/>
        </w:rPr>
        <w:pict w14:anchorId="250D9089">
          <v:rect id="_x0000_i1025" style="width:0;height:1.5pt" o:hralign="center" o:hrstd="t" o:hr="t" fillcolor="#a0a0a0" stroked="f"/>
        </w:pict>
      </w:r>
      <w:r w:rsidR="008D7557" w:rsidRPr="00A46AC9">
        <w:rPr>
          <w:rFonts w:asciiTheme="majorBidi" w:eastAsia="Google Sans Text" w:hAnsiTheme="majorBidi" w:cstheme="majorBidi"/>
          <w:b/>
          <w:color w:val="1B1C1D"/>
        </w:rPr>
        <w:t>Prepared By</w:t>
      </w:r>
    </w:p>
    <w:tbl>
      <w:tblPr>
        <w:tblStyle w:val="a"/>
        <w:tblW w:w="9360" w:type="dxa"/>
        <w:tblInd w:w="0" w:type="dxa"/>
        <w:tblLayout w:type="fixed"/>
        <w:tblLook w:val="0600" w:firstRow="0" w:lastRow="0" w:firstColumn="0" w:lastColumn="0" w:noHBand="1" w:noVBand="1"/>
      </w:tblPr>
      <w:tblGrid>
        <w:gridCol w:w="4680"/>
        <w:gridCol w:w="4680"/>
      </w:tblGrid>
      <w:tr w:rsidR="003F03C9" w:rsidRPr="00A46AC9" w14:paraId="36E57EC9" w14:textId="77777777">
        <w:tc>
          <w:tcPr>
            <w:tcW w:w="468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6CAFB70C" w14:textId="77777777" w:rsidR="003F03C9" w:rsidRPr="00A46AC9" w:rsidRDefault="008D7557" w:rsidP="00681FF3">
            <w:pPr>
              <w:pBdr>
                <w:top w:val="nil"/>
                <w:left w:val="nil"/>
                <w:bottom w:val="nil"/>
                <w:right w:val="nil"/>
                <w:between w:val="nil"/>
              </w:pBdr>
              <w:spacing w:before="120" w:after="120" w:line="275" w:lineRule="auto"/>
              <w:jc w:val="center"/>
              <w:rPr>
                <w:rFonts w:asciiTheme="majorBidi" w:eastAsia="Google Sans Text" w:hAnsiTheme="majorBidi" w:cstheme="majorBidi"/>
                <w:b/>
                <w:color w:val="1B1C1D"/>
              </w:rPr>
            </w:pPr>
            <w:r w:rsidRPr="00A46AC9">
              <w:rPr>
                <w:rFonts w:asciiTheme="majorBidi" w:eastAsia="Google Sans Text" w:hAnsiTheme="majorBidi" w:cstheme="majorBidi"/>
                <w:b/>
                <w:color w:val="1B1C1D"/>
              </w:rPr>
              <w:t>Name:</w:t>
            </w:r>
          </w:p>
        </w:tc>
        <w:tc>
          <w:tcPr>
            <w:tcW w:w="468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2C0E2D1D" w14:textId="77777777" w:rsidR="003F03C9" w:rsidRPr="00A46AC9" w:rsidRDefault="008D7557" w:rsidP="00681FF3">
            <w:pPr>
              <w:pBdr>
                <w:top w:val="nil"/>
                <w:left w:val="nil"/>
                <w:bottom w:val="nil"/>
                <w:right w:val="nil"/>
                <w:between w:val="nil"/>
              </w:pBdr>
              <w:spacing w:before="120" w:after="120" w:line="275" w:lineRule="auto"/>
              <w:jc w:val="center"/>
              <w:rPr>
                <w:rFonts w:asciiTheme="majorBidi" w:eastAsia="Google Sans Text" w:hAnsiTheme="majorBidi" w:cstheme="majorBidi"/>
                <w:b/>
                <w:color w:val="1B1C1D"/>
              </w:rPr>
            </w:pPr>
            <w:r w:rsidRPr="00A46AC9">
              <w:rPr>
                <w:rFonts w:asciiTheme="majorBidi" w:eastAsia="Google Sans Text" w:hAnsiTheme="majorBidi" w:cstheme="majorBidi"/>
                <w:b/>
                <w:color w:val="1B1C1D"/>
              </w:rPr>
              <w:t>Raed Abdalnaser Tattan</w:t>
            </w:r>
          </w:p>
        </w:tc>
      </w:tr>
      <w:tr w:rsidR="003F03C9" w:rsidRPr="00A46AC9" w14:paraId="73975268" w14:textId="77777777">
        <w:tc>
          <w:tcPr>
            <w:tcW w:w="468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1D3DC947" w14:textId="77777777" w:rsidR="003F03C9" w:rsidRPr="00A46AC9" w:rsidRDefault="008D7557" w:rsidP="00681FF3">
            <w:pPr>
              <w:pBdr>
                <w:top w:val="nil"/>
                <w:left w:val="nil"/>
                <w:bottom w:val="nil"/>
                <w:right w:val="nil"/>
                <w:between w:val="nil"/>
              </w:pBdr>
              <w:spacing w:before="120" w:after="120" w:line="275" w:lineRule="auto"/>
              <w:jc w:val="center"/>
              <w:rPr>
                <w:rFonts w:asciiTheme="majorBidi" w:eastAsia="Google Sans Text" w:hAnsiTheme="majorBidi" w:cstheme="majorBidi"/>
                <w:color w:val="1B1C1D"/>
              </w:rPr>
            </w:pPr>
            <w:r w:rsidRPr="00A46AC9">
              <w:rPr>
                <w:rFonts w:asciiTheme="majorBidi" w:eastAsia="Google Sans Text" w:hAnsiTheme="majorBidi" w:cstheme="majorBidi"/>
                <w:color w:val="1B1C1D"/>
              </w:rPr>
              <w:t>ID No.:</w:t>
            </w:r>
          </w:p>
        </w:tc>
        <w:tc>
          <w:tcPr>
            <w:tcW w:w="468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665F5D9E" w14:textId="77777777" w:rsidR="003F03C9" w:rsidRPr="00A46AC9" w:rsidRDefault="008D7557" w:rsidP="00681FF3">
            <w:pPr>
              <w:pBdr>
                <w:top w:val="nil"/>
                <w:left w:val="nil"/>
                <w:bottom w:val="nil"/>
                <w:right w:val="nil"/>
                <w:between w:val="nil"/>
              </w:pBdr>
              <w:spacing w:before="120" w:after="120" w:line="275" w:lineRule="auto"/>
              <w:jc w:val="center"/>
              <w:rPr>
                <w:rFonts w:asciiTheme="majorBidi" w:eastAsia="Google Sans Text" w:hAnsiTheme="majorBidi" w:cstheme="majorBidi"/>
                <w:color w:val="1B1C1D"/>
              </w:rPr>
            </w:pPr>
            <w:r w:rsidRPr="00A46AC9">
              <w:rPr>
                <w:rFonts w:asciiTheme="majorBidi" w:eastAsia="Google Sans Text" w:hAnsiTheme="majorBidi" w:cstheme="majorBidi"/>
                <w:color w:val="1B1C1D"/>
              </w:rPr>
              <w:t>243000058</w:t>
            </w:r>
          </w:p>
        </w:tc>
      </w:tr>
    </w:tbl>
    <w:p w14:paraId="0F416216" w14:textId="77777777" w:rsidR="003F03C9" w:rsidRPr="00A46AC9" w:rsidRDefault="008D7557" w:rsidP="00681FF3">
      <w:pPr>
        <w:pBdr>
          <w:top w:val="nil"/>
          <w:left w:val="nil"/>
          <w:bottom w:val="nil"/>
          <w:right w:val="nil"/>
          <w:between w:val="nil"/>
        </w:pBdr>
        <w:spacing w:before="480" w:after="240" w:line="275" w:lineRule="auto"/>
        <w:jc w:val="center"/>
        <w:rPr>
          <w:rFonts w:asciiTheme="majorBidi" w:eastAsia="Google Sans Text" w:hAnsiTheme="majorBidi" w:cstheme="majorBidi"/>
          <w:b/>
          <w:color w:val="1B1C1D"/>
        </w:rPr>
      </w:pPr>
      <w:r w:rsidRPr="00A46AC9">
        <w:rPr>
          <w:rFonts w:asciiTheme="majorBidi" w:eastAsia="Google Sans Text" w:hAnsiTheme="majorBidi" w:cstheme="majorBidi"/>
          <w:b/>
          <w:color w:val="1B1C1D"/>
        </w:rPr>
        <w:t>Submitted in fulfillment of the requirements for the degree Master of Science in Artificial Intelligence</w:t>
      </w:r>
    </w:p>
    <w:p w14:paraId="5A5C94AC" w14:textId="77777777" w:rsidR="003F03C9" w:rsidRPr="00A46AC9" w:rsidRDefault="008D7557" w:rsidP="00681FF3">
      <w:pPr>
        <w:pBdr>
          <w:top w:val="nil"/>
          <w:left w:val="nil"/>
          <w:bottom w:val="nil"/>
          <w:right w:val="nil"/>
          <w:between w:val="nil"/>
        </w:pBdr>
        <w:spacing w:after="240" w:line="275" w:lineRule="auto"/>
        <w:jc w:val="center"/>
        <w:rPr>
          <w:rFonts w:asciiTheme="majorBidi" w:eastAsia="Google Sans Text" w:hAnsiTheme="majorBidi" w:cstheme="majorBidi"/>
          <w:color w:val="1B1C1D"/>
        </w:rPr>
      </w:pPr>
      <w:r w:rsidRPr="00A46AC9">
        <w:rPr>
          <w:rFonts w:asciiTheme="majorBidi" w:eastAsia="Google Sans Text" w:hAnsiTheme="majorBidi" w:cstheme="majorBidi"/>
          <w:color w:val="1B1C1D"/>
        </w:rPr>
        <w:t>At</w:t>
      </w:r>
    </w:p>
    <w:p w14:paraId="2CC06A8B" w14:textId="7AF39388" w:rsidR="003F03C9" w:rsidRPr="00A46AC9" w:rsidRDefault="006203AF" w:rsidP="00681FF3">
      <w:pPr>
        <w:pBdr>
          <w:top w:val="nil"/>
          <w:left w:val="nil"/>
          <w:bottom w:val="nil"/>
          <w:right w:val="nil"/>
          <w:between w:val="nil"/>
        </w:pBdr>
        <w:spacing w:line="275" w:lineRule="auto"/>
        <w:jc w:val="center"/>
        <w:rPr>
          <w:rFonts w:asciiTheme="majorBidi" w:eastAsia="Google Sans Text" w:hAnsiTheme="majorBidi" w:cstheme="majorBidi"/>
        </w:rPr>
      </w:pPr>
      <w:r w:rsidRPr="00A46AC9">
        <w:rPr>
          <w:rFonts w:asciiTheme="majorBidi" w:eastAsia="Google Sans Text" w:hAnsiTheme="majorBidi" w:cstheme="majorBidi"/>
        </w:rPr>
        <w:t>College</w:t>
      </w:r>
      <w:r w:rsidR="008D7557" w:rsidRPr="00A46AC9">
        <w:rPr>
          <w:rFonts w:asciiTheme="majorBidi" w:eastAsia="Google Sans Text" w:hAnsiTheme="majorBidi" w:cstheme="majorBidi"/>
        </w:rPr>
        <w:t xml:space="preserve"> of Informatics</w:t>
      </w:r>
    </w:p>
    <w:p w14:paraId="6CC42B16" w14:textId="77777777" w:rsidR="003F03C9" w:rsidRPr="00A46AC9" w:rsidRDefault="008D7557" w:rsidP="00681FF3">
      <w:pPr>
        <w:pBdr>
          <w:top w:val="nil"/>
          <w:left w:val="nil"/>
          <w:bottom w:val="nil"/>
          <w:right w:val="nil"/>
          <w:between w:val="nil"/>
        </w:pBdr>
        <w:spacing w:line="275" w:lineRule="auto"/>
        <w:jc w:val="center"/>
        <w:rPr>
          <w:rFonts w:asciiTheme="majorBidi" w:eastAsia="Google Sans Text" w:hAnsiTheme="majorBidi" w:cstheme="majorBidi"/>
        </w:rPr>
      </w:pPr>
      <w:r w:rsidRPr="00A46AC9">
        <w:rPr>
          <w:rFonts w:asciiTheme="majorBidi" w:eastAsia="Google Sans Text" w:hAnsiTheme="majorBidi" w:cstheme="majorBidi"/>
        </w:rPr>
        <w:t>Midocean University</w:t>
      </w:r>
    </w:p>
    <w:p w14:paraId="3CB5EDF8" w14:textId="77777777" w:rsidR="003F03C9" w:rsidRPr="00A46AC9" w:rsidRDefault="008D7557" w:rsidP="00681FF3">
      <w:pPr>
        <w:pBdr>
          <w:top w:val="nil"/>
          <w:left w:val="nil"/>
          <w:bottom w:val="nil"/>
          <w:right w:val="nil"/>
          <w:between w:val="nil"/>
        </w:pBdr>
        <w:spacing w:line="275" w:lineRule="auto"/>
        <w:jc w:val="center"/>
        <w:rPr>
          <w:rFonts w:asciiTheme="majorBidi" w:eastAsia="Google Sans Text" w:hAnsiTheme="majorBidi" w:cstheme="majorBidi"/>
        </w:rPr>
      </w:pPr>
      <w:r w:rsidRPr="00A46AC9">
        <w:rPr>
          <w:rFonts w:asciiTheme="majorBidi" w:eastAsia="Google Sans Text" w:hAnsiTheme="majorBidi" w:cstheme="majorBidi"/>
        </w:rPr>
        <w:t>UAE</w:t>
      </w:r>
    </w:p>
    <w:p w14:paraId="2A770A0D" w14:textId="77777777" w:rsidR="003F03C9" w:rsidRPr="00A46AC9" w:rsidRDefault="008D7557" w:rsidP="00681FF3">
      <w:pPr>
        <w:pBdr>
          <w:top w:val="nil"/>
          <w:left w:val="nil"/>
          <w:bottom w:val="nil"/>
          <w:right w:val="nil"/>
          <w:between w:val="nil"/>
        </w:pBdr>
        <w:spacing w:line="275" w:lineRule="auto"/>
        <w:jc w:val="center"/>
        <w:rPr>
          <w:rFonts w:asciiTheme="majorBidi" w:eastAsia="Google Sans Text" w:hAnsiTheme="majorBidi" w:cstheme="majorBidi"/>
          <w:b/>
          <w:bCs/>
        </w:rPr>
      </w:pPr>
      <w:r w:rsidRPr="00A46AC9">
        <w:rPr>
          <w:rFonts w:asciiTheme="majorBidi" w:eastAsia="Google Sans Text" w:hAnsiTheme="majorBidi" w:cstheme="majorBidi"/>
        </w:rPr>
        <w:t xml:space="preserve">Supervisor: </w:t>
      </w:r>
      <w:r w:rsidRPr="00A46AC9">
        <w:rPr>
          <w:rFonts w:asciiTheme="majorBidi" w:eastAsia="Google Sans Text" w:hAnsiTheme="majorBidi" w:cstheme="majorBidi"/>
          <w:b/>
          <w:bCs/>
        </w:rPr>
        <w:t>Dr. Wessam Ahmed</w:t>
      </w:r>
    </w:p>
    <w:p w14:paraId="33C96F16" w14:textId="763605FB" w:rsidR="003F03C9" w:rsidRPr="00A46AC9" w:rsidRDefault="006203AF" w:rsidP="00681FF3">
      <w:pPr>
        <w:pBdr>
          <w:top w:val="nil"/>
          <w:left w:val="nil"/>
          <w:bottom w:val="nil"/>
          <w:right w:val="nil"/>
          <w:between w:val="nil"/>
        </w:pBdr>
        <w:spacing w:line="275" w:lineRule="auto"/>
        <w:jc w:val="center"/>
        <w:rPr>
          <w:rFonts w:asciiTheme="majorBidi" w:eastAsia="Google Sans Text" w:hAnsiTheme="majorBidi" w:cstheme="majorBidi"/>
        </w:rPr>
      </w:pPr>
      <w:r w:rsidRPr="00A46AC9">
        <w:rPr>
          <w:rFonts w:asciiTheme="majorBidi" w:eastAsia="Google Sans Text" w:hAnsiTheme="majorBidi" w:cstheme="majorBidi"/>
        </w:rPr>
        <w:t>College</w:t>
      </w:r>
      <w:r w:rsidR="008D7557" w:rsidRPr="00A46AC9">
        <w:rPr>
          <w:rFonts w:asciiTheme="majorBidi" w:eastAsia="Google Sans Text" w:hAnsiTheme="majorBidi" w:cstheme="majorBidi"/>
        </w:rPr>
        <w:t xml:space="preserve"> of Informatics, Midocean University</w:t>
      </w:r>
    </w:p>
    <w:p w14:paraId="195EC404" w14:textId="5899BDFA" w:rsidR="00A03EAC" w:rsidRPr="00A46AC9" w:rsidRDefault="00A03EAC" w:rsidP="00681FF3">
      <w:pPr>
        <w:pBdr>
          <w:top w:val="nil"/>
          <w:left w:val="nil"/>
          <w:bottom w:val="nil"/>
          <w:right w:val="nil"/>
          <w:between w:val="nil"/>
        </w:pBdr>
        <w:spacing w:line="275" w:lineRule="auto"/>
        <w:jc w:val="center"/>
        <w:rPr>
          <w:rFonts w:asciiTheme="majorBidi" w:eastAsia="Google Sans Text" w:hAnsiTheme="majorBidi" w:cstheme="majorBidi"/>
        </w:rPr>
      </w:pPr>
    </w:p>
    <w:p w14:paraId="7133AF00" w14:textId="49A1C8ED" w:rsidR="00A03EAC" w:rsidRPr="00A46AC9" w:rsidRDefault="00A03EAC" w:rsidP="00A03EAC">
      <w:pPr>
        <w:rPr>
          <w:rFonts w:asciiTheme="majorBidi" w:eastAsia="Google Sans Text" w:hAnsiTheme="majorBidi" w:cstheme="majorBidi"/>
        </w:rPr>
      </w:pPr>
    </w:p>
    <w:p w14:paraId="7E55EC80" w14:textId="77777777" w:rsidR="00C2513F" w:rsidRPr="00A46AC9" w:rsidRDefault="00C2513F" w:rsidP="00681FF3">
      <w:pPr>
        <w:pBdr>
          <w:top w:val="nil"/>
          <w:left w:val="nil"/>
          <w:bottom w:val="nil"/>
          <w:right w:val="nil"/>
          <w:between w:val="nil"/>
        </w:pBdr>
        <w:spacing w:line="275" w:lineRule="auto"/>
        <w:jc w:val="center"/>
        <w:rPr>
          <w:rFonts w:asciiTheme="majorBidi" w:eastAsia="Google Sans Text" w:hAnsiTheme="majorBidi" w:cstheme="majorBidi"/>
        </w:rPr>
      </w:pPr>
    </w:p>
    <w:p w14:paraId="51B77B14" w14:textId="4FEB4741" w:rsidR="003F03C9" w:rsidRPr="00A46AC9" w:rsidRDefault="003F03C9">
      <w:pPr>
        <w:pBdr>
          <w:top w:val="nil"/>
          <w:left w:val="nil"/>
          <w:bottom w:val="nil"/>
          <w:right w:val="nil"/>
          <w:between w:val="nil"/>
        </w:pBdr>
        <w:spacing w:before="120" w:after="240" w:line="275" w:lineRule="auto"/>
        <w:rPr>
          <w:rFonts w:asciiTheme="majorBidi" w:eastAsia="Google Sans Text" w:hAnsiTheme="majorBidi" w:cstheme="majorBidi"/>
        </w:rPr>
      </w:pPr>
    </w:p>
    <w:p w14:paraId="6ADBC285" w14:textId="77777777" w:rsidR="009B067A" w:rsidRPr="00A46AC9" w:rsidRDefault="009B067A">
      <w:pPr>
        <w:pStyle w:val="Heading2"/>
        <w:spacing w:before="0" w:after="120" w:line="275" w:lineRule="auto"/>
        <w:rPr>
          <w:rFonts w:asciiTheme="majorBidi" w:eastAsia="Google Sans" w:hAnsiTheme="majorBidi" w:cstheme="majorBidi"/>
          <w:color w:val="1B1C1D"/>
        </w:rPr>
      </w:pPr>
    </w:p>
    <w:p w14:paraId="39BDE442" w14:textId="77777777" w:rsidR="009B067A" w:rsidRPr="00A46AC9" w:rsidRDefault="009B067A">
      <w:pPr>
        <w:pStyle w:val="Heading2"/>
        <w:spacing w:before="0" w:after="120" w:line="275" w:lineRule="auto"/>
        <w:rPr>
          <w:rFonts w:asciiTheme="majorBidi" w:eastAsia="Google Sans" w:hAnsiTheme="majorBidi" w:cstheme="majorBidi"/>
          <w:color w:val="1B1C1D"/>
        </w:rPr>
      </w:pPr>
    </w:p>
    <w:p w14:paraId="738A4BE2" w14:textId="77777777" w:rsidR="009B067A" w:rsidRPr="00A46AC9" w:rsidRDefault="009B067A">
      <w:pPr>
        <w:pStyle w:val="Heading2"/>
        <w:spacing w:before="0" w:after="120" w:line="275" w:lineRule="auto"/>
        <w:rPr>
          <w:rFonts w:asciiTheme="majorBidi" w:eastAsia="Google Sans" w:hAnsiTheme="majorBidi" w:cstheme="majorBidi"/>
          <w:color w:val="1B1C1D"/>
        </w:rPr>
      </w:pPr>
    </w:p>
    <w:p w14:paraId="340A420D" w14:textId="77777777" w:rsidR="009B067A" w:rsidRPr="00A46AC9" w:rsidRDefault="009B067A">
      <w:pPr>
        <w:pStyle w:val="Heading2"/>
        <w:spacing w:before="0" w:after="120" w:line="275" w:lineRule="auto"/>
        <w:rPr>
          <w:rFonts w:asciiTheme="majorBidi" w:eastAsia="Google Sans" w:hAnsiTheme="majorBidi" w:cstheme="majorBidi"/>
          <w:color w:val="1B1C1D"/>
        </w:rPr>
      </w:pPr>
    </w:p>
    <w:p w14:paraId="06F9912D" w14:textId="1B8E100B" w:rsidR="003F03C9" w:rsidRPr="00A46AC9" w:rsidRDefault="008D7557">
      <w:pPr>
        <w:pStyle w:val="Heading2"/>
        <w:spacing w:before="0" w:after="120" w:line="275" w:lineRule="auto"/>
        <w:rPr>
          <w:rFonts w:asciiTheme="majorBidi" w:eastAsia="Google Sans" w:hAnsiTheme="majorBidi" w:cstheme="majorBidi"/>
          <w:color w:val="1B1C1D"/>
        </w:rPr>
      </w:pPr>
      <w:r w:rsidRPr="00A46AC9">
        <w:rPr>
          <w:rFonts w:asciiTheme="majorBidi" w:eastAsia="Google Sans" w:hAnsiTheme="majorBidi" w:cstheme="majorBidi"/>
          <w:color w:val="1B1C1D"/>
        </w:rPr>
        <w:lastRenderedPageBreak/>
        <w:t>Acknowledgements</w:t>
      </w:r>
    </w:p>
    <w:p w14:paraId="2F4315D5" w14:textId="77777777" w:rsidR="003F03C9" w:rsidRPr="00A46AC9" w:rsidRDefault="003F03C9">
      <w:pPr>
        <w:pBdr>
          <w:top w:val="nil"/>
          <w:left w:val="nil"/>
          <w:bottom w:val="nil"/>
          <w:right w:val="nil"/>
          <w:between w:val="nil"/>
        </w:pBdr>
        <w:spacing w:after="240" w:line="275" w:lineRule="auto"/>
        <w:rPr>
          <w:rFonts w:asciiTheme="majorBidi" w:eastAsia="Google Sans" w:hAnsiTheme="majorBidi" w:cstheme="majorBidi"/>
          <w:color w:val="1B1C1D"/>
        </w:rPr>
      </w:pPr>
    </w:p>
    <w:p w14:paraId="6CB4E4A9" w14:textId="63F425EA" w:rsidR="003F03C9" w:rsidRPr="00A46AC9" w:rsidRDefault="0072699D">
      <w:pPr>
        <w:pBdr>
          <w:top w:val="nil"/>
          <w:left w:val="nil"/>
          <w:bottom w:val="nil"/>
          <w:right w:val="nil"/>
          <w:between w:val="nil"/>
        </w:pBdr>
        <w:spacing w:after="240" w:line="275" w:lineRule="auto"/>
        <w:rPr>
          <w:rFonts w:asciiTheme="majorBidi" w:eastAsia="Google Sans Text" w:hAnsiTheme="majorBidi" w:cstheme="majorBidi"/>
          <w:color w:val="444746"/>
          <w:sz w:val="24"/>
          <w:szCs w:val="24"/>
          <w:vertAlign w:val="superscript"/>
        </w:rPr>
      </w:pPr>
      <w:r w:rsidRPr="00A46AC9">
        <w:rPr>
          <w:rFonts w:asciiTheme="majorBidi" w:eastAsia="Google Sans Text" w:hAnsiTheme="majorBidi" w:cstheme="majorBidi"/>
          <w:color w:val="1B1C1D"/>
        </w:rPr>
        <w:t>I would like to thank my supervisor Dr.Wesam Ahmed for her inspiration, patience, and encouragement, your insight and mastery aided me at every point of this project.</w:t>
      </w:r>
    </w:p>
    <w:p w14:paraId="4AEC1E04" w14:textId="77777777" w:rsidR="009B067A" w:rsidRPr="00A46AC9" w:rsidRDefault="009B067A">
      <w:pPr>
        <w:rPr>
          <w:rFonts w:asciiTheme="majorBidi" w:eastAsia="Google Sans" w:hAnsiTheme="majorBidi" w:cstheme="majorBidi"/>
          <w:b/>
          <w:color w:val="1B1C1D"/>
          <w:sz w:val="36"/>
          <w:szCs w:val="36"/>
        </w:rPr>
      </w:pPr>
      <w:r w:rsidRPr="00A46AC9">
        <w:rPr>
          <w:rFonts w:asciiTheme="majorBidi" w:eastAsia="Google Sans" w:hAnsiTheme="majorBidi" w:cstheme="majorBidi"/>
          <w:color w:val="1B1C1D"/>
        </w:rPr>
        <w:br w:type="page"/>
      </w:r>
    </w:p>
    <w:p w14:paraId="72B51563" w14:textId="0894AE37" w:rsidR="003F03C9" w:rsidRPr="00A46AC9" w:rsidRDefault="008D7557" w:rsidP="00A46AC9">
      <w:pPr>
        <w:pStyle w:val="Heading2"/>
        <w:spacing w:before="0" w:after="120" w:line="275" w:lineRule="auto"/>
        <w:jc w:val="center"/>
        <w:rPr>
          <w:rFonts w:asciiTheme="majorHAnsi" w:eastAsia="Google Sans" w:hAnsiTheme="majorHAnsi" w:cstheme="majorHAnsi"/>
          <w:b w:val="0"/>
          <w:bCs/>
          <w:color w:val="1B1C1D"/>
        </w:rPr>
      </w:pPr>
      <w:r w:rsidRPr="00A46AC9">
        <w:rPr>
          <w:rFonts w:asciiTheme="majorHAnsi" w:eastAsia="Google Sans" w:hAnsiTheme="majorHAnsi" w:cstheme="majorHAnsi"/>
          <w:b w:val="0"/>
          <w:bCs/>
          <w:color w:val="1B1C1D"/>
        </w:rPr>
        <w:lastRenderedPageBreak/>
        <w:t>Abstract</w:t>
      </w:r>
    </w:p>
    <w:p w14:paraId="540907AB" w14:textId="444AE6BA" w:rsidR="006229BE" w:rsidRPr="006229BE" w:rsidRDefault="00A46AC9" w:rsidP="006229BE">
      <w:pPr>
        <w:pBdr>
          <w:top w:val="nil"/>
          <w:left w:val="nil"/>
          <w:bottom w:val="nil"/>
          <w:right w:val="nil"/>
          <w:between w:val="nil"/>
        </w:pBdr>
        <w:spacing w:before="240" w:after="240" w:line="275" w:lineRule="auto"/>
        <w:rPr>
          <w:rFonts w:asciiTheme="majorBidi" w:eastAsia="Google Sans Text" w:hAnsiTheme="majorBidi" w:cstheme="majorBidi"/>
          <w:color w:val="444746"/>
          <w:sz w:val="32"/>
          <w:szCs w:val="32"/>
          <w:vertAlign w:val="superscript"/>
        </w:rPr>
      </w:pPr>
      <w:r w:rsidRPr="00A46AC9">
        <w:rPr>
          <w:rFonts w:ascii="Google Sans Text" w:eastAsia="Google Sans Text" w:hAnsi="Google Sans Text" w:cs="Google Sans Text"/>
          <w:color w:val="1B1C1D"/>
        </w:rPr>
        <w:br/>
      </w:r>
      <w:r w:rsidR="006229BE" w:rsidRPr="006229BE">
        <w:rPr>
          <w:rFonts w:asciiTheme="majorBidi" w:eastAsia="Google Sans Text" w:hAnsiTheme="majorBidi" w:cstheme="majorBidi"/>
          <w:color w:val="444746"/>
          <w:sz w:val="32"/>
          <w:szCs w:val="32"/>
          <w:vertAlign w:val="superscript"/>
        </w:rPr>
        <w:t>Gold price forecasting remains a challenging task due to the high volatility and nonlinear dynamics that characterize global financial markets. Sudden regime shifts, macroeconomic uncertainty, and complex interactions between financial variables make accurate prediction particularly difficult using traditional econometric approaches. These limitations have motivated the adoption of machine learning and hybrid artificial intelligence models that are better suited to capture nonlinear patterns and dynamic behavior.</w:t>
      </w:r>
    </w:p>
    <w:p w14:paraId="79780BC7" w14:textId="77777777" w:rsidR="006229BE" w:rsidRPr="006229BE" w:rsidRDefault="006229BE" w:rsidP="006229BE">
      <w:pPr>
        <w:pBdr>
          <w:top w:val="nil"/>
          <w:left w:val="nil"/>
          <w:bottom w:val="nil"/>
          <w:right w:val="nil"/>
          <w:between w:val="nil"/>
        </w:pBdr>
        <w:spacing w:before="240" w:after="240" w:line="275" w:lineRule="auto"/>
        <w:rPr>
          <w:rFonts w:asciiTheme="majorBidi" w:eastAsia="Google Sans Text" w:hAnsiTheme="majorBidi" w:cstheme="majorBidi"/>
          <w:color w:val="444746"/>
          <w:sz w:val="32"/>
          <w:szCs w:val="32"/>
          <w:vertAlign w:val="superscript"/>
        </w:rPr>
      </w:pPr>
      <w:r w:rsidRPr="006229BE">
        <w:rPr>
          <w:rFonts w:asciiTheme="majorBidi" w:eastAsia="Google Sans Text" w:hAnsiTheme="majorBidi" w:cstheme="majorBidi"/>
          <w:color w:val="444746"/>
          <w:sz w:val="32"/>
          <w:szCs w:val="32"/>
          <w:vertAlign w:val="superscript"/>
        </w:rPr>
        <w:t>This thesis proposes a hybrid forecasting framework that integrates XGBoost with a residual-based Long Short-Term Memory (LSTM) model. In the proposed approach, XGBoost is first employed to model nonlinear relationships among engineered price-based features and generate a strong baseline prediction. The residual errors from the XGBoost model are then learned by an LSTM network to capture remaining temporal dependencies that are not fully explained by the baseline model.</w:t>
      </w:r>
    </w:p>
    <w:p w14:paraId="7154F024" w14:textId="70581885" w:rsidR="00607316" w:rsidRPr="000C78F0" w:rsidRDefault="006229BE" w:rsidP="000C78F0">
      <w:pPr>
        <w:pBdr>
          <w:top w:val="nil"/>
          <w:left w:val="nil"/>
          <w:bottom w:val="nil"/>
          <w:right w:val="nil"/>
          <w:between w:val="nil"/>
        </w:pBdr>
        <w:spacing w:before="240" w:after="240" w:line="275" w:lineRule="auto"/>
        <w:rPr>
          <w:rFonts w:asciiTheme="majorBidi" w:eastAsia="Google Sans Text" w:hAnsiTheme="majorBidi" w:cstheme="majorBidi"/>
          <w:color w:val="444746"/>
          <w:sz w:val="32"/>
          <w:szCs w:val="32"/>
          <w:vertAlign w:val="superscript"/>
        </w:rPr>
      </w:pPr>
      <w:r w:rsidRPr="006229BE">
        <w:rPr>
          <w:rFonts w:asciiTheme="majorBidi" w:eastAsia="Google Sans Text" w:hAnsiTheme="majorBidi" w:cstheme="majorBidi"/>
          <w:color w:val="444746"/>
          <w:sz w:val="32"/>
          <w:szCs w:val="32"/>
          <w:vertAlign w:val="superscript"/>
        </w:rPr>
        <w:t>The performance of the proposed framework is evaluated against standalone XGBoost and LSTM models using standard error metrics, including RMSE and MAE, as well as directional accuracy. The experimental results indicate that XGBoost achieves the lowest numerical forecasting errors, while the residual-based hybrid model preserves competitive performance and maintains high directional accuracy. These findings suggest that hybrid architectures can enhance robustness in trend prediction, even when numerical error reduction is limited. Overall, this study provides practical insights into the use of hybrid AI models for gold price forecasting under volatile market conditions.</w:t>
      </w:r>
    </w:p>
    <w:p w14:paraId="1CA87BCF" w14:textId="4D8E90C7" w:rsidR="003F03C9" w:rsidRDefault="008D7557" w:rsidP="00A52B57">
      <w:pPr>
        <w:pStyle w:val="Heading2"/>
        <w:spacing w:before="0" w:after="120" w:line="275" w:lineRule="auto"/>
        <w:rPr>
          <w:rFonts w:ascii="Google Sans" w:eastAsia="Google Sans" w:hAnsi="Google Sans" w:cs="Google Sans"/>
          <w:color w:val="1B1C1D"/>
        </w:rPr>
      </w:pPr>
      <w:r>
        <w:rPr>
          <w:rFonts w:ascii="Google Sans" w:eastAsia="Google Sans" w:hAnsi="Google Sans" w:cs="Google Sans"/>
          <w:color w:val="1B1C1D"/>
        </w:rPr>
        <w:t>List of Abbreviations</w:t>
      </w:r>
    </w:p>
    <w:tbl>
      <w:tblPr>
        <w:tblW w:w="53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88"/>
        <w:gridCol w:w="3549"/>
      </w:tblGrid>
      <w:tr w:rsidR="001B6285" w:rsidRPr="001B6285" w14:paraId="2FEC0FF9" w14:textId="77777777" w:rsidTr="001B6285">
        <w:trPr>
          <w:trHeight w:val="294"/>
        </w:trPr>
        <w:tc>
          <w:tcPr>
            <w:tcW w:w="1788" w:type="dxa"/>
            <w:shd w:val="clear" w:color="000000" w:fill="DBE5F1"/>
            <w:noWrap/>
            <w:vAlign w:val="center"/>
            <w:hideMark/>
          </w:tcPr>
          <w:p w14:paraId="3F8FD204" w14:textId="77777777" w:rsidR="001B6285" w:rsidRPr="001B6285" w:rsidRDefault="001B6285" w:rsidP="001B6285">
            <w:pPr>
              <w:widowControl/>
              <w:rPr>
                <w:rFonts w:ascii="Times New Roman" w:eastAsia="Times New Roman" w:hAnsi="Times New Roman" w:cs="Times New Roman"/>
                <w:color w:val="000000"/>
              </w:rPr>
            </w:pPr>
            <w:r w:rsidRPr="001B6285">
              <w:rPr>
                <w:rFonts w:ascii="Times New Roman" w:eastAsia="Times New Roman" w:hAnsi="Times New Roman" w:cs="Times New Roman"/>
                <w:color w:val="000000"/>
              </w:rPr>
              <w:t>AI</w:t>
            </w:r>
          </w:p>
        </w:tc>
        <w:tc>
          <w:tcPr>
            <w:tcW w:w="3549" w:type="dxa"/>
            <w:shd w:val="clear" w:color="000000" w:fill="DBE5F1"/>
            <w:noWrap/>
            <w:vAlign w:val="center"/>
            <w:hideMark/>
          </w:tcPr>
          <w:p w14:paraId="0B78AF5C" w14:textId="77777777" w:rsidR="001B6285" w:rsidRPr="001B6285" w:rsidRDefault="001B6285" w:rsidP="001B6285">
            <w:pPr>
              <w:widowControl/>
              <w:rPr>
                <w:rFonts w:ascii="Times New Roman" w:eastAsia="Times New Roman" w:hAnsi="Times New Roman" w:cs="Times New Roman"/>
                <w:color w:val="000000"/>
              </w:rPr>
            </w:pPr>
            <w:r w:rsidRPr="001B6285">
              <w:rPr>
                <w:rFonts w:ascii="Times New Roman" w:eastAsia="Times New Roman" w:hAnsi="Times New Roman" w:cs="Times New Roman"/>
                <w:color w:val="000000"/>
              </w:rPr>
              <w:t>Artificial Intelligence</w:t>
            </w:r>
          </w:p>
        </w:tc>
      </w:tr>
      <w:tr w:rsidR="001B6285" w:rsidRPr="001B6285" w14:paraId="18138B4C" w14:textId="77777777" w:rsidTr="001B6285">
        <w:trPr>
          <w:trHeight w:val="294"/>
        </w:trPr>
        <w:tc>
          <w:tcPr>
            <w:tcW w:w="1788" w:type="dxa"/>
            <w:shd w:val="clear" w:color="000000" w:fill="DBE5F1"/>
            <w:noWrap/>
            <w:vAlign w:val="center"/>
            <w:hideMark/>
          </w:tcPr>
          <w:p w14:paraId="0E2D9C1A" w14:textId="77777777" w:rsidR="001B6285" w:rsidRPr="001B6285" w:rsidRDefault="001B6285" w:rsidP="001B6285">
            <w:pPr>
              <w:widowControl/>
              <w:rPr>
                <w:rFonts w:ascii="Times New Roman" w:eastAsia="Times New Roman" w:hAnsi="Times New Roman" w:cs="Times New Roman"/>
                <w:color w:val="000000"/>
              </w:rPr>
            </w:pPr>
            <w:r w:rsidRPr="001B6285">
              <w:rPr>
                <w:rFonts w:ascii="Times New Roman" w:eastAsia="Times New Roman" w:hAnsi="Times New Roman" w:cs="Times New Roman"/>
                <w:color w:val="000000"/>
              </w:rPr>
              <w:t>ML</w:t>
            </w:r>
          </w:p>
        </w:tc>
        <w:tc>
          <w:tcPr>
            <w:tcW w:w="3549" w:type="dxa"/>
            <w:shd w:val="clear" w:color="000000" w:fill="DBE5F1"/>
            <w:noWrap/>
            <w:vAlign w:val="center"/>
            <w:hideMark/>
          </w:tcPr>
          <w:p w14:paraId="06CA405B" w14:textId="77777777" w:rsidR="001B6285" w:rsidRPr="001B6285" w:rsidRDefault="001B6285" w:rsidP="001B6285">
            <w:pPr>
              <w:widowControl/>
              <w:rPr>
                <w:rFonts w:ascii="Times New Roman" w:eastAsia="Times New Roman" w:hAnsi="Times New Roman" w:cs="Times New Roman"/>
                <w:color w:val="000000"/>
              </w:rPr>
            </w:pPr>
            <w:r w:rsidRPr="001B6285">
              <w:rPr>
                <w:rFonts w:ascii="Times New Roman" w:eastAsia="Times New Roman" w:hAnsi="Times New Roman" w:cs="Times New Roman"/>
                <w:color w:val="000000"/>
              </w:rPr>
              <w:t>Machine Learning</w:t>
            </w:r>
          </w:p>
        </w:tc>
      </w:tr>
      <w:tr w:rsidR="001B6285" w:rsidRPr="001B6285" w14:paraId="2C5E35DD" w14:textId="77777777" w:rsidTr="001B6285">
        <w:trPr>
          <w:trHeight w:val="294"/>
        </w:trPr>
        <w:tc>
          <w:tcPr>
            <w:tcW w:w="1788" w:type="dxa"/>
            <w:shd w:val="clear" w:color="000000" w:fill="DBE5F1"/>
            <w:noWrap/>
            <w:vAlign w:val="center"/>
            <w:hideMark/>
          </w:tcPr>
          <w:p w14:paraId="40D3AAD7" w14:textId="77777777" w:rsidR="001B6285" w:rsidRPr="001B6285" w:rsidRDefault="001B6285" w:rsidP="001B6285">
            <w:pPr>
              <w:widowControl/>
              <w:rPr>
                <w:rFonts w:ascii="Times New Roman" w:eastAsia="Times New Roman" w:hAnsi="Times New Roman" w:cs="Times New Roman"/>
                <w:color w:val="000000"/>
              </w:rPr>
            </w:pPr>
            <w:r w:rsidRPr="001B6285">
              <w:rPr>
                <w:rFonts w:ascii="Times New Roman" w:eastAsia="Times New Roman" w:hAnsi="Times New Roman" w:cs="Times New Roman"/>
                <w:color w:val="000000"/>
              </w:rPr>
              <w:t>DL</w:t>
            </w:r>
          </w:p>
        </w:tc>
        <w:tc>
          <w:tcPr>
            <w:tcW w:w="3549" w:type="dxa"/>
            <w:shd w:val="clear" w:color="000000" w:fill="DBE5F1"/>
            <w:noWrap/>
            <w:vAlign w:val="center"/>
            <w:hideMark/>
          </w:tcPr>
          <w:p w14:paraId="134DD7D8" w14:textId="77777777" w:rsidR="001B6285" w:rsidRPr="001B6285" w:rsidRDefault="001B6285" w:rsidP="001B6285">
            <w:pPr>
              <w:widowControl/>
              <w:rPr>
                <w:rFonts w:ascii="Times New Roman" w:eastAsia="Times New Roman" w:hAnsi="Times New Roman" w:cs="Times New Roman"/>
                <w:color w:val="000000"/>
              </w:rPr>
            </w:pPr>
            <w:r w:rsidRPr="001B6285">
              <w:rPr>
                <w:rFonts w:ascii="Times New Roman" w:eastAsia="Times New Roman" w:hAnsi="Times New Roman" w:cs="Times New Roman"/>
                <w:color w:val="000000"/>
              </w:rPr>
              <w:t>Deep Learning</w:t>
            </w:r>
          </w:p>
        </w:tc>
      </w:tr>
      <w:tr w:rsidR="001B6285" w:rsidRPr="001B6285" w14:paraId="33107475" w14:textId="77777777" w:rsidTr="001B6285">
        <w:trPr>
          <w:trHeight w:val="294"/>
        </w:trPr>
        <w:tc>
          <w:tcPr>
            <w:tcW w:w="1788" w:type="dxa"/>
            <w:shd w:val="clear" w:color="000000" w:fill="DBE5F1"/>
            <w:noWrap/>
            <w:vAlign w:val="center"/>
            <w:hideMark/>
          </w:tcPr>
          <w:p w14:paraId="35452232" w14:textId="77777777" w:rsidR="001B6285" w:rsidRPr="001B6285" w:rsidRDefault="001B6285" w:rsidP="001B6285">
            <w:pPr>
              <w:widowControl/>
              <w:rPr>
                <w:rFonts w:ascii="Times New Roman" w:eastAsia="Times New Roman" w:hAnsi="Times New Roman" w:cs="Times New Roman"/>
                <w:color w:val="000000"/>
              </w:rPr>
            </w:pPr>
            <w:r w:rsidRPr="001B6285">
              <w:rPr>
                <w:rFonts w:ascii="Times New Roman" w:eastAsia="Times New Roman" w:hAnsi="Times New Roman" w:cs="Times New Roman"/>
                <w:color w:val="000000"/>
              </w:rPr>
              <w:t>LSTM</w:t>
            </w:r>
          </w:p>
        </w:tc>
        <w:tc>
          <w:tcPr>
            <w:tcW w:w="3549" w:type="dxa"/>
            <w:shd w:val="clear" w:color="000000" w:fill="DBE5F1"/>
            <w:noWrap/>
            <w:vAlign w:val="center"/>
            <w:hideMark/>
          </w:tcPr>
          <w:p w14:paraId="383DB9DF" w14:textId="77777777" w:rsidR="001B6285" w:rsidRPr="001B6285" w:rsidRDefault="001B6285" w:rsidP="001B6285">
            <w:pPr>
              <w:widowControl/>
              <w:rPr>
                <w:rFonts w:ascii="Times New Roman" w:eastAsia="Times New Roman" w:hAnsi="Times New Roman" w:cs="Times New Roman"/>
                <w:color w:val="000000"/>
              </w:rPr>
            </w:pPr>
            <w:r w:rsidRPr="001B6285">
              <w:rPr>
                <w:rFonts w:ascii="Times New Roman" w:eastAsia="Times New Roman" w:hAnsi="Times New Roman" w:cs="Times New Roman"/>
                <w:color w:val="000000"/>
              </w:rPr>
              <w:t>Long Short-Term Memory</w:t>
            </w:r>
          </w:p>
        </w:tc>
      </w:tr>
      <w:tr w:rsidR="001B6285" w:rsidRPr="001B6285" w14:paraId="6DE95E42" w14:textId="77777777" w:rsidTr="001B6285">
        <w:trPr>
          <w:trHeight w:val="294"/>
        </w:trPr>
        <w:tc>
          <w:tcPr>
            <w:tcW w:w="1788" w:type="dxa"/>
            <w:shd w:val="clear" w:color="000000" w:fill="DBE5F1"/>
            <w:noWrap/>
            <w:vAlign w:val="center"/>
            <w:hideMark/>
          </w:tcPr>
          <w:p w14:paraId="19507B2E" w14:textId="77777777" w:rsidR="001B6285" w:rsidRPr="001B6285" w:rsidRDefault="001B6285" w:rsidP="001B6285">
            <w:pPr>
              <w:widowControl/>
              <w:rPr>
                <w:rFonts w:ascii="Times New Roman" w:eastAsia="Times New Roman" w:hAnsi="Times New Roman" w:cs="Times New Roman"/>
                <w:color w:val="000000"/>
              </w:rPr>
            </w:pPr>
            <w:r w:rsidRPr="001B6285">
              <w:rPr>
                <w:rFonts w:ascii="Times New Roman" w:eastAsia="Times New Roman" w:hAnsi="Times New Roman" w:cs="Times New Roman"/>
                <w:color w:val="000000"/>
              </w:rPr>
              <w:t>RNN</w:t>
            </w:r>
          </w:p>
        </w:tc>
        <w:tc>
          <w:tcPr>
            <w:tcW w:w="3549" w:type="dxa"/>
            <w:shd w:val="clear" w:color="000000" w:fill="DBE5F1"/>
            <w:noWrap/>
            <w:vAlign w:val="center"/>
            <w:hideMark/>
          </w:tcPr>
          <w:p w14:paraId="3F9262E9" w14:textId="77777777" w:rsidR="001B6285" w:rsidRPr="001B6285" w:rsidRDefault="001B6285" w:rsidP="001B6285">
            <w:pPr>
              <w:widowControl/>
              <w:rPr>
                <w:rFonts w:ascii="Times New Roman" w:eastAsia="Times New Roman" w:hAnsi="Times New Roman" w:cs="Times New Roman"/>
                <w:color w:val="000000"/>
              </w:rPr>
            </w:pPr>
            <w:r w:rsidRPr="001B6285">
              <w:rPr>
                <w:rFonts w:ascii="Times New Roman" w:eastAsia="Times New Roman" w:hAnsi="Times New Roman" w:cs="Times New Roman"/>
                <w:color w:val="000000"/>
              </w:rPr>
              <w:t>Recurrent Neural Network</w:t>
            </w:r>
          </w:p>
        </w:tc>
      </w:tr>
      <w:tr w:rsidR="001B6285" w:rsidRPr="001B6285" w14:paraId="73DEE348" w14:textId="77777777" w:rsidTr="001B6285">
        <w:trPr>
          <w:trHeight w:val="294"/>
        </w:trPr>
        <w:tc>
          <w:tcPr>
            <w:tcW w:w="1788" w:type="dxa"/>
            <w:shd w:val="clear" w:color="000000" w:fill="DBE5F1"/>
            <w:noWrap/>
            <w:vAlign w:val="center"/>
            <w:hideMark/>
          </w:tcPr>
          <w:p w14:paraId="2CD1ED1C" w14:textId="77777777" w:rsidR="001B6285" w:rsidRPr="001B6285" w:rsidRDefault="001B6285" w:rsidP="001B6285">
            <w:pPr>
              <w:widowControl/>
              <w:rPr>
                <w:rFonts w:ascii="Times New Roman" w:eastAsia="Times New Roman" w:hAnsi="Times New Roman" w:cs="Times New Roman"/>
                <w:color w:val="000000"/>
              </w:rPr>
            </w:pPr>
            <w:r w:rsidRPr="001B6285">
              <w:rPr>
                <w:rFonts w:ascii="Times New Roman" w:eastAsia="Times New Roman" w:hAnsi="Times New Roman" w:cs="Times New Roman"/>
                <w:color w:val="000000"/>
              </w:rPr>
              <w:t>XGBoost</w:t>
            </w:r>
          </w:p>
        </w:tc>
        <w:tc>
          <w:tcPr>
            <w:tcW w:w="3549" w:type="dxa"/>
            <w:shd w:val="clear" w:color="000000" w:fill="DBE5F1"/>
            <w:noWrap/>
            <w:vAlign w:val="center"/>
            <w:hideMark/>
          </w:tcPr>
          <w:p w14:paraId="0C820AA4" w14:textId="77777777" w:rsidR="001B6285" w:rsidRPr="001B6285" w:rsidRDefault="001B6285" w:rsidP="001B6285">
            <w:pPr>
              <w:widowControl/>
              <w:rPr>
                <w:rFonts w:ascii="Times New Roman" w:eastAsia="Times New Roman" w:hAnsi="Times New Roman" w:cs="Times New Roman"/>
                <w:color w:val="000000"/>
              </w:rPr>
            </w:pPr>
            <w:r w:rsidRPr="001B6285">
              <w:rPr>
                <w:rFonts w:ascii="Times New Roman" w:eastAsia="Times New Roman" w:hAnsi="Times New Roman" w:cs="Times New Roman"/>
                <w:color w:val="000000"/>
              </w:rPr>
              <w:t>Extreme Gradient Boosting</w:t>
            </w:r>
          </w:p>
        </w:tc>
      </w:tr>
      <w:tr w:rsidR="001B6285" w:rsidRPr="001B6285" w14:paraId="00337923" w14:textId="77777777" w:rsidTr="001B6285">
        <w:trPr>
          <w:trHeight w:val="294"/>
        </w:trPr>
        <w:tc>
          <w:tcPr>
            <w:tcW w:w="1788" w:type="dxa"/>
            <w:shd w:val="clear" w:color="000000" w:fill="DBE5F1"/>
            <w:noWrap/>
            <w:vAlign w:val="center"/>
            <w:hideMark/>
          </w:tcPr>
          <w:p w14:paraId="48C239B7" w14:textId="77777777" w:rsidR="001B6285" w:rsidRPr="001B6285" w:rsidRDefault="001B6285" w:rsidP="001B6285">
            <w:pPr>
              <w:widowControl/>
              <w:rPr>
                <w:rFonts w:ascii="Times New Roman" w:eastAsia="Times New Roman" w:hAnsi="Times New Roman" w:cs="Times New Roman"/>
                <w:color w:val="000000"/>
              </w:rPr>
            </w:pPr>
            <w:r w:rsidRPr="001B6285">
              <w:rPr>
                <w:rFonts w:ascii="Times New Roman" w:eastAsia="Times New Roman" w:hAnsi="Times New Roman" w:cs="Times New Roman"/>
                <w:color w:val="000000"/>
              </w:rPr>
              <w:t>RMSE</w:t>
            </w:r>
          </w:p>
        </w:tc>
        <w:tc>
          <w:tcPr>
            <w:tcW w:w="3549" w:type="dxa"/>
            <w:shd w:val="clear" w:color="000000" w:fill="DBE5F1"/>
            <w:noWrap/>
            <w:vAlign w:val="center"/>
            <w:hideMark/>
          </w:tcPr>
          <w:p w14:paraId="5E2D055C" w14:textId="77777777" w:rsidR="001B6285" w:rsidRPr="001B6285" w:rsidRDefault="001B6285" w:rsidP="001B6285">
            <w:pPr>
              <w:widowControl/>
              <w:rPr>
                <w:rFonts w:ascii="Times New Roman" w:eastAsia="Times New Roman" w:hAnsi="Times New Roman" w:cs="Times New Roman"/>
                <w:color w:val="000000"/>
              </w:rPr>
            </w:pPr>
            <w:r w:rsidRPr="001B6285">
              <w:rPr>
                <w:rFonts w:ascii="Times New Roman" w:eastAsia="Times New Roman" w:hAnsi="Times New Roman" w:cs="Times New Roman"/>
                <w:color w:val="000000"/>
              </w:rPr>
              <w:t>Root Mean Squared Error</w:t>
            </w:r>
          </w:p>
        </w:tc>
      </w:tr>
      <w:tr w:rsidR="001B6285" w:rsidRPr="001B6285" w14:paraId="579C4479" w14:textId="77777777" w:rsidTr="001B6285">
        <w:trPr>
          <w:trHeight w:val="294"/>
        </w:trPr>
        <w:tc>
          <w:tcPr>
            <w:tcW w:w="1788" w:type="dxa"/>
            <w:shd w:val="clear" w:color="000000" w:fill="DBE5F1"/>
            <w:noWrap/>
            <w:vAlign w:val="center"/>
            <w:hideMark/>
          </w:tcPr>
          <w:p w14:paraId="51BAD79B" w14:textId="77777777" w:rsidR="001B6285" w:rsidRPr="001B6285" w:rsidRDefault="001B6285" w:rsidP="001B6285">
            <w:pPr>
              <w:widowControl/>
              <w:rPr>
                <w:rFonts w:ascii="Times New Roman" w:eastAsia="Times New Roman" w:hAnsi="Times New Roman" w:cs="Times New Roman"/>
                <w:color w:val="000000"/>
              </w:rPr>
            </w:pPr>
            <w:r w:rsidRPr="001B6285">
              <w:rPr>
                <w:rFonts w:ascii="Times New Roman" w:eastAsia="Times New Roman" w:hAnsi="Times New Roman" w:cs="Times New Roman"/>
                <w:color w:val="000000"/>
              </w:rPr>
              <w:t>MAE</w:t>
            </w:r>
          </w:p>
        </w:tc>
        <w:tc>
          <w:tcPr>
            <w:tcW w:w="3549" w:type="dxa"/>
            <w:shd w:val="clear" w:color="000000" w:fill="DBE5F1"/>
            <w:noWrap/>
            <w:vAlign w:val="center"/>
            <w:hideMark/>
          </w:tcPr>
          <w:p w14:paraId="07EE2F61" w14:textId="77777777" w:rsidR="001B6285" w:rsidRPr="001B6285" w:rsidRDefault="001B6285" w:rsidP="001B6285">
            <w:pPr>
              <w:widowControl/>
              <w:rPr>
                <w:rFonts w:ascii="Times New Roman" w:eastAsia="Times New Roman" w:hAnsi="Times New Roman" w:cs="Times New Roman"/>
                <w:color w:val="000000"/>
              </w:rPr>
            </w:pPr>
            <w:r w:rsidRPr="001B6285">
              <w:rPr>
                <w:rFonts w:ascii="Times New Roman" w:eastAsia="Times New Roman" w:hAnsi="Times New Roman" w:cs="Times New Roman"/>
                <w:color w:val="000000"/>
              </w:rPr>
              <w:t>Mean Absolute Error</w:t>
            </w:r>
          </w:p>
        </w:tc>
      </w:tr>
      <w:tr w:rsidR="001B6285" w:rsidRPr="001B6285" w14:paraId="039FC3C3" w14:textId="77777777" w:rsidTr="001B6285">
        <w:trPr>
          <w:trHeight w:val="294"/>
        </w:trPr>
        <w:tc>
          <w:tcPr>
            <w:tcW w:w="1788" w:type="dxa"/>
            <w:shd w:val="clear" w:color="000000" w:fill="DBE5F1"/>
            <w:noWrap/>
            <w:vAlign w:val="center"/>
            <w:hideMark/>
          </w:tcPr>
          <w:p w14:paraId="20FBC48E" w14:textId="77777777" w:rsidR="001B6285" w:rsidRPr="001B6285" w:rsidRDefault="001B6285" w:rsidP="001B6285">
            <w:pPr>
              <w:widowControl/>
              <w:rPr>
                <w:rFonts w:ascii="Times New Roman" w:eastAsia="Times New Roman" w:hAnsi="Times New Roman" w:cs="Times New Roman"/>
                <w:color w:val="000000"/>
              </w:rPr>
            </w:pPr>
            <w:r w:rsidRPr="001B6285">
              <w:rPr>
                <w:rFonts w:ascii="Times New Roman" w:eastAsia="Times New Roman" w:hAnsi="Times New Roman" w:cs="Times New Roman"/>
                <w:color w:val="000000"/>
              </w:rPr>
              <w:t>USD</w:t>
            </w:r>
          </w:p>
        </w:tc>
        <w:tc>
          <w:tcPr>
            <w:tcW w:w="3549" w:type="dxa"/>
            <w:shd w:val="clear" w:color="000000" w:fill="DBE5F1"/>
            <w:noWrap/>
            <w:vAlign w:val="center"/>
            <w:hideMark/>
          </w:tcPr>
          <w:p w14:paraId="75B032F4" w14:textId="77777777" w:rsidR="001B6285" w:rsidRPr="001B6285" w:rsidRDefault="001B6285" w:rsidP="001B6285">
            <w:pPr>
              <w:widowControl/>
              <w:rPr>
                <w:rFonts w:ascii="Times New Roman" w:eastAsia="Times New Roman" w:hAnsi="Times New Roman" w:cs="Times New Roman"/>
                <w:color w:val="000000"/>
              </w:rPr>
            </w:pPr>
            <w:r w:rsidRPr="001B6285">
              <w:rPr>
                <w:rFonts w:ascii="Times New Roman" w:eastAsia="Times New Roman" w:hAnsi="Times New Roman" w:cs="Times New Roman"/>
                <w:color w:val="000000"/>
              </w:rPr>
              <w:t>United States Dollar</w:t>
            </w:r>
          </w:p>
        </w:tc>
      </w:tr>
    </w:tbl>
    <w:p w14:paraId="0FCC00C1" w14:textId="77777777" w:rsidR="00A52B57" w:rsidRDefault="00A52B57" w:rsidP="00A52B57">
      <w:pPr>
        <w:pStyle w:val="Heading2"/>
        <w:spacing w:before="0" w:after="120" w:line="275" w:lineRule="auto"/>
        <w:rPr>
          <w:rFonts w:ascii="Google Sans" w:eastAsia="Google Sans" w:hAnsi="Google Sans" w:cs="Google Sans"/>
          <w:color w:val="1B1C1D"/>
        </w:rPr>
      </w:pPr>
    </w:p>
    <w:p w14:paraId="2B5D161F" w14:textId="3ADEC8D9" w:rsidR="003F03C9" w:rsidRPr="00352DEB" w:rsidRDefault="008D7557" w:rsidP="007A29BA">
      <w:pPr>
        <w:pStyle w:val="Heading2"/>
        <w:spacing w:before="0" w:after="120" w:line="275" w:lineRule="auto"/>
        <w:rPr>
          <w:rFonts w:asciiTheme="majorHAnsi" w:eastAsia="Google Sans" w:hAnsiTheme="majorHAnsi" w:cstheme="majorHAnsi"/>
          <w:b w:val="0"/>
          <w:bCs/>
          <w:color w:val="1B1C1D"/>
        </w:rPr>
      </w:pPr>
      <w:r w:rsidRPr="00352DEB">
        <w:rPr>
          <w:rFonts w:asciiTheme="majorHAnsi" w:eastAsia="Google Sans" w:hAnsiTheme="majorHAnsi" w:cstheme="majorHAnsi"/>
          <w:b w:val="0"/>
          <w:bCs/>
          <w:color w:val="1B1C1D"/>
        </w:rPr>
        <w:lastRenderedPageBreak/>
        <w:t>List of Figures</w:t>
      </w:r>
    </w:p>
    <w:tbl>
      <w:tblPr>
        <w:tblW w:w="9170" w:type="dxa"/>
        <w:tblLook w:val="04A0" w:firstRow="1" w:lastRow="0" w:firstColumn="1" w:lastColumn="0" w:noHBand="0" w:noVBand="1"/>
      </w:tblPr>
      <w:tblGrid>
        <w:gridCol w:w="1250"/>
        <w:gridCol w:w="7920"/>
      </w:tblGrid>
      <w:tr w:rsidR="00352DEB" w:rsidRPr="00352DEB" w14:paraId="4BF8E9C2" w14:textId="77777777" w:rsidTr="00352DEB">
        <w:trPr>
          <w:trHeight w:val="315"/>
        </w:trPr>
        <w:tc>
          <w:tcPr>
            <w:tcW w:w="1250" w:type="dxa"/>
            <w:tcBorders>
              <w:top w:val="single" w:sz="8" w:space="0" w:color="auto"/>
              <w:left w:val="single" w:sz="8" w:space="0" w:color="auto"/>
              <w:bottom w:val="single" w:sz="8" w:space="0" w:color="auto"/>
              <w:right w:val="single" w:sz="8" w:space="0" w:color="auto"/>
            </w:tcBorders>
            <w:shd w:val="clear" w:color="000000" w:fill="DBE5F1"/>
            <w:noWrap/>
            <w:vAlign w:val="center"/>
            <w:hideMark/>
          </w:tcPr>
          <w:p w14:paraId="2AB5F472" w14:textId="77777777" w:rsidR="00352DEB" w:rsidRPr="00352DEB" w:rsidRDefault="00352DEB" w:rsidP="00352DEB">
            <w:pPr>
              <w:widowControl/>
              <w:jc w:val="center"/>
              <w:rPr>
                <w:rFonts w:ascii="Times New Roman" w:eastAsia="Times New Roman" w:hAnsi="Times New Roman" w:cs="Times New Roman"/>
                <w:b/>
                <w:bCs/>
                <w:color w:val="000000"/>
              </w:rPr>
            </w:pPr>
            <w:r w:rsidRPr="00352DEB">
              <w:rPr>
                <w:rFonts w:ascii="Times New Roman" w:eastAsia="Times New Roman" w:hAnsi="Times New Roman" w:cs="Times New Roman"/>
                <w:b/>
                <w:bCs/>
                <w:color w:val="000000"/>
              </w:rPr>
              <w:t>Figure No</w:t>
            </w:r>
          </w:p>
        </w:tc>
        <w:tc>
          <w:tcPr>
            <w:tcW w:w="7920" w:type="dxa"/>
            <w:tcBorders>
              <w:top w:val="single" w:sz="8" w:space="0" w:color="auto"/>
              <w:left w:val="nil"/>
              <w:bottom w:val="single" w:sz="8" w:space="0" w:color="auto"/>
              <w:right w:val="single" w:sz="8" w:space="0" w:color="auto"/>
            </w:tcBorders>
            <w:shd w:val="clear" w:color="000000" w:fill="DBE5F1"/>
            <w:noWrap/>
            <w:vAlign w:val="center"/>
            <w:hideMark/>
          </w:tcPr>
          <w:p w14:paraId="216F756F" w14:textId="77777777" w:rsidR="00352DEB" w:rsidRPr="00352DEB" w:rsidRDefault="00352DEB" w:rsidP="00352DEB">
            <w:pPr>
              <w:widowControl/>
              <w:jc w:val="center"/>
              <w:rPr>
                <w:rFonts w:ascii="Times New Roman" w:eastAsia="Times New Roman" w:hAnsi="Times New Roman" w:cs="Times New Roman"/>
                <w:b/>
                <w:bCs/>
                <w:color w:val="000000"/>
              </w:rPr>
            </w:pPr>
            <w:r w:rsidRPr="00352DEB">
              <w:rPr>
                <w:rFonts w:ascii="Times New Roman" w:eastAsia="Times New Roman" w:hAnsi="Times New Roman" w:cs="Times New Roman"/>
                <w:b/>
                <w:bCs/>
                <w:color w:val="000000"/>
              </w:rPr>
              <w:t>Title</w:t>
            </w:r>
          </w:p>
        </w:tc>
      </w:tr>
      <w:tr w:rsidR="00352DEB" w:rsidRPr="00352DEB" w14:paraId="233BD8E8" w14:textId="77777777" w:rsidTr="00352DEB">
        <w:trPr>
          <w:trHeight w:val="315"/>
        </w:trPr>
        <w:tc>
          <w:tcPr>
            <w:tcW w:w="1250" w:type="dxa"/>
            <w:tcBorders>
              <w:top w:val="nil"/>
              <w:left w:val="single" w:sz="8" w:space="0" w:color="auto"/>
              <w:bottom w:val="single" w:sz="8" w:space="0" w:color="auto"/>
              <w:right w:val="single" w:sz="8" w:space="0" w:color="auto"/>
            </w:tcBorders>
            <w:shd w:val="clear" w:color="000000" w:fill="DBE5F1"/>
            <w:noWrap/>
            <w:vAlign w:val="center"/>
            <w:hideMark/>
          </w:tcPr>
          <w:p w14:paraId="272C876D" w14:textId="77777777" w:rsidR="00352DEB" w:rsidRPr="00352DEB" w:rsidRDefault="00352DEB" w:rsidP="00352DEB">
            <w:pPr>
              <w:widowControl/>
              <w:rPr>
                <w:rFonts w:ascii="Times New Roman" w:eastAsia="Times New Roman" w:hAnsi="Times New Roman" w:cs="Times New Roman"/>
                <w:color w:val="000000"/>
              </w:rPr>
            </w:pPr>
            <w:r w:rsidRPr="00352DEB">
              <w:rPr>
                <w:rFonts w:ascii="Times New Roman" w:eastAsia="Times New Roman" w:hAnsi="Times New Roman" w:cs="Times New Roman"/>
                <w:color w:val="000000"/>
              </w:rPr>
              <w:t>Figure 2.1</w:t>
            </w:r>
          </w:p>
        </w:tc>
        <w:tc>
          <w:tcPr>
            <w:tcW w:w="7920" w:type="dxa"/>
            <w:tcBorders>
              <w:top w:val="nil"/>
              <w:left w:val="nil"/>
              <w:bottom w:val="single" w:sz="8" w:space="0" w:color="auto"/>
              <w:right w:val="single" w:sz="8" w:space="0" w:color="auto"/>
            </w:tcBorders>
            <w:shd w:val="clear" w:color="000000" w:fill="DBE5F1"/>
            <w:noWrap/>
            <w:vAlign w:val="center"/>
            <w:hideMark/>
          </w:tcPr>
          <w:p w14:paraId="7254332A" w14:textId="3737E355" w:rsidR="00352DEB" w:rsidRPr="00352DEB" w:rsidRDefault="00352DEB" w:rsidP="00352DEB">
            <w:pPr>
              <w:widowControl/>
              <w:rPr>
                <w:rFonts w:ascii="Times New Roman" w:eastAsia="Times New Roman" w:hAnsi="Times New Roman" w:cs="Times New Roman"/>
                <w:color w:val="000000"/>
              </w:rPr>
            </w:pPr>
            <w:r w:rsidRPr="00352DEB">
              <w:rPr>
                <w:rFonts w:ascii="Times New Roman" w:eastAsia="Times New Roman" w:hAnsi="Times New Roman" w:cs="Times New Roman"/>
                <w:color w:val="000000"/>
              </w:rPr>
              <w:t xml:space="preserve">Gold Price Chart (2005–2025)  </w:t>
            </w:r>
          </w:p>
        </w:tc>
      </w:tr>
      <w:tr w:rsidR="00352DEB" w:rsidRPr="00352DEB" w14:paraId="4BEFE33C" w14:textId="77777777" w:rsidTr="00352DEB">
        <w:trPr>
          <w:trHeight w:val="315"/>
        </w:trPr>
        <w:tc>
          <w:tcPr>
            <w:tcW w:w="1250" w:type="dxa"/>
            <w:tcBorders>
              <w:top w:val="nil"/>
              <w:left w:val="single" w:sz="8" w:space="0" w:color="auto"/>
              <w:bottom w:val="single" w:sz="8" w:space="0" w:color="auto"/>
              <w:right w:val="single" w:sz="8" w:space="0" w:color="auto"/>
            </w:tcBorders>
            <w:shd w:val="clear" w:color="000000" w:fill="DBE5F1"/>
            <w:noWrap/>
            <w:vAlign w:val="center"/>
            <w:hideMark/>
          </w:tcPr>
          <w:p w14:paraId="49FCFF7E" w14:textId="77777777" w:rsidR="00352DEB" w:rsidRPr="00352DEB" w:rsidRDefault="00352DEB" w:rsidP="00352DEB">
            <w:pPr>
              <w:widowControl/>
              <w:rPr>
                <w:rFonts w:ascii="Times New Roman" w:eastAsia="Times New Roman" w:hAnsi="Times New Roman" w:cs="Times New Roman"/>
                <w:color w:val="000000"/>
              </w:rPr>
            </w:pPr>
            <w:r w:rsidRPr="00352DEB">
              <w:rPr>
                <w:rFonts w:ascii="Times New Roman" w:eastAsia="Times New Roman" w:hAnsi="Times New Roman" w:cs="Times New Roman"/>
                <w:color w:val="000000"/>
              </w:rPr>
              <w:t>Figure 4.1</w:t>
            </w:r>
          </w:p>
        </w:tc>
        <w:tc>
          <w:tcPr>
            <w:tcW w:w="7920" w:type="dxa"/>
            <w:tcBorders>
              <w:top w:val="nil"/>
              <w:left w:val="nil"/>
              <w:bottom w:val="single" w:sz="8" w:space="0" w:color="auto"/>
              <w:right w:val="single" w:sz="8" w:space="0" w:color="auto"/>
            </w:tcBorders>
            <w:shd w:val="clear" w:color="000000" w:fill="DBE5F1"/>
            <w:noWrap/>
            <w:vAlign w:val="center"/>
            <w:hideMark/>
          </w:tcPr>
          <w:p w14:paraId="09E25BFE" w14:textId="21231BCA" w:rsidR="00352DEB" w:rsidRPr="00352DEB" w:rsidRDefault="00352DEB" w:rsidP="00352DEB">
            <w:pPr>
              <w:widowControl/>
              <w:rPr>
                <w:rFonts w:ascii="Times New Roman" w:eastAsia="Times New Roman" w:hAnsi="Times New Roman" w:cs="Times New Roman"/>
                <w:color w:val="000000"/>
              </w:rPr>
            </w:pPr>
            <w:r w:rsidRPr="00352DEB">
              <w:rPr>
                <w:rFonts w:ascii="Times New Roman" w:eastAsia="Times New Roman" w:hAnsi="Times New Roman" w:cs="Times New Roman"/>
                <w:color w:val="000000"/>
              </w:rPr>
              <w:t xml:space="preserve">Research framework of the proposed hybrid model  </w:t>
            </w:r>
          </w:p>
        </w:tc>
      </w:tr>
      <w:tr w:rsidR="00352DEB" w:rsidRPr="00352DEB" w14:paraId="385745F6" w14:textId="77777777" w:rsidTr="00352DEB">
        <w:trPr>
          <w:trHeight w:val="315"/>
        </w:trPr>
        <w:tc>
          <w:tcPr>
            <w:tcW w:w="1250" w:type="dxa"/>
            <w:tcBorders>
              <w:top w:val="nil"/>
              <w:left w:val="single" w:sz="8" w:space="0" w:color="auto"/>
              <w:bottom w:val="single" w:sz="8" w:space="0" w:color="auto"/>
              <w:right w:val="single" w:sz="8" w:space="0" w:color="auto"/>
            </w:tcBorders>
            <w:shd w:val="clear" w:color="000000" w:fill="DBE5F1"/>
            <w:noWrap/>
            <w:vAlign w:val="center"/>
            <w:hideMark/>
          </w:tcPr>
          <w:p w14:paraId="4CED44F8" w14:textId="77777777" w:rsidR="00352DEB" w:rsidRPr="00352DEB" w:rsidRDefault="00352DEB" w:rsidP="00352DEB">
            <w:pPr>
              <w:widowControl/>
              <w:rPr>
                <w:rFonts w:ascii="Times New Roman" w:eastAsia="Times New Roman" w:hAnsi="Times New Roman" w:cs="Times New Roman"/>
                <w:color w:val="000000"/>
              </w:rPr>
            </w:pPr>
            <w:r w:rsidRPr="00352DEB">
              <w:rPr>
                <w:rFonts w:ascii="Times New Roman" w:eastAsia="Times New Roman" w:hAnsi="Times New Roman" w:cs="Times New Roman"/>
                <w:color w:val="000000"/>
              </w:rPr>
              <w:t>Figure 4.2</w:t>
            </w:r>
          </w:p>
        </w:tc>
        <w:tc>
          <w:tcPr>
            <w:tcW w:w="7920" w:type="dxa"/>
            <w:tcBorders>
              <w:top w:val="nil"/>
              <w:left w:val="nil"/>
              <w:bottom w:val="single" w:sz="8" w:space="0" w:color="auto"/>
              <w:right w:val="single" w:sz="8" w:space="0" w:color="auto"/>
            </w:tcBorders>
            <w:shd w:val="clear" w:color="000000" w:fill="DBE5F1"/>
            <w:noWrap/>
            <w:vAlign w:val="center"/>
            <w:hideMark/>
          </w:tcPr>
          <w:p w14:paraId="457BC592" w14:textId="5F32F5A8" w:rsidR="00352DEB" w:rsidRPr="00352DEB" w:rsidRDefault="00352DEB" w:rsidP="00352DEB">
            <w:pPr>
              <w:widowControl/>
              <w:rPr>
                <w:rFonts w:ascii="Times New Roman" w:eastAsia="Times New Roman" w:hAnsi="Times New Roman" w:cs="Times New Roman"/>
                <w:color w:val="000000"/>
              </w:rPr>
            </w:pPr>
            <w:r w:rsidRPr="00352DEB">
              <w:rPr>
                <w:rFonts w:ascii="Times New Roman" w:eastAsia="Times New Roman" w:hAnsi="Times New Roman" w:cs="Times New Roman"/>
                <w:color w:val="000000"/>
              </w:rPr>
              <w:t xml:space="preserve">Hybrid LSTM–XGBoost forecasting pipeline  </w:t>
            </w:r>
          </w:p>
        </w:tc>
      </w:tr>
      <w:tr w:rsidR="00352DEB" w:rsidRPr="00352DEB" w14:paraId="350FBEFA" w14:textId="77777777" w:rsidTr="00352DEB">
        <w:trPr>
          <w:trHeight w:val="315"/>
        </w:trPr>
        <w:tc>
          <w:tcPr>
            <w:tcW w:w="1250" w:type="dxa"/>
            <w:tcBorders>
              <w:top w:val="nil"/>
              <w:left w:val="single" w:sz="8" w:space="0" w:color="auto"/>
              <w:bottom w:val="single" w:sz="8" w:space="0" w:color="auto"/>
              <w:right w:val="single" w:sz="8" w:space="0" w:color="auto"/>
            </w:tcBorders>
            <w:shd w:val="clear" w:color="000000" w:fill="DBE5F1"/>
            <w:noWrap/>
            <w:vAlign w:val="center"/>
            <w:hideMark/>
          </w:tcPr>
          <w:p w14:paraId="0723B2A1" w14:textId="77777777" w:rsidR="00352DEB" w:rsidRPr="00352DEB" w:rsidRDefault="00352DEB" w:rsidP="00352DEB">
            <w:pPr>
              <w:widowControl/>
              <w:rPr>
                <w:rFonts w:ascii="Times New Roman" w:eastAsia="Times New Roman" w:hAnsi="Times New Roman" w:cs="Times New Roman"/>
                <w:color w:val="000000"/>
              </w:rPr>
            </w:pPr>
            <w:r w:rsidRPr="00352DEB">
              <w:rPr>
                <w:rFonts w:ascii="Times New Roman" w:eastAsia="Times New Roman" w:hAnsi="Times New Roman" w:cs="Times New Roman"/>
                <w:color w:val="000000"/>
              </w:rPr>
              <w:t>Figure 5.1</w:t>
            </w:r>
          </w:p>
        </w:tc>
        <w:tc>
          <w:tcPr>
            <w:tcW w:w="7920" w:type="dxa"/>
            <w:tcBorders>
              <w:top w:val="nil"/>
              <w:left w:val="nil"/>
              <w:bottom w:val="single" w:sz="8" w:space="0" w:color="auto"/>
              <w:right w:val="single" w:sz="8" w:space="0" w:color="auto"/>
            </w:tcBorders>
            <w:shd w:val="clear" w:color="000000" w:fill="DBE5F1"/>
            <w:noWrap/>
            <w:vAlign w:val="center"/>
            <w:hideMark/>
          </w:tcPr>
          <w:p w14:paraId="7F88902B" w14:textId="14055A6E" w:rsidR="00352DEB" w:rsidRPr="00352DEB" w:rsidRDefault="00352DEB" w:rsidP="00352DEB">
            <w:pPr>
              <w:widowControl/>
              <w:rPr>
                <w:rFonts w:ascii="Times New Roman" w:eastAsia="Times New Roman" w:hAnsi="Times New Roman" w:cs="Times New Roman"/>
                <w:color w:val="000000"/>
              </w:rPr>
            </w:pPr>
            <w:r w:rsidRPr="00352DEB">
              <w:rPr>
                <w:rFonts w:ascii="Times New Roman" w:eastAsia="Times New Roman" w:hAnsi="Times New Roman" w:cs="Times New Roman"/>
                <w:color w:val="000000"/>
              </w:rPr>
              <w:t xml:space="preserve">Actual vs. Predicted Gold Prices using the XGBoost Model on the Test Set  </w:t>
            </w:r>
          </w:p>
        </w:tc>
      </w:tr>
      <w:tr w:rsidR="00352DEB" w:rsidRPr="00352DEB" w14:paraId="44C45EE8" w14:textId="77777777" w:rsidTr="00352DEB">
        <w:trPr>
          <w:trHeight w:val="315"/>
        </w:trPr>
        <w:tc>
          <w:tcPr>
            <w:tcW w:w="1250" w:type="dxa"/>
            <w:tcBorders>
              <w:top w:val="nil"/>
              <w:left w:val="single" w:sz="8" w:space="0" w:color="auto"/>
              <w:bottom w:val="single" w:sz="8" w:space="0" w:color="auto"/>
              <w:right w:val="single" w:sz="8" w:space="0" w:color="auto"/>
            </w:tcBorders>
            <w:shd w:val="clear" w:color="000000" w:fill="DBE5F1"/>
            <w:noWrap/>
            <w:vAlign w:val="center"/>
            <w:hideMark/>
          </w:tcPr>
          <w:p w14:paraId="381E5250" w14:textId="77777777" w:rsidR="00352DEB" w:rsidRPr="00352DEB" w:rsidRDefault="00352DEB" w:rsidP="00352DEB">
            <w:pPr>
              <w:widowControl/>
              <w:rPr>
                <w:rFonts w:ascii="Times New Roman" w:eastAsia="Times New Roman" w:hAnsi="Times New Roman" w:cs="Times New Roman"/>
                <w:color w:val="000000"/>
              </w:rPr>
            </w:pPr>
            <w:r w:rsidRPr="00352DEB">
              <w:rPr>
                <w:rFonts w:ascii="Times New Roman" w:eastAsia="Times New Roman" w:hAnsi="Times New Roman" w:cs="Times New Roman"/>
                <w:color w:val="000000"/>
              </w:rPr>
              <w:t>Figure 5.2</w:t>
            </w:r>
          </w:p>
        </w:tc>
        <w:tc>
          <w:tcPr>
            <w:tcW w:w="7920" w:type="dxa"/>
            <w:tcBorders>
              <w:top w:val="nil"/>
              <w:left w:val="nil"/>
              <w:bottom w:val="single" w:sz="8" w:space="0" w:color="auto"/>
              <w:right w:val="single" w:sz="8" w:space="0" w:color="auto"/>
            </w:tcBorders>
            <w:shd w:val="clear" w:color="000000" w:fill="DBE5F1"/>
            <w:noWrap/>
            <w:vAlign w:val="center"/>
            <w:hideMark/>
          </w:tcPr>
          <w:p w14:paraId="7E48AA90" w14:textId="23BFE6C8" w:rsidR="00352DEB" w:rsidRPr="00352DEB" w:rsidRDefault="00352DEB" w:rsidP="00352DEB">
            <w:pPr>
              <w:widowControl/>
              <w:rPr>
                <w:rFonts w:ascii="Times New Roman" w:eastAsia="Times New Roman" w:hAnsi="Times New Roman" w:cs="Times New Roman"/>
                <w:color w:val="000000"/>
              </w:rPr>
            </w:pPr>
            <w:r w:rsidRPr="00352DEB">
              <w:rPr>
                <w:rFonts w:ascii="Times New Roman" w:eastAsia="Times New Roman" w:hAnsi="Times New Roman" w:cs="Times New Roman"/>
                <w:color w:val="000000"/>
              </w:rPr>
              <w:t xml:space="preserve">Training and validation loss curves for the residual LSTM model  </w:t>
            </w:r>
          </w:p>
        </w:tc>
      </w:tr>
      <w:tr w:rsidR="00352DEB" w:rsidRPr="00352DEB" w14:paraId="700F8CC7" w14:textId="77777777" w:rsidTr="00352DEB">
        <w:trPr>
          <w:trHeight w:val="315"/>
        </w:trPr>
        <w:tc>
          <w:tcPr>
            <w:tcW w:w="1250" w:type="dxa"/>
            <w:tcBorders>
              <w:top w:val="nil"/>
              <w:left w:val="single" w:sz="8" w:space="0" w:color="auto"/>
              <w:bottom w:val="single" w:sz="8" w:space="0" w:color="auto"/>
              <w:right w:val="single" w:sz="8" w:space="0" w:color="auto"/>
            </w:tcBorders>
            <w:shd w:val="clear" w:color="000000" w:fill="DBE5F1"/>
            <w:noWrap/>
            <w:vAlign w:val="center"/>
            <w:hideMark/>
          </w:tcPr>
          <w:p w14:paraId="3C79C937" w14:textId="77777777" w:rsidR="00352DEB" w:rsidRPr="00352DEB" w:rsidRDefault="00352DEB" w:rsidP="00352DEB">
            <w:pPr>
              <w:widowControl/>
              <w:rPr>
                <w:rFonts w:ascii="Times New Roman" w:eastAsia="Times New Roman" w:hAnsi="Times New Roman" w:cs="Times New Roman"/>
                <w:color w:val="000000"/>
              </w:rPr>
            </w:pPr>
            <w:r w:rsidRPr="00352DEB">
              <w:rPr>
                <w:rFonts w:ascii="Times New Roman" w:eastAsia="Times New Roman" w:hAnsi="Times New Roman" w:cs="Times New Roman"/>
                <w:color w:val="000000"/>
              </w:rPr>
              <w:t>Figure 5.3</w:t>
            </w:r>
          </w:p>
        </w:tc>
        <w:tc>
          <w:tcPr>
            <w:tcW w:w="7920" w:type="dxa"/>
            <w:tcBorders>
              <w:top w:val="nil"/>
              <w:left w:val="nil"/>
              <w:bottom w:val="single" w:sz="8" w:space="0" w:color="auto"/>
              <w:right w:val="single" w:sz="8" w:space="0" w:color="auto"/>
            </w:tcBorders>
            <w:shd w:val="clear" w:color="000000" w:fill="DBE5F1"/>
            <w:noWrap/>
            <w:vAlign w:val="center"/>
            <w:hideMark/>
          </w:tcPr>
          <w:p w14:paraId="27292224" w14:textId="40EEC9C8" w:rsidR="00352DEB" w:rsidRPr="00352DEB" w:rsidRDefault="00352DEB" w:rsidP="00352DEB">
            <w:pPr>
              <w:widowControl/>
              <w:rPr>
                <w:rFonts w:ascii="Times New Roman" w:eastAsia="Times New Roman" w:hAnsi="Times New Roman" w:cs="Times New Roman"/>
                <w:color w:val="000000"/>
              </w:rPr>
            </w:pPr>
            <w:r w:rsidRPr="00352DEB">
              <w:rPr>
                <w:rFonts w:ascii="Times New Roman" w:eastAsia="Times New Roman" w:hAnsi="Times New Roman" w:cs="Times New Roman"/>
                <w:color w:val="000000"/>
              </w:rPr>
              <w:t>Actual vs. Predicted Gold Prices using the residual-based hybrid model on the test set</w:t>
            </w:r>
          </w:p>
        </w:tc>
      </w:tr>
    </w:tbl>
    <w:p w14:paraId="7FB894C9" w14:textId="77777777" w:rsidR="000C78F0" w:rsidRDefault="000C78F0" w:rsidP="006B1E4D">
      <w:pPr>
        <w:pStyle w:val="Heading2"/>
        <w:spacing w:before="0" w:after="120" w:line="275" w:lineRule="auto"/>
        <w:rPr>
          <w:rFonts w:asciiTheme="majorHAnsi" w:eastAsia="Google Sans" w:hAnsiTheme="majorHAnsi" w:cstheme="majorHAnsi"/>
          <w:b w:val="0"/>
          <w:bCs/>
          <w:color w:val="1B1C1D"/>
          <w:rtl/>
        </w:rPr>
      </w:pPr>
    </w:p>
    <w:p w14:paraId="3236A83D" w14:textId="7EB1A29E" w:rsidR="003F03C9" w:rsidRPr="006B1E4D" w:rsidRDefault="008D7557" w:rsidP="006B1E4D">
      <w:pPr>
        <w:pStyle w:val="Heading2"/>
        <w:spacing w:before="0" w:after="120" w:line="275" w:lineRule="auto"/>
        <w:rPr>
          <w:rFonts w:asciiTheme="majorHAnsi" w:eastAsia="Google Sans" w:hAnsiTheme="majorHAnsi" w:cstheme="majorHAnsi"/>
          <w:b w:val="0"/>
          <w:bCs/>
          <w:color w:val="1B1C1D"/>
        </w:rPr>
      </w:pPr>
      <w:r w:rsidRPr="006B1E4D">
        <w:rPr>
          <w:rFonts w:asciiTheme="majorHAnsi" w:eastAsia="Google Sans" w:hAnsiTheme="majorHAnsi" w:cstheme="majorHAnsi"/>
          <w:b w:val="0"/>
          <w:bCs/>
          <w:color w:val="1B1C1D"/>
        </w:rPr>
        <w:t>List of Tables</w:t>
      </w:r>
    </w:p>
    <w:tbl>
      <w:tblPr>
        <w:tblW w:w="8995" w:type="dxa"/>
        <w:shd w:val="clear" w:color="auto" w:fill="DBE5F1" w:themeFill="accent1" w:themeFillTint="33"/>
        <w:tblLook w:val="04A0" w:firstRow="1" w:lastRow="0" w:firstColumn="1" w:lastColumn="0" w:noHBand="0" w:noVBand="1"/>
      </w:tblPr>
      <w:tblGrid>
        <w:gridCol w:w="1442"/>
        <w:gridCol w:w="7553"/>
      </w:tblGrid>
      <w:tr w:rsidR="007A29BA" w:rsidRPr="006B1E4D" w14:paraId="4AF82559" w14:textId="77777777" w:rsidTr="0081624C">
        <w:trPr>
          <w:trHeight w:val="323"/>
        </w:trPr>
        <w:tc>
          <w:tcPr>
            <w:tcW w:w="1442" w:type="dxa"/>
            <w:tcBorders>
              <w:top w:val="single" w:sz="4" w:space="0" w:color="auto"/>
              <w:left w:val="single" w:sz="4" w:space="0" w:color="auto"/>
              <w:bottom w:val="single" w:sz="4" w:space="0" w:color="auto"/>
              <w:right w:val="single" w:sz="4" w:space="0" w:color="auto"/>
            </w:tcBorders>
            <w:shd w:val="clear" w:color="auto" w:fill="DBE5F1" w:themeFill="accent1" w:themeFillTint="33"/>
            <w:noWrap/>
            <w:vAlign w:val="center"/>
            <w:hideMark/>
          </w:tcPr>
          <w:p w14:paraId="73D74B1A" w14:textId="77777777" w:rsidR="007A29BA" w:rsidRPr="006B1E4D" w:rsidRDefault="007A29BA" w:rsidP="006B1E4D">
            <w:pPr>
              <w:widowControl/>
              <w:jc w:val="center"/>
              <w:rPr>
                <w:rFonts w:ascii="Times New Roman" w:eastAsia="Times New Roman" w:hAnsi="Times New Roman" w:cs="Times New Roman"/>
                <w:b/>
                <w:bCs/>
                <w:color w:val="000000"/>
              </w:rPr>
            </w:pPr>
            <w:r w:rsidRPr="006B1E4D">
              <w:rPr>
                <w:rFonts w:ascii="Times New Roman" w:eastAsia="Times New Roman" w:hAnsi="Times New Roman" w:cs="Times New Roman"/>
                <w:b/>
                <w:bCs/>
                <w:color w:val="000000"/>
              </w:rPr>
              <w:t>Table</w:t>
            </w:r>
          </w:p>
        </w:tc>
        <w:tc>
          <w:tcPr>
            <w:tcW w:w="7553" w:type="dxa"/>
            <w:tcBorders>
              <w:top w:val="single" w:sz="4" w:space="0" w:color="auto"/>
              <w:left w:val="nil"/>
              <w:bottom w:val="single" w:sz="4" w:space="0" w:color="auto"/>
              <w:right w:val="single" w:sz="4" w:space="0" w:color="auto"/>
            </w:tcBorders>
            <w:shd w:val="clear" w:color="auto" w:fill="DBE5F1" w:themeFill="accent1" w:themeFillTint="33"/>
            <w:noWrap/>
            <w:vAlign w:val="center"/>
            <w:hideMark/>
          </w:tcPr>
          <w:p w14:paraId="25691284" w14:textId="77777777" w:rsidR="007A29BA" w:rsidRPr="006B1E4D" w:rsidRDefault="007A29BA" w:rsidP="006B1E4D">
            <w:pPr>
              <w:widowControl/>
              <w:jc w:val="center"/>
              <w:rPr>
                <w:rFonts w:ascii="Times New Roman" w:eastAsia="Times New Roman" w:hAnsi="Times New Roman" w:cs="Times New Roman"/>
                <w:b/>
                <w:bCs/>
                <w:color w:val="000000"/>
              </w:rPr>
            </w:pPr>
            <w:r w:rsidRPr="006B1E4D">
              <w:rPr>
                <w:rFonts w:ascii="Times New Roman" w:eastAsia="Times New Roman" w:hAnsi="Times New Roman" w:cs="Times New Roman"/>
                <w:b/>
                <w:bCs/>
                <w:color w:val="000000"/>
              </w:rPr>
              <w:t>Title</w:t>
            </w:r>
          </w:p>
        </w:tc>
      </w:tr>
      <w:tr w:rsidR="007A29BA" w:rsidRPr="006B1E4D" w14:paraId="2FEABD21" w14:textId="77777777" w:rsidTr="0081624C">
        <w:trPr>
          <w:trHeight w:val="323"/>
        </w:trPr>
        <w:tc>
          <w:tcPr>
            <w:tcW w:w="1442" w:type="dxa"/>
            <w:tcBorders>
              <w:top w:val="nil"/>
              <w:left w:val="single" w:sz="4" w:space="0" w:color="auto"/>
              <w:bottom w:val="single" w:sz="4" w:space="0" w:color="auto"/>
              <w:right w:val="single" w:sz="4" w:space="0" w:color="auto"/>
            </w:tcBorders>
            <w:shd w:val="clear" w:color="auto" w:fill="DBE5F1" w:themeFill="accent1" w:themeFillTint="33"/>
            <w:noWrap/>
            <w:vAlign w:val="bottom"/>
            <w:hideMark/>
          </w:tcPr>
          <w:p w14:paraId="2CBDA78B" w14:textId="77777777" w:rsidR="007A29BA" w:rsidRPr="006B1E4D" w:rsidRDefault="007A29BA" w:rsidP="006B1E4D">
            <w:pPr>
              <w:widowControl/>
              <w:rPr>
                <w:rFonts w:ascii="Times New Roman" w:eastAsia="Times New Roman" w:hAnsi="Times New Roman" w:cs="Times New Roman"/>
                <w:color w:val="000000"/>
              </w:rPr>
            </w:pPr>
            <w:r w:rsidRPr="006B1E4D">
              <w:rPr>
                <w:rFonts w:ascii="Times New Roman" w:eastAsia="Times New Roman" w:hAnsi="Times New Roman" w:cs="Times New Roman"/>
                <w:color w:val="000000"/>
              </w:rPr>
              <w:t>Table 3.2.1</w:t>
            </w:r>
          </w:p>
        </w:tc>
        <w:tc>
          <w:tcPr>
            <w:tcW w:w="7553" w:type="dxa"/>
            <w:tcBorders>
              <w:top w:val="nil"/>
              <w:left w:val="nil"/>
              <w:bottom w:val="single" w:sz="4" w:space="0" w:color="auto"/>
              <w:right w:val="single" w:sz="4" w:space="0" w:color="auto"/>
            </w:tcBorders>
            <w:shd w:val="clear" w:color="auto" w:fill="DBE5F1" w:themeFill="accent1" w:themeFillTint="33"/>
            <w:noWrap/>
            <w:vAlign w:val="bottom"/>
            <w:hideMark/>
          </w:tcPr>
          <w:p w14:paraId="02D13BAB" w14:textId="77777777" w:rsidR="007A29BA" w:rsidRPr="006B1E4D" w:rsidRDefault="007A29BA" w:rsidP="006B1E4D">
            <w:pPr>
              <w:widowControl/>
              <w:rPr>
                <w:rFonts w:ascii="Times New Roman" w:eastAsia="Times New Roman" w:hAnsi="Times New Roman" w:cs="Times New Roman"/>
                <w:color w:val="000000"/>
              </w:rPr>
            </w:pPr>
            <w:r w:rsidRPr="006B1E4D">
              <w:rPr>
                <w:rFonts w:ascii="Times New Roman" w:eastAsia="Times New Roman" w:hAnsi="Times New Roman" w:cs="Times New Roman"/>
                <w:color w:val="000000"/>
              </w:rPr>
              <w:t>Summary of Machine Learning-Based Studies for Gold Price Forecasting.</w:t>
            </w:r>
          </w:p>
        </w:tc>
      </w:tr>
      <w:tr w:rsidR="007A29BA" w:rsidRPr="006B1E4D" w14:paraId="50952A15" w14:textId="77777777" w:rsidTr="0081624C">
        <w:trPr>
          <w:trHeight w:val="323"/>
        </w:trPr>
        <w:tc>
          <w:tcPr>
            <w:tcW w:w="1442" w:type="dxa"/>
            <w:tcBorders>
              <w:top w:val="nil"/>
              <w:left w:val="single" w:sz="4" w:space="0" w:color="auto"/>
              <w:bottom w:val="single" w:sz="4" w:space="0" w:color="auto"/>
              <w:right w:val="single" w:sz="4" w:space="0" w:color="auto"/>
            </w:tcBorders>
            <w:shd w:val="clear" w:color="auto" w:fill="DBE5F1" w:themeFill="accent1" w:themeFillTint="33"/>
            <w:noWrap/>
            <w:vAlign w:val="bottom"/>
            <w:hideMark/>
          </w:tcPr>
          <w:p w14:paraId="5B6662B2" w14:textId="77777777" w:rsidR="007A29BA" w:rsidRPr="006B1E4D" w:rsidRDefault="007A29BA" w:rsidP="006B1E4D">
            <w:pPr>
              <w:widowControl/>
              <w:rPr>
                <w:rFonts w:ascii="Times New Roman" w:eastAsia="Times New Roman" w:hAnsi="Times New Roman" w:cs="Times New Roman"/>
                <w:color w:val="000000"/>
              </w:rPr>
            </w:pPr>
            <w:r w:rsidRPr="006B1E4D">
              <w:rPr>
                <w:rFonts w:ascii="Times New Roman" w:eastAsia="Times New Roman" w:hAnsi="Times New Roman" w:cs="Times New Roman"/>
                <w:color w:val="000000"/>
              </w:rPr>
              <w:t>Table 3.3.1</w:t>
            </w:r>
          </w:p>
        </w:tc>
        <w:tc>
          <w:tcPr>
            <w:tcW w:w="7553" w:type="dxa"/>
            <w:tcBorders>
              <w:top w:val="nil"/>
              <w:left w:val="nil"/>
              <w:bottom w:val="single" w:sz="4" w:space="0" w:color="auto"/>
              <w:right w:val="single" w:sz="4" w:space="0" w:color="auto"/>
            </w:tcBorders>
            <w:shd w:val="clear" w:color="auto" w:fill="DBE5F1" w:themeFill="accent1" w:themeFillTint="33"/>
            <w:noWrap/>
            <w:vAlign w:val="bottom"/>
            <w:hideMark/>
          </w:tcPr>
          <w:p w14:paraId="014B1210" w14:textId="77777777" w:rsidR="006B1E4D" w:rsidRPr="006B1E4D" w:rsidRDefault="006B1E4D" w:rsidP="006B1E4D">
            <w:pPr>
              <w:widowControl/>
              <w:rPr>
                <w:rFonts w:ascii="Times New Roman" w:eastAsia="Times New Roman" w:hAnsi="Times New Roman" w:cs="Times New Roman"/>
                <w:color w:val="000000"/>
              </w:rPr>
            </w:pPr>
            <w:r w:rsidRPr="006B1E4D">
              <w:rPr>
                <w:rFonts w:ascii="Times New Roman" w:eastAsia="Times New Roman" w:hAnsi="Times New Roman" w:cs="Times New Roman"/>
                <w:color w:val="000000"/>
              </w:rPr>
              <w:t>Summary of LSTM-Based Studies for Gold Price Forecasting</w:t>
            </w:r>
          </w:p>
          <w:p w14:paraId="01E530FE" w14:textId="104D51E2" w:rsidR="007A29BA" w:rsidRPr="006B1E4D" w:rsidRDefault="007A29BA" w:rsidP="006B1E4D">
            <w:pPr>
              <w:widowControl/>
              <w:rPr>
                <w:rFonts w:ascii="Times New Roman" w:eastAsia="Times New Roman" w:hAnsi="Times New Roman" w:cs="Times New Roman"/>
                <w:color w:val="000000"/>
              </w:rPr>
            </w:pPr>
          </w:p>
        </w:tc>
      </w:tr>
      <w:tr w:rsidR="000A4979" w:rsidRPr="007A29BA" w14:paraId="399BBDC5" w14:textId="77777777" w:rsidTr="006B1E4D">
        <w:trPr>
          <w:trHeight w:val="260"/>
        </w:trPr>
        <w:tc>
          <w:tcPr>
            <w:tcW w:w="1442" w:type="dxa"/>
            <w:tcBorders>
              <w:top w:val="single" w:sz="4" w:space="0" w:color="auto"/>
              <w:left w:val="single" w:sz="4" w:space="0" w:color="auto"/>
              <w:bottom w:val="single" w:sz="4" w:space="0" w:color="auto"/>
              <w:right w:val="single" w:sz="4" w:space="0" w:color="auto"/>
            </w:tcBorders>
            <w:shd w:val="clear" w:color="auto" w:fill="DBE5F1" w:themeFill="accent1" w:themeFillTint="33"/>
            <w:noWrap/>
            <w:vAlign w:val="bottom"/>
          </w:tcPr>
          <w:p w14:paraId="72B547C8" w14:textId="2E1DB536" w:rsidR="000A4979" w:rsidRPr="006B1E4D" w:rsidRDefault="000A4979" w:rsidP="006B1E4D">
            <w:pPr>
              <w:widowControl/>
              <w:rPr>
                <w:rFonts w:ascii="Times New Roman" w:eastAsia="Times New Roman" w:hAnsi="Times New Roman" w:cs="Times New Roman"/>
                <w:color w:val="000000"/>
                <w:rtl/>
              </w:rPr>
            </w:pPr>
            <w:r w:rsidRPr="006B1E4D">
              <w:rPr>
                <w:rFonts w:asciiTheme="majorBidi" w:eastAsia="Google Sans Text" w:hAnsiTheme="majorBidi" w:cstheme="majorBidi"/>
                <w:color w:val="444746"/>
                <w:sz w:val="32"/>
                <w:szCs w:val="32"/>
                <w:vertAlign w:val="superscript"/>
              </w:rPr>
              <w:t>Table 5.1</w:t>
            </w:r>
          </w:p>
        </w:tc>
        <w:tc>
          <w:tcPr>
            <w:tcW w:w="7553" w:type="dxa"/>
            <w:tcBorders>
              <w:top w:val="single" w:sz="4" w:space="0" w:color="auto"/>
              <w:left w:val="nil"/>
              <w:bottom w:val="single" w:sz="4" w:space="0" w:color="auto"/>
              <w:right w:val="single" w:sz="4" w:space="0" w:color="auto"/>
            </w:tcBorders>
            <w:shd w:val="clear" w:color="auto" w:fill="DBE5F1" w:themeFill="accent1" w:themeFillTint="33"/>
            <w:noWrap/>
            <w:vAlign w:val="bottom"/>
          </w:tcPr>
          <w:p w14:paraId="2F8FC595" w14:textId="22F1B79D" w:rsidR="000A4979" w:rsidRPr="00F207A6" w:rsidRDefault="000A4979" w:rsidP="006B1E4D">
            <w:pPr>
              <w:rPr>
                <w:rFonts w:asciiTheme="majorBidi" w:eastAsia="Google Sans Text" w:hAnsiTheme="majorBidi" w:cstheme="majorBidi"/>
                <w:color w:val="444746"/>
                <w:sz w:val="32"/>
                <w:szCs w:val="32"/>
                <w:vertAlign w:val="superscript"/>
              </w:rPr>
            </w:pPr>
            <w:r w:rsidRPr="006B1E4D">
              <w:rPr>
                <w:rFonts w:asciiTheme="majorBidi" w:eastAsia="Google Sans Text" w:hAnsiTheme="majorBidi" w:cstheme="majorBidi"/>
                <w:color w:val="444746"/>
                <w:sz w:val="32"/>
                <w:szCs w:val="32"/>
                <w:vertAlign w:val="superscript"/>
              </w:rPr>
              <w:t>Comparative Performance of the Forecasting Models on the Test Set</w:t>
            </w:r>
          </w:p>
        </w:tc>
      </w:tr>
    </w:tbl>
    <w:p w14:paraId="7E543935" w14:textId="77777777" w:rsidR="00383FDC" w:rsidRDefault="00383FDC" w:rsidP="007A29BA">
      <w:pPr>
        <w:pStyle w:val="Heading2"/>
        <w:spacing w:before="0" w:after="120" w:line="275" w:lineRule="auto"/>
        <w:jc w:val="center"/>
        <w:rPr>
          <w:rFonts w:asciiTheme="majorHAnsi" w:eastAsia="Google Sans" w:hAnsiTheme="majorHAnsi" w:cstheme="majorHAnsi"/>
          <w:b w:val="0"/>
          <w:bCs/>
          <w:color w:val="1B1C1D"/>
        </w:rPr>
      </w:pPr>
    </w:p>
    <w:p w14:paraId="0778972E" w14:textId="7137A224" w:rsidR="0008315A" w:rsidRPr="0008315A" w:rsidRDefault="0008315A" w:rsidP="007A29BA">
      <w:pPr>
        <w:pStyle w:val="Heading2"/>
        <w:spacing w:before="0" w:after="120" w:line="275" w:lineRule="auto"/>
        <w:jc w:val="center"/>
        <w:rPr>
          <w:rFonts w:asciiTheme="majorHAnsi" w:eastAsia="Google Sans" w:hAnsiTheme="majorHAnsi" w:cstheme="majorHAnsi"/>
          <w:b w:val="0"/>
          <w:bCs/>
          <w:color w:val="1B1C1D"/>
        </w:rPr>
      </w:pPr>
      <w:r w:rsidRPr="0008315A">
        <w:rPr>
          <w:rFonts w:asciiTheme="majorHAnsi" w:eastAsia="Google Sans" w:hAnsiTheme="majorHAnsi" w:cstheme="majorHAnsi"/>
          <w:b w:val="0"/>
          <w:bCs/>
          <w:color w:val="1B1C1D"/>
        </w:rPr>
        <w:t>Chapter 1: Introduction</w:t>
      </w:r>
    </w:p>
    <w:p w14:paraId="20140B61" w14:textId="7381B1B7" w:rsidR="00437F4B" w:rsidRPr="00437F4B" w:rsidRDefault="00437F4B" w:rsidP="00203199">
      <w:pPr>
        <w:pBdr>
          <w:top w:val="nil"/>
          <w:left w:val="nil"/>
          <w:bottom w:val="nil"/>
          <w:right w:val="nil"/>
          <w:between w:val="nil"/>
        </w:pBdr>
        <w:spacing w:before="240" w:after="240" w:line="275" w:lineRule="auto"/>
        <w:rPr>
          <w:rFonts w:asciiTheme="majorBidi" w:eastAsia="Google Sans Text" w:hAnsiTheme="majorBidi" w:cstheme="majorBidi"/>
          <w:color w:val="444746"/>
          <w:sz w:val="32"/>
          <w:szCs w:val="32"/>
          <w:vertAlign w:val="superscript"/>
        </w:rPr>
      </w:pPr>
      <w:r w:rsidRPr="00437F4B">
        <w:rPr>
          <w:rFonts w:asciiTheme="majorBidi" w:eastAsia="Google Sans Text" w:hAnsiTheme="majorBidi" w:cstheme="majorBidi"/>
          <w:color w:val="444746"/>
          <w:sz w:val="32"/>
          <w:szCs w:val="32"/>
          <w:vertAlign w:val="superscript"/>
        </w:rPr>
        <w:t>Gold is one of the most strategically significant assets in global financial markets [1]. Its price is influenced by a wide range of macroeconomic and financial factors, including inflation expectations, currency fluctuations, interest rate movements, geopolitical tensions, and changes in global risk perception. Due to these characteristics, gold is commonly used as a hedge against economic uncertainty and financial instability [2], making accurate forecasting of its price an important task for investors, policymakers, and financial institutions.</w:t>
      </w:r>
    </w:p>
    <w:p w14:paraId="4A3A7AB6" w14:textId="3C053C04" w:rsidR="00437F4B" w:rsidRDefault="00437F4B" w:rsidP="00437F4B">
      <w:pPr>
        <w:pBdr>
          <w:top w:val="nil"/>
          <w:left w:val="nil"/>
          <w:bottom w:val="nil"/>
          <w:right w:val="nil"/>
          <w:between w:val="nil"/>
        </w:pBdr>
        <w:spacing w:before="240" w:after="240" w:line="275" w:lineRule="auto"/>
        <w:rPr>
          <w:rFonts w:asciiTheme="majorBidi" w:eastAsia="Google Sans Text" w:hAnsiTheme="majorBidi" w:cstheme="majorBidi"/>
          <w:color w:val="444746"/>
          <w:sz w:val="32"/>
          <w:szCs w:val="32"/>
          <w:vertAlign w:val="superscript"/>
        </w:rPr>
      </w:pPr>
      <w:r w:rsidRPr="00437F4B">
        <w:rPr>
          <w:rFonts w:asciiTheme="majorBidi" w:eastAsia="Google Sans Text" w:hAnsiTheme="majorBidi" w:cstheme="majorBidi"/>
          <w:color w:val="444746"/>
          <w:sz w:val="32"/>
          <w:szCs w:val="32"/>
          <w:vertAlign w:val="superscript"/>
        </w:rPr>
        <w:t>Despite its importance, forecasting gold prices remains a challenging problem because financial time series are inherently nonlinear, non-stationary, and highly volatile [3]. Sudden regime shifts and complex interactions among economic variables often limit the effectiveness of traditional econometric models. In recent years, advances in machine learning and deep learning techniques have enabled the development of more flexible predictive models that are better suited to capture nonlinear patterns and dynamic behavior in financial data [8,14]. In this context, hybrid modeling approaches have attracted growing attention, as they combine complementary strengths of different algorithms to improve forecasting robustness [8].</w:t>
      </w:r>
    </w:p>
    <w:p w14:paraId="19E1E71B" w14:textId="518BBA82" w:rsidR="00437F4B" w:rsidRPr="00437F4B" w:rsidRDefault="005C66CA" w:rsidP="00203199">
      <w:pPr>
        <w:pBdr>
          <w:top w:val="nil"/>
          <w:left w:val="nil"/>
          <w:bottom w:val="nil"/>
          <w:right w:val="nil"/>
          <w:between w:val="nil"/>
        </w:pBdr>
        <w:spacing w:before="240" w:after="240" w:line="275" w:lineRule="auto"/>
        <w:rPr>
          <w:rFonts w:asciiTheme="majorBidi" w:eastAsia="Google Sans Text" w:hAnsiTheme="majorBidi" w:cstheme="majorBidi"/>
          <w:color w:val="444746"/>
          <w:sz w:val="32"/>
          <w:szCs w:val="32"/>
          <w:vertAlign w:val="superscript"/>
        </w:rPr>
      </w:pPr>
      <w:r w:rsidRPr="005C66CA">
        <w:rPr>
          <w:rFonts w:asciiTheme="majorBidi" w:eastAsia="Google Sans Text" w:hAnsiTheme="majorBidi" w:cstheme="majorBidi"/>
          <w:b/>
          <w:bCs/>
          <w:color w:val="444746"/>
          <w:sz w:val="36"/>
          <w:szCs w:val="36"/>
          <w:vertAlign w:val="superscript"/>
        </w:rPr>
        <w:lastRenderedPageBreak/>
        <w:t>1.1 Problem Definition</w:t>
      </w:r>
      <w:r w:rsidRPr="005C66CA">
        <w:rPr>
          <w:rFonts w:asciiTheme="majorHAnsi" w:eastAsia="Google Sans Text" w:hAnsiTheme="majorHAnsi" w:cstheme="majorHAnsi"/>
          <w:b/>
          <w:bCs/>
          <w:color w:val="444746"/>
          <w:sz w:val="36"/>
          <w:szCs w:val="36"/>
          <w:vertAlign w:val="superscript"/>
        </w:rPr>
        <w:br/>
      </w:r>
      <w:r w:rsidR="00437F4B" w:rsidRPr="00437F4B">
        <w:rPr>
          <w:rFonts w:asciiTheme="majorBidi" w:eastAsia="Google Sans Text" w:hAnsiTheme="majorBidi" w:cstheme="majorBidi"/>
          <w:color w:val="444746"/>
          <w:sz w:val="32"/>
          <w:szCs w:val="32"/>
          <w:vertAlign w:val="superscript"/>
        </w:rPr>
        <w:t>Gold price dynamics are shaped by a complex interaction of economic and financial factors, resulting in high volatility and frequent structural changes. This complexity poses significant challenges for accurate forecasting. Traditional statistical models, such as linear regression and autoregressive approaches, often struggle to represent nonlinear relationships and abrupt market shifts, leading to limited predictive accuracy [19,20].</w:t>
      </w:r>
    </w:p>
    <w:p w14:paraId="64196E85" w14:textId="787EDEF8" w:rsidR="00437F4B" w:rsidRPr="00437F4B" w:rsidRDefault="00437F4B" w:rsidP="00203199">
      <w:pPr>
        <w:pBdr>
          <w:top w:val="nil"/>
          <w:left w:val="nil"/>
          <w:bottom w:val="nil"/>
          <w:right w:val="nil"/>
          <w:between w:val="nil"/>
        </w:pBdr>
        <w:spacing w:before="240" w:after="240" w:line="275" w:lineRule="auto"/>
        <w:rPr>
          <w:rFonts w:asciiTheme="majorBidi" w:eastAsia="Google Sans Text" w:hAnsiTheme="majorBidi" w:cstheme="majorBidi"/>
          <w:color w:val="444746"/>
          <w:sz w:val="32"/>
          <w:szCs w:val="32"/>
          <w:vertAlign w:val="superscript"/>
        </w:rPr>
      </w:pPr>
      <w:r w:rsidRPr="00437F4B">
        <w:rPr>
          <w:rFonts w:asciiTheme="majorBidi" w:eastAsia="Google Sans Text" w:hAnsiTheme="majorBidi" w:cstheme="majorBidi"/>
          <w:color w:val="444746"/>
          <w:sz w:val="32"/>
          <w:szCs w:val="32"/>
          <w:vertAlign w:val="superscript"/>
        </w:rPr>
        <w:t>More recent machine learning and deep learning models, including Long Short-Term Memory (LSTM) networks and tree-based ensemble methods, have shown improved performance in modeling financial time series [9,18]. However, when used independently, these models tend to focus on a single aspect of the forecasting problem. LSTM models primarily capture temporal dependencies, while models such as XGBoost emphasize nonlinear feature interactions. This separation can limit their effectiveness, particularly during periods of elevated uncertainty or rapid market changes [17].</w:t>
      </w:r>
    </w:p>
    <w:p w14:paraId="247F82F5" w14:textId="3EB1CDD1" w:rsidR="00437F4B" w:rsidRPr="005C66CA" w:rsidRDefault="00437F4B" w:rsidP="00437F4B">
      <w:pPr>
        <w:pBdr>
          <w:top w:val="nil"/>
          <w:left w:val="nil"/>
          <w:bottom w:val="nil"/>
          <w:right w:val="nil"/>
          <w:between w:val="nil"/>
        </w:pBdr>
        <w:spacing w:before="240" w:after="240" w:line="275" w:lineRule="auto"/>
        <w:rPr>
          <w:rFonts w:asciiTheme="majorBidi" w:eastAsia="Google Sans Text" w:hAnsiTheme="majorBidi" w:cstheme="majorBidi"/>
          <w:color w:val="444746"/>
          <w:sz w:val="32"/>
          <w:szCs w:val="32"/>
          <w:vertAlign w:val="superscript"/>
        </w:rPr>
      </w:pPr>
      <w:r w:rsidRPr="00437F4B">
        <w:rPr>
          <w:rFonts w:asciiTheme="majorBidi" w:eastAsia="Google Sans Text" w:hAnsiTheme="majorBidi" w:cstheme="majorBidi"/>
          <w:color w:val="444746"/>
          <w:sz w:val="32"/>
          <w:szCs w:val="32"/>
          <w:vertAlign w:val="superscript"/>
        </w:rPr>
        <w:t>As a result, there is a need for a hybrid forecasting framework that integrates temporal learning with nonlinear feature modeling in a unified structure. Such an approach has the potential to better capture the multifaceted drivers of gold price movements while maintaining stability under volatile market conditions.</w:t>
      </w:r>
    </w:p>
    <w:p w14:paraId="51D6E6F7" w14:textId="0C515A06" w:rsidR="00437F4B" w:rsidRPr="00437F4B" w:rsidRDefault="005C66CA" w:rsidP="00437F4B">
      <w:pPr>
        <w:pBdr>
          <w:top w:val="nil"/>
          <w:left w:val="nil"/>
          <w:bottom w:val="nil"/>
          <w:right w:val="nil"/>
          <w:between w:val="nil"/>
        </w:pBdr>
        <w:spacing w:before="240" w:after="240" w:line="275" w:lineRule="auto"/>
        <w:rPr>
          <w:rFonts w:asciiTheme="majorBidi" w:eastAsia="Google Sans Text" w:hAnsiTheme="majorBidi" w:cstheme="majorBidi"/>
          <w:color w:val="444746"/>
          <w:sz w:val="32"/>
          <w:szCs w:val="32"/>
          <w:vertAlign w:val="superscript"/>
        </w:rPr>
      </w:pPr>
      <w:r w:rsidRPr="005C66CA">
        <w:rPr>
          <w:rFonts w:asciiTheme="majorBidi" w:eastAsia="Google Sans Text" w:hAnsiTheme="majorBidi" w:cstheme="majorBidi"/>
          <w:b/>
          <w:bCs/>
          <w:color w:val="444746"/>
          <w:sz w:val="36"/>
          <w:szCs w:val="36"/>
          <w:vertAlign w:val="superscript"/>
        </w:rPr>
        <w:t>1.2 Thesis Objectives</w:t>
      </w:r>
      <w:r w:rsidRPr="005C66CA">
        <w:rPr>
          <w:rFonts w:asciiTheme="majorHAnsi" w:eastAsia="Google Sans Text" w:hAnsiTheme="majorHAnsi" w:cstheme="majorHAnsi"/>
          <w:b/>
          <w:bCs/>
          <w:color w:val="444746"/>
          <w:sz w:val="36"/>
          <w:szCs w:val="36"/>
          <w:vertAlign w:val="superscript"/>
        </w:rPr>
        <w:br/>
      </w:r>
      <w:r w:rsidR="00437F4B" w:rsidRPr="00437F4B">
        <w:rPr>
          <w:rFonts w:asciiTheme="majorBidi" w:eastAsia="Google Sans Text" w:hAnsiTheme="majorBidi" w:cstheme="majorBidi"/>
          <w:color w:val="444746"/>
          <w:sz w:val="32"/>
          <w:szCs w:val="32"/>
          <w:vertAlign w:val="superscript"/>
        </w:rPr>
        <w:t>The primary objective of this thesis is to develop a hybrid forecasting framework that integrates Long Short-Term Memory (LSTM) networks with the XGBoost algorithm in order to improve the accuracy and robustness of gold price prediction. This objective is motivated by the complementary strengths of the two models, where LSTM is effective in capturing sequential patterns in time-series data, and XGBoost excels at modeling nonlinear relationships among structured input features [4,9].</w:t>
      </w:r>
    </w:p>
    <w:p w14:paraId="6A17695C" w14:textId="569424B7" w:rsidR="00437F4B" w:rsidRPr="00437F4B" w:rsidRDefault="00437F4B" w:rsidP="00437F4B">
      <w:pPr>
        <w:pBdr>
          <w:top w:val="nil"/>
          <w:left w:val="nil"/>
          <w:bottom w:val="nil"/>
          <w:right w:val="nil"/>
          <w:between w:val="nil"/>
        </w:pBdr>
        <w:spacing w:before="240" w:after="240" w:line="275" w:lineRule="auto"/>
        <w:rPr>
          <w:rFonts w:asciiTheme="majorBidi" w:eastAsia="Google Sans Text" w:hAnsiTheme="majorBidi" w:cstheme="majorBidi"/>
          <w:color w:val="444746"/>
          <w:sz w:val="32"/>
          <w:szCs w:val="32"/>
          <w:vertAlign w:val="superscript"/>
        </w:rPr>
      </w:pPr>
      <w:r w:rsidRPr="00437F4B">
        <w:rPr>
          <w:rFonts w:asciiTheme="majorBidi" w:eastAsia="Google Sans Text" w:hAnsiTheme="majorBidi" w:cstheme="majorBidi"/>
          <w:color w:val="444746"/>
          <w:sz w:val="32"/>
          <w:szCs w:val="32"/>
          <w:vertAlign w:val="superscript"/>
        </w:rPr>
        <w:t>To achieve this main objective, the study pursues several specific goals. First, it aims to construct a forecasting pipeline that combines historical gold price information with engineered financial features within a hybrid modeling structure. Second, the research evaluates the predictive performance of the proposed hybrid model in comparison with standalone LSTM and standalone XGBoost models using widely accepted evaluation metrics, including RMSE, MAE, and directional accuracy [3,10]. Third, the study examines whether residual-based hybridization can enhance forecasting robustness without introducing unnecessary model complexity.</w:t>
      </w:r>
    </w:p>
    <w:p w14:paraId="557759B1" w14:textId="363CD6D1" w:rsidR="00437F4B" w:rsidRPr="00203199" w:rsidRDefault="00437F4B" w:rsidP="00203199">
      <w:pPr>
        <w:pBdr>
          <w:top w:val="nil"/>
          <w:left w:val="nil"/>
          <w:bottom w:val="nil"/>
          <w:right w:val="nil"/>
          <w:between w:val="nil"/>
        </w:pBdr>
        <w:spacing w:before="240" w:after="240" w:line="275" w:lineRule="auto"/>
        <w:rPr>
          <w:rFonts w:asciiTheme="majorBidi" w:eastAsia="Google Sans Text" w:hAnsiTheme="majorBidi" w:cstheme="majorBidi"/>
          <w:color w:val="444746"/>
          <w:sz w:val="32"/>
          <w:szCs w:val="32"/>
          <w:vertAlign w:val="superscript"/>
        </w:rPr>
      </w:pPr>
      <w:r w:rsidRPr="00437F4B">
        <w:rPr>
          <w:rFonts w:asciiTheme="majorBidi" w:eastAsia="Google Sans Text" w:hAnsiTheme="majorBidi" w:cstheme="majorBidi"/>
          <w:color w:val="444746"/>
          <w:sz w:val="32"/>
          <w:szCs w:val="32"/>
          <w:vertAlign w:val="superscript"/>
        </w:rPr>
        <w:lastRenderedPageBreak/>
        <w:t>Through these objectives, the thesis seeks to provide a practical and reliable forecasting approach that balances model performance, stability, and interpretability.</w:t>
      </w:r>
    </w:p>
    <w:p w14:paraId="43B67543" w14:textId="213A5A0E" w:rsidR="00437F4B" w:rsidRPr="00437F4B" w:rsidRDefault="005C66CA" w:rsidP="00437F4B">
      <w:pPr>
        <w:pBdr>
          <w:top w:val="nil"/>
          <w:left w:val="nil"/>
          <w:bottom w:val="nil"/>
          <w:right w:val="nil"/>
          <w:between w:val="nil"/>
        </w:pBdr>
        <w:spacing w:before="240" w:after="240" w:line="275" w:lineRule="auto"/>
        <w:rPr>
          <w:rFonts w:asciiTheme="majorBidi" w:eastAsia="Google Sans Text" w:hAnsiTheme="majorBidi" w:cstheme="majorBidi"/>
          <w:color w:val="444746"/>
          <w:sz w:val="32"/>
          <w:szCs w:val="32"/>
          <w:vertAlign w:val="superscript"/>
        </w:rPr>
      </w:pPr>
      <w:r w:rsidRPr="005C66CA">
        <w:rPr>
          <w:rFonts w:asciiTheme="majorBidi" w:eastAsia="Google Sans Text" w:hAnsiTheme="majorBidi" w:cstheme="majorBidi"/>
          <w:b/>
          <w:bCs/>
          <w:color w:val="444746"/>
          <w:sz w:val="36"/>
          <w:szCs w:val="36"/>
          <w:vertAlign w:val="superscript"/>
        </w:rPr>
        <w:t>1.3 Thesis Contribution</w:t>
      </w:r>
      <w:r w:rsidRPr="005C66CA">
        <w:rPr>
          <w:rFonts w:asciiTheme="majorHAnsi" w:eastAsia="Google Sans Text" w:hAnsiTheme="majorHAnsi" w:cstheme="majorHAnsi"/>
          <w:color w:val="444746"/>
          <w:sz w:val="24"/>
          <w:szCs w:val="24"/>
          <w:vertAlign w:val="superscript"/>
        </w:rPr>
        <w:br/>
      </w:r>
      <w:r w:rsidR="00437F4B" w:rsidRPr="00437F4B">
        <w:rPr>
          <w:rFonts w:asciiTheme="majorBidi" w:eastAsia="Google Sans Text" w:hAnsiTheme="majorBidi" w:cstheme="majorBidi"/>
          <w:color w:val="444746"/>
          <w:sz w:val="32"/>
          <w:szCs w:val="32"/>
          <w:vertAlign w:val="superscript"/>
        </w:rPr>
        <w:t>This thesis makes several methodological and empirical contributions to the field of financial time-series forecasting, with a particular focus on gold price prediction. First, it proposes a residual-based hybrid modeling framework that integrates Long Short-Term Memory (LSTM) networks with the XGBoost algorithm. This design enables the model to capture both temporal dependencies and nonlinear feature interactions within a unified forecasting structure [8,18].</w:t>
      </w:r>
    </w:p>
    <w:p w14:paraId="013E6EA1" w14:textId="12249A26" w:rsidR="00437F4B" w:rsidRPr="00437F4B" w:rsidRDefault="00437F4B" w:rsidP="00437F4B">
      <w:pPr>
        <w:pBdr>
          <w:top w:val="nil"/>
          <w:left w:val="nil"/>
          <w:bottom w:val="nil"/>
          <w:right w:val="nil"/>
          <w:between w:val="nil"/>
        </w:pBdr>
        <w:spacing w:before="240" w:after="240" w:line="275" w:lineRule="auto"/>
        <w:rPr>
          <w:rFonts w:asciiTheme="majorBidi" w:eastAsia="Google Sans Text" w:hAnsiTheme="majorBidi" w:cstheme="majorBidi"/>
          <w:color w:val="444746"/>
          <w:sz w:val="32"/>
          <w:szCs w:val="32"/>
          <w:vertAlign w:val="superscript"/>
        </w:rPr>
      </w:pPr>
      <w:r w:rsidRPr="00437F4B">
        <w:rPr>
          <w:rFonts w:asciiTheme="majorBidi" w:eastAsia="Google Sans Text" w:hAnsiTheme="majorBidi" w:cstheme="majorBidi"/>
          <w:color w:val="444746"/>
          <w:sz w:val="32"/>
          <w:szCs w:val="32"/>
          <w:vertAlign w:val="superscript"/>
        </w:rPr>
        <w:t>Second, the study provides a systematic comparative evaluation of the hybrid framework against standalone LSTM and XGBoost models using standard performance metrics. The results offer empirical insights into the strengths and limitations of each modeling approach under volatile market conditions, highlighting the circumstances under which hybridization contributes to forecasting robustness [17,25].</w:t>
      </w:r>
    </w:p>
    <w:p w14:paraId="351FACCE" w14:textId="5326CA1D" w:rsidR="00437F4B" w:rsidRPr="005C66CA" w:rsidRDefault="00437F4B" w:rsidP="00437F4B">
      <w:pPr>
        <w:pBdr>
          <w:top w:val="nil"/>
          <w:left w:val="nil"/>
          <w:bottom w:val="nil"/>
          <w:right w:val="nil"/>
          <w:between w:val="nil"/>
        </w:pBdr>
        <w:spacing w:before="240" w:after="240" w:line="275" w:lineRule="auto"/>
        <w:rPr>
          <w:rFonts w:asciiTheme="majorBidi" w:eastAsia="Google Sans Text" w:hAnsiTheme="majorBidi" w:cstheme="majorBidi"/>
          <w:color w:val="444746"/>
          <w:sz w:val="32"/>
          <w:szCs w:val="32"/>
          <w:vertAlign w:val="superscript"/>
        </w:rPr>
      </w:pPr>
      <w:r w:rsidRPr="00437F4B">
        <w:rPr>
          <w:rFonts w:asciiTheme="majorBidi" w:eastAsia="Google Sans Text" w:hAnsiTheme="majorBidi" w:cstheme="majorBidi"/>
          <w:color w:val="444746"/>
          <w:sz w:val="32"/>
          <w:szCs w:val="32"/>
          <w:vertAlign w:val="superscript"/>
        </w:rPr>
        <w:t>Third, the research presents a coherent methodological pipeline that covers data preprocessing, feature engineering, model training, and performance evaluation. This integrated framework demonstrates how hybrid machine learning architectures can be applied effectively to real-world financial forecasting problems. Collectively, these contributions provide both theoretical and practical value for researchers and practitioners interested in commodity price forecasting.</w:t>
      </w:r>
    </w:p>
    <w:p w14:paraId="019E39D0" w14:textId="77777777" w:rsidR="00437F4B" w:rsidRDefault="008D7557" w:rsidP="00437F4B">
      <w:pPr>
        <w:pStyle w:val="Heading2"/>
        <w:spacing w:before="0" w:after="120" w:line="275" w:lineRule="auto"/>
        <w:rPr>
          <w:rFonts w:asciiTheme="majorBidi" w:eastAsia="Google Sans Text" w:hAnsiTheme="majorBidi" w:cstheme="majorBidi"/>
          <w:bCs/>
          <w:color w:val="444746"/>
          <w:vertAlign w:val="superscript"/>
        </w:rPr>
      </w:pPr>
      <w:r w:rsidRPr="005C66CA">
        <w:rPr>
          <w:rFonts w:asciiTheme="majorBidi" w:eastAsia="Google Sans Text" w:hAnsiTheme="majorBidi" w:cstheme="majorBidi"/>
          <w:bCs/>
          <w:color w:val="444746"/>
          <w:vertAlign w:val="superscript"/>
        </w:rPr>
        <w:t>1.4 Thesis Organization</w:t>
      </w:r>
    </w:p>
    <w:p w14:paraId="2392CE1A" w14:textId="3B929656" w:rsidR="00437F4B" w:rsidRPr="00437F4B" w:rsidRDefault="00437F4B" w:rsidP="00437F4B">
      <w:pPr>
        <w:pStyle w:val="Heading2"/>
        <w:spacing w:before="0" w:after="120" w:line="275" w:lineRule="auto"/>
        <w:rPr>
          <w:rFonts w:asciiTheme="majorBidi" w:eastAsia="Google Sans Text" w:hAnsiTheme="majorBidi" w:cstheme="majorBidi"/>
          <w:b w:val="0"/>
          <w:color w:val="444746"/>
          <w:sz w:val="32"/>
          <w:szCs w:val="32"/>
          <w:vertAlign w:val="superscript"/>
        </w:rPr>
      </w:pPr>
      <w:r w:rsidRPr="00437F4B">
        <w:rPr>
          <w:rFonts w:asciiTheme="majorBidi" w:eastAsia="Google Sans Text" w:hAnsiTheme="majorBidi" w:cstheme="majorBidi"/>
          <w:b w:val="0"/>
          <w:color w:val="444746"/>
          <w:sz w:val="32"/>
          <w:szCs w:val="32"/>
          <w:vertAlign w:val="superscript"/>
        </w:rPr>
        <w:t>This thesis is organized into six chapters, each addressing a key component of the proposed gold price forecasting framework.</w:t>
      </w:r>
    </w:p>
    <w:p w14:paraId="69174E73" w14:textId="77777777" w:rsidR="00437F4B" w:rsidRDefault="00437F4B" w:rsidP="00437F4B">
      <w:pPr>
        <w:pStyle w:val="ListParagraph"/>
        <w:numPr>
          <w:ilvl w:val="0"/>
          <w:numId w:val="28"/>
        </w:numPr>
        <w:pBdr>
          <w:top w:val="nil"/>
          <w:left w:val="nil"/>
          <w:bottom w:val="nil"/>
          <w:right w:val="nil"/>
          <w:between w:val="nil"/>
        </w:pBdr>
        <w:spacing w:before="240" w:after="240" w:line="275" w:lineRule="auto"/>
        <w:rPr>
          <w:rFonts w:asciiTheme="majorBidi" w:eastAsia="Google Sans Text" w:hAnsiTheme="majorBidi" w:cstheme="majorBidi"/>
          <w:color w:val="444746"/>
          <w:sz w:val="32"/>
          <w:szCs w:val="32"/>
          <w:vertAlign w:val="superscript"/>
        </w:rPr>
      </w:pPr>
      <w:r w:rsidRPr="00437F4B">
        <w:rPr>
          <w:rFonts w:asciiTheme="majorBidi" w:eastAsia="Google Sans Text" w:hAnsiTheme="majorBidi" w:cstheme="majorBidi"/>
          <w:b/>
          <w:bCs/>
          <w:color w:val="444746"/>
          <w:sz w:val="32"/>
          <w:szCs w:val="32"/>
          <w:vertAlign w:val="superscript"/>
        </w:rPr>
        <w:t>Chapter 1</w:t>
      </w:r>
      <w:r w:rsidRPr="00437F4B">
        <w:rPr>
          <w:rFonts w:asciiTheme="majorBidi" w:eastAsia="Google Sans Text" w:hAnsiTheme="majorBidi" w:cstheme="majorBidi"/>
          <w:color w:val="444746"/>
          <w:sz w:val="32"/>
          <w:szCs w:val="32"/>
          <w:vertAlign w:val="superscript"/>
        </w:rPr>
        <w:t xml:space="preserve"> introduces the research problem, highlights the importance of gold price forecasting, and outlines the objectives and main contributions of the study.</w:t>
      </w:r>
    </w:p>
    <w:p w14:paraId="027C07C0" w14:textId="77777777" w:rsidR="00437F4B" w:rsidRDefault="00437F4B" w:rsidP="00437F4B">
      <w:pPr>
        <w:pStyle w:val="ListParagraph"/>
        <w:numPr>
          <w:ilvl w:val="0"/>
          <w:numId w:val="28"/>
        </w:numPr>
        <w:pBdr>
          <w:top w:val="nil"/>
          <w:left w:val="nil"/>
          <w:bottom w:val="nil"/>
          <w:right w:val="nil"/>
          <w:between w:val="nil"/>
        </w:pBdr>
        <w:spacing w:before="240" w:after="240" w:line="275" w:lineRule="auto"/>
        <w:rPr>
          <w:rFonts w:asciiTheme="majorBidi" w:eastAsia="Google Sans Text" w:hAnsiTheme="majorBidi" w:cstheme="majorBidi"/>
          <w:color w:val="444746"/>
          <w:sz w:val="32"/>
          <w:szCs w:val="32"/>
          <w:vertAlign w:val="superscript"/>
        </w:rPr>
      </w:pPr>
      <w:r w:rsidRPr="00437F4B">
        <w:rPr>
          <w:rFonts w:asciiTheme="majorBidi" w:eastAsia="Google Sans Text" w:hAnsiTheme="majorBidi" w:cstheme="majorBidi"/>
          <w:b/>
          <w:bCs/>
          <w:color w:val="444746"/>
          <w:sz w:val="32"/>
          <w:szCs w:val="32"/>
          <w:vertAlign w:val="superscript"/>
        </w:rPr>
        <w:t>Chapter 2</w:t>
      </w:r>
      <w:r w:rsidRPr="00437F4B">
        <w:rPr>
          <w:rFonts w:asciiTheme="majorBidi" w:eastAsia="Google Sans Text" w:hAnsiTheme="majorBidi" w:cstheme="majorBidi"/>
          <w:color w:val="444746"/>
          <w:sz w:val="32"/>
          <w:szCs w:val="32"/>
          <w:vertAlign w:val="superscript"/>
        </w:rPr>
        <w:t xml:space="preserve"> presents the theoretical background related to Artificial Intelligence, Machine Learning, Deep Learning, and hybrid forecasting approaches, providing the conceptual foundation for the research.</w:t>
      </w:r>
    </w:p>
    <w:p w14:paraId="39204E30" w14:textId="77777777" w:rsidR="00437F4B" w:rsidRDefault="00437F4B" w:rsidP="00437F4B">
      <w:pPr>
        <w:pStyle w:val="ListParagraph"/>
        <w:numPr>
          <w:ilvl w:val="0"/>
          <w:numId w:val="28"/>
        </w:numPr>
        <w:pBdr>
          <w:top w:val="nil"/>
          <w:left w:val="nil"/>
          <w:bottom w:val="nil"/>
          <w:right w:val="nil"/>
          <w:between w:val="nil"/>
        </w:pBdr>
        <w:spacing w:before="240" w:after="240" w:line="275" w:lineRule="auto"/>
        <w:rPr>
          <w:rFonts w:asciiTheme="majorBidi" w:eastAsia="Google Sans Text" w:hAnsiTheme="majorBidi" w:cstheme="majorBidi"/>
          <w:color w:val="444746"/>
          <w:sz w:val="32"/>
          <w:szCs w:val="32"/>
          <w:vertAlign w:val="superscript"/>
        </w:rPr>
      </w:pPr>
      <w:r w:rsidRPr="00437F4B">
        <w:rPr>
          <w:rFonts w:asciiTheme="majorBidi" w:eastAsia="Google Sans Text" w:hAnsiTheme="majorBidi" w:cstheme="majorBidi"/>
          <w:b/>
          <w:bCs/>
          <w:color w:val="444746"/>
          <w:sz w:val="32"/>
          <w:szCs w:val="32"/>
          <w:vertAlign w:val="superscript"/>
        </w:rPr>
        <w:t>Chapter 3</w:t>
      </w:r>
      <w:r w:rsidRPr="00437F4B">
        <w:rPr>
          <w:rFonts w:asciiTheme="majorBidi" w:eastAsia="Google Sans Text" w:hAnsiTheme="majorBidi" w:cstheme="majorBidi"/>
          <w:color w:val="444746"/>
          <w:sz w:val="32"/>
          <w:szCs w:val="32"/>
          <w:vertAlign w:val="superscript"/>
        </w:rPr>
        <w:t xml:space="preserve"> reviews recent literature on gold price prediction and hybrid machine learning models, identifying research gaps that motivate the proposed methodology.</w:t>
      </w:r>
    </w:p>
    <w:p w14:paraId="0B195200" w14:textId="77777777" w:rsidR="00437F4B" w:rsidRDefault="00437F4B" w:rsidP="00437F4B">
      <w:pPr>
        <w:pStyle w:val="ListParagraph"/>
        <w:numPr>
          <w:ilvl w:val="0"/>
          <w:numId w:val="28"/>
        </w:numPr>
        <w:pBdr>
          <w:top w:val="nil"/>
          <w:left w:val="nil"/>
          <w:bottom w:val="nil"/>
          <w:right w:val="nil"/>
          <w:between w:val="nil"/>
        </w:pBdr>
        <w:spacing w:before="240" w:after="240" w:line="275" w:lineRule="auto"/>
        <w:rPr>
          <w:rFonts w:asciiTheme="majorBidi" w:eastAsia="Google Sans Text" w:hAnsiTheme="majorBidi" w:cstheme="majorBidi"/>
          <w:color w:val="444746"/>
          <w:sz w:val="32"/>
          <w:szCs w:val="32"/>
          <w:vertAlign w:val="superscript"/>
        </w:rPr>
      </w:pPr>
      <w:r w:rsidRPr="00437F4B">
        <w:rPr>
          <w:rFonts w:asciiTheme="majorBidi" w:eastAsia="Google Sans Text" w:hAnsiTheme="majorBidi" w:cstheme="majorBidi"/>
          <w:b/>
          <w:bCs/>
          <w:color w:val="444746"/>
          <w:sz w:val="32"/>
          <w:szCs w:val="32"/>
          <w:vertAlign w:val="superscript"/>
        </w:rPr>
        <w:lastRenderedPageBreak/>
        <w:t>Chapter 4</w:t>
      </w:r>
      <w:r w:rsidRPr="00437F4B">
        <w:rPr>
          <w:rFonts w:asciiTheme="majorBidi" w:eastAsia="Google Sans Text" w:hAnsiTheme="majorBidi" w:cstheme="majorBidi"/>
          <w:color w:val="444746"/>
          <w:sz w:val="32"/>
          <w:szCs w:val="32"/>
          <w:vertAlign w:val="superscript"/>
        </w:rPr>
        <w:t xml:space="preserve"> describes the research methodology in detail, including data sources, preprocessing steps, feature engineering, and the design of the residual-based hybrid forecasting model.</w:t>
      </w:r>
    </w:p>
    <w:p w14:paraId="406FBE38" w14:textId="77777777" w:rsidR="00437F4B" w:rsidRDefault="00437F4B" w:rsidP="00437F4B">
      <w:pPr>
        <w:pStyle w:val="ListParagraph"/>
        <w:numPr>
          <w:ilvl w:val="0"/>
          <w:numId w:val="28"/>
        </w:numPr>
        <w:pBdr>
          <w:top w:val="nil"/>
          <w:left w:val="nil"/>
          <w:bottom w:val="nil"/>
          <w:right w:val="nil"/>
          <w:between w:val="nil"/>
        </w:pBdr>
        <w:spacing w:before="240" w:after="240" w:line="275" w:lineRule="auto"/>
        <w:rPr>
          <w:rFonts w:asciiTheme="majorBidi" w:eastAsia="Google Sans Text" w:hAnsiTheme="majorBidi" w:cstheme="majorBidi"/>
          <w:color w:val="444746"/>
          <w:sz w:val="32"/>
          <w:szCs w:val="32"/>
          <w:vertAlign w:val="superscript"/>
        </w:rPr>
      </w:pPr>
      <w:r w:rsidRPr="00437F4B">
        <w:rPr>
          <w:rFonts w:asciiTheme="majorBidi" w:eastAsia="Google Sans Text" w:hAnsiTheme="majorBidi" w:cstheme="majorBidi"/>
          <w:b/>
          <w:bCs/>
          <w:color w:val="444746"/>
          <w:sz w:val="32"/>
          <w:szCs w:val="32"/>
          <w:vertAlign w:val="superscript"/>
        </w:rPr>
        <w:t>Chapter 5</w:t>
      </w:r>
      <w:r w:rsidRPr="00437F4B">
        <w:rPr>
          <w:rFonts w:asciiTheme="majorBidi" w:eastAsia="Google Sans Text" w:hAnsiTheme="majorBidi" w:cstheme="majorBidi"/>
          <w:color w:val="444746"/>
          <w:sz w:val="32"/>
          <w:szCs w:val="32"/>
          <w:vertAlign w:val="superscript"/>
        </w:rPr>
        <w:t xml:space="preserve"> presents the experimental setup, evaluation metrics, forecasting results, and comparative analysis of the proposed hybrid model against baseline approaches.</w:t>
      </w:r>
    </w:p>
    <w:p w14:paraId="50ECF89A" w14:textId="4A8B4B95" w:rsidR="005C66CA" w:rsidRPr="00BC698C" w:rsidRDefault="00437F4B" w:rsidP="00BC698C">
      <w:pPr>
        <w:pStyle w:val="ListParagraph"/>
        <w:numPr>
          <w:ilvl w:val="0"/>
          <w:numId w:val="28"/>
        </w:numPr>
        <w:pBdr>
          <w:top w:val="nil"/>
          <w:left w:val="nil"/>
          <w:bottom w:val="nil"/>
          <w:right w:val="nil"/>
          <w:between w:val="nil"/>
        </w:pBdr>
        <w:spacing w:before="240" w:after="240" w:line="275" w:lineRule="auto"/>
        <w:rPr>
          <w:rFonts w:asciiTheme="majorBidi" w:eastAsia="Google Sans Text" w:hAnsiTheme="majorBidi" w:cstheme="majorBidi"/>
          <w:color w:val="444746"/>
          <w:sz w:val="32"/>
          <w:szCs w:val="32"/>
          <w:vertAlign w:val="superscript"/>
          <w:rtl/>
        </w:rPr>
      </w:pPr>
      <w:r w:rsidRPr="00437F4B">
        <w:rPr>
          <w:rFonts w:asciiTheme="majorBidi" w:eastAsia="Google Sans Text" w:hAnsiTheme="majorBidi" w:cstheme="majorBidi"/>
          <w:b/>
          <w:bCs/>
          <w:color w:val="444746"/>
          <w:sz w:val="32"/>
          <w:szCs w:val="32"/>
          <w:vertAlign w:val="superscript"/>
        </w:rPr>
        <w:t>Chapter 6</w:t>
      </w:r>
      <w:r w:rsidRPr="00437F4B">
        <w:rPr>
          <w:rFonts w:asciiTheme="majorBidi" w:eastAsia="Google Sans Text" w:hAnsiTheme="majorBidi" w:cstheme="majorBidi"/>
          <w:color w:val="444746"/>
          <w:sz w:val="32"/>
          <w:szCs w:val="32"/>
          <w:vertAlign w:val="superscript"/>
        </w:rPr>
        <w:t xml:space="preserve"> concludes the thesis by summarizing the key findings and discussing potential directions for future research.</w:t>
      </w:r>
      <w:bookmarkStart w:id="0" w:name="_Toc205837492"/>
    </w:p>
    <w:p w14:paraId="35FF6A24" w14:textId="5709DA2E" w:rsidR="00F95FEC" w:rsidRPr="00203199" w:rsidRDefault="00F95FEC" w:rsidP="00203199">
      <w:pPr>
        <w:pStyle w:val="Heading2"/>
        <w:spacing w:before="0" w:after="120" w:line="275" w:lineRule="auto"/>
        <w:ind w:left="450"/>
        <w:jc w:val="center"/>
        <w:rPr>
          <w:rFonts w:asciiTheme="majorHAnsi" w:eastAsia="Google Sans" w:hAnsiTheme="majorHAnsi" w:cstheme="majorHAnsi"/>
          <w:b w:val="0"/>
          <w:bCs/>
          <w:color w:val="1B1C1D"/>
          <w:rtl/>
        </w:rPr>
      </w:pPr>
      <w:r w:rsidRPr="00F95FEC">
        <w:rPr>
          <w:rFonts w:asciiTheme="majorHAnsi" w:eastAsia="Google Sans" w:hAnsiTheme="majorHAnsi" w:cstheme="majorHAnsi"/>
          <w:b w:val="0"/>
          <w:bCs/>
          <w:color w:val="1B1C1D"/>
        </w:rPr>
        <w:t xml:space="preserve">Chapter 2 </w:t>
      </w:r>
      <w:bookmarkEnd w:id="0"/>
      <w:r w:rsidR="00CA738E" w:rsidRPr="00CA738E">
        <w:rPr>
          <w:rFonts w:asciiTheme="majorHAnsi" w:eastAsia="Google Sans" w:hAnsiTheme="majorHAnsi" w:cstheme="majorHAnsi"/>
          <w:b w:val="0"/>
          <w:bCs/>
          <w:color w:val="1B1C1D"/>
        </w:rPr>
        <w:t>Background and Theoretical Framework</w:t>
      </w:r>
    </w:p>
    <w:p w14:paraId="3476820B" w14:textId="3003F0C7" w:rsidR="00CA738E" w:rsidRPr="00CA738E" w:rsidRDefault="00621FAF" w:rsidP="00203199">
      <w:pPr>
        <w:rPr>
          <w:rFonts w:asciiTheme="majorBidi" w:eastAsia="Google Sans Text" w:hAnsiTheme="majorBidi" w:cstheme="majorBidi"/>
          <w:color w:val="444746"/>
          <w:sz w:val="32"/>
          <w:szCs w:val="32"/>
          <w:vertAlign w:val="superscript"/>
        </w:rPr>
      </w:pPr>
      <w:r w:rsidRPr="005C66CA">
        <w:rPr>
          <w:rFonts w:asciiTheme="majorBidi" w:eastAsia="Google Sans Text" w:hAnsiTheme="majorBidi" w:cstheme="majorBidi"/>
          <w:b/>
          <w:bCs/>
          <w:color w:val="444746"/>
          <w:sz w:val="36"/>
          <w:szCs w:val="36"/>
          <w:vertAlign w:val="superscript"/>
        </w:rPr>
        <w:t>2.1</w:t>
      </w:r>
      <w:r w:rsidR="003D25F4" w:rsidRPr="005C66CA">
        <w:rPr>
          <w:rFonts w:asciiTheme="majorBidi" w:eastAsia="Google Sans Text" w:hAnsiTheme="majorBidi" w:cstheme="majorBidi"/>
          <w:b/>
          <w:bCs/>
          <w:color w:val="444746"/>
          <w:sz w:val="36"/>
          <w:szCs w:val="36"/>
          <w:vertAlign w:val="superscript"/>
        </w:rPr>
        <w:t xml:space="preserve"> </w:t>
      </w:r>
      <w:r w:rsidRPr="005C66CA">
        <w:rPr>
          <w:rFonts w:asciiTheme="majorBidi" w:eastAsia="Google Sans Text" w:hAnsiTheme="majorBidi" w:cstheme="majorBidi"/>
          <w:b/>
          <w:bCs/>
          <w:color w:val="444746"/>
          <w:sz w:val="36"/>
          <w:szCs w:val="36"/>
          <w:vertAlign w:val="superscript"/>
        </w:rPr>
        <w:t>Introduction</w:t>
      </w:r>
      <w:r w:rsidR="003A4CB9" w:rsidRPr="003A4CB9">
        <w:rPr>
          <w:rFonts w:asciiTheme="majorHAnsi" w:eastAsia="Google Sans Text" w:hAnsiTheme="majorHAnsi" w:cstheme="majorHAnsi"/>
          <w:color w:val="444746"/>
          <w:sz w:val="28"/>
          <w:szCs w:val="28"/>
          <w:vertAlign w:val="superscript"/>
        </w:rPr>
        <w:br/>
      </w:r>
      <w:r w:rsidR="00CA738E" w:rsidRPr="00CA738E">
        <w:rPr>
          <w:rFonts w:asciiTheme="majorBidi" w:eastAsia="Google Sans Text" w:hAnsiTheme="majorBidi" w:cstheme="majorBidi"/>
          <w:color w:val="444746"/>
          <w:sz w:val="32"/>
          <w:szCs w:val="32"/>
          <w:vertAlign w:val="superscript"/>
        </w:rPr>
        <w:t>This chapter presents the theoretical background that supports the proposed hybrid gold price forecasting framework. It introduces the key concepts related to Artificial Intelligence (AI), Machine Learning (ML), and Deep Learning (DL), with a particular focus on their application to financial time-series prediction. The chapter also reviews commonly used forecasting models and evaluation metrics that are relevant to regression-based prediction tasks in financial markets.</w:t>
      </w:r>
    </w:p>
    <w:p w14:paraId="2DD4FD63" w14:textId="3F2C6823" w:rsidR="003A4CB9" w:rsidRDefault="00CA738E" w:rsidP="00CA738E">
      <w:pPr>
        <w:rPr>
          <w:rFonts w:asciiTheme="majorBidi" w:eastAsia="Google Sans Text" w:hAnsiTheme="majorBidi" w:cstheme="majorBidi"/>
          <w:color w:val="444746"/>
          <w:sz w:val="32"/>
          <w:szCs w:val="32"/>
          <w:vertAlign w:val="superscript"/>
          <w:rtl/>
        </w:rPr>
      </w:pPr>
      <w:r w:rsidRPr="00CA738E">
        <w:rPr>
          <w:rFonts w:asciiTheme="majorBidi" w:eastAsia="Google Sans Text" w:hAnsiTheme="majorBidi" w:cstheme="majorBidi"/>
          <w:color w:val="444746"/>
          <w:sz w:val="32"/>
          <w:szCs w:val="32"/>
          <w:vertAlign w:val="superscript"/>
        </w:rPr>
        <w:t>By establishing this theoretical foundation, the chapter provides the necessary context for understanding the methodological choices made in the subsequent chapters, particularly the use of hybrid learning approaches that combine machine learning and deep learning techniques for gold price forecasting.</w:t>
      </w:r>
    </w:p>
    <w:p w14:paraId="378EC2EC" w14:textId="77777777" w:rsidR="00621FAF" w:rsidRDefault="00621FAF" w:rsidP="00F95FEC"/>
    <w:p w14:paraId="6A036CE8" w14:textId="32CBE2F4" w:rsidR="003A4CB9" w:rsidRPr="003A4CB9" w:rsidRDefault="003A4CB9" w:rsidP="00CA738E">
      <w:pPr>
        <w:rPr>
          <w:rFonts w:asciiTheme="majorHAnsi" w:eastAsia="Google Sans Text" w:hAnsiTheme="majorHAnsi" w:cstheme="majorHAnsi"/>
          <w:b/>
          <w:bCs/>
          <w:color w:val="444746"/>
          <w:sz w:val="36"/>
          <w:szCs w:val="36"/>
          <w:vertAlign w:val="superscript"/>
        </w:rPr>
      </w:pPr>
      <w:r w:rsidRPr="003A4CB9">
        <w:rPr>
          <w:rFonts w:asciiTheme="majorHAnsi" w:eastAsia="Google Sans Text" w:hAnsiTheme="majorHAnsi" w:cstheme="majorHAnsi"/>
          <w:b/>
          <w:bCs/>
          <w:color w:val="444746"/>
          <w:sz w:val="36"/>
          <w:szCs w:val="36"/>
          <w:vertAlign w:val="superscript"/>
        </w:rPr>
        <w:t xml:space="preserve">2.2 </w:t>
      </w:r>
      <w:r w:rsidR="00CA738E" w:rsidRPr="00CA738E">
        <w:rPr>
          <w:rFonts w:asciiTheme="majorHAnsi" w:eastAsia="Google Sans Text" w:hAnsiTheme="majorHAnsi" w:cstheme="majorHAnsi"/>
          <w:b/>
          <w:bCs/>
          <w:color w:val="444746"/>
          <w:sz w:val="36"/>
          <w:szCs w:val="36"/>
          <w:vertAlign w:val="superscript"/>
        </w:rPr>
        <w:t>Gold Price Historical Patterns and the Role of Artificial Intelligence</w:t>
      </w:r>
    </w:p>
    <w:p w14:paraId="28303CBA" w14:textId="77777777" w:rsidR="00CA738E" w:rsidRPr="00CA738E" w:rsidRDefault="00CA738E" w:rsidP="00CA738E">
      <w:pPr>
        <w:rPr>
          <w:rFonts w:asciiTheme="majorBidi" w:eastAsia="Google Sans Text" w:hAnsiTheme="majorBidi" w:cstheme="majorBidi"/>
          <w:color w:val="444746"/>
          <w:sz w:val="32"/>
          <w:szCs w:val="32"/>
          <w:vertAlign w:val="superscript"/>
        </w:rPr>
      </w:pPr>
      <w:r w:rsidRPr="00CA738E">
        <w:rPr>
          <w:rFonts w:asciiTheme="majorBidi" w:eastAsia="Google Sans Text" w:hAnsiTheme="majorBidi" w:cstheme="majorBidi"/>
          <w:color w:val="444746"/>
          <w:sz w:val="32"/>
          <w:szCs w:val="32"/>
          <w:vertAlign w:val="superscript"/>
        </w:rPr>
        <w:t>Gold prices have exhibited substantial fluctuations over the past two decades, driven by a combination of global monetary policy decisions, economic uncertainty, inflation dynamics, and shifts in investor behavior [1,2]. These factors contribute to complex price movements characterized by long-term trends, sudden regime changes, and periods of heightened volatility.</w:t>
      </w:r>
    </w:p>
    <w:p w14:paraId="5D966F87" w14:textId="77777777" w:rsidR="00CA738E" w:rsidRPr="00CA738E" w:rsidRDefault="00CA738E" w:rsidP="00CA738E">
      <w:pPr>
        <w:rPr>
          <w:rFonts w:asciiTheme="majorBidi" w:eastAsia="Google Sans Text" w:hAnsiTheme="majorBidi" w:cstheme="majorBidi"/>
          <w:color w:val="444746"/>
          <w:sz w:val="32"/>
          <w:szCs w:val="32"/>
          <w:vertAlign w:val="superscript"/>
        </w:rPr>
      </w:pPr>
    </w:p>
    <w:p w14:paraId="3F88093E" w14:textId="2238C282" w:rsidR="00CA738E" w:rsidRPr="00CA738E" w:rsidRDefault="00CA738E" w:rsidP="00203199">
      <w:pPr>
        <w:rPr>
          <w:rFonts w:asciiTheme="majorBidi" w:eastAsia="Google Sans Text" w:hAnsiTheme="majorBidi" w:cstheme="majorBidi"/>
          <w:color w:val="444746"/>
          <w:sz w:val="32"/>
          <w:szCs w:val="32"/>
          <w:vertAlign w:val="superscript"/>
        </w:rPr>
      </w:pPr>
      <w:r w:rsidRPr="00CA738E">
        <w:rPr>
          <w:rFonts w:asciiTheme="majorBidi" w:eastAsia="Google Sans Text" w:hAnsiTheme="majorBidi" w:cstheme="majorBidi"/>
          <w:color w:val="444746"/>
          <w:sz w:val="32"/>
          <w:szCs w:val="32"/>
          <w:vertAlign w:val="superscript"/>
        </w:rPr>
        <w:t>Figure 2.1 illustrates the historical evolution of gold prices over a twenty-year period. The figure highlights multiple upward and downward cycles, prolonged consolidation phases, and abrupt price jumps associated with major economic and geopolitical events. Such behavior indicates that gold prices do not follow simple linear or stationary patterns, which poses significant challenges for traditional forecasting models.</w:t>
      </w:r>
    </w:p>
    <w:p w14:paraId="5F3E686B" w14:textId="60D76384" w:rsidR="003A4CB9" w:rsidRDefault="00CA738E" w:rsidP="00CA738E">
      <w:pPr>
        <w:rPr>
          <w:rFonts w:asciiTheme="majorBidi" w:eastAsia="Google Sans Text" w:hAnsiTheme="majorBidi" w:cstheme="majorBidi"/>
          <w:color w:val="444746"/>
          <w:sz w:val="32"/>
          <w:szCs w:val="32"/>
          <w:vertAlign w:val="superscript"/>
        </w:rPr>
      </w:pPr>
      <w:r w:rsidRPr="00CA738E">
        <w:rPr>
          <w:rFonts w:asciiTheme="majorBidi" w:eastAsia="Google Sans Text" w:hAnsiTheme="majorBidi" w:cstheme="majorBidi"/>
          <w:color w:val="444746"/>
          <w:sz w:val="32"/>
          <w:szCs w:val="32"/>
          <w:vertAlign w:val="superscript"/>
        </w:rPr>
        <w:t>Due to these characteristics, Artificial Intelligence techniques have increasingly been adopted for gold price forecasting. AI-based models are capable of learning nonlinear relationships and dynamic patterns directly from historical data, making them more suitable for modeling the complex structure of gold price movements compared to conventional statistical approaches [18].</w:t>
      </w:r>
    </w:p>
    <w:p w14:paraId="66020400" w14:textId="77777777" w:rsidR="003A4CB9" w:rsidRPr="00621FAF" w:rsidRDefault="003A4CB9" w:rsidP="003A4CB9">
      <w:pPr>
        <w:rPr>
          <w:rFonts w:asciiTheme="majorHAnsi" w:eastAsia="Google Sans Text" w:hAnsiTheme="majorHAnsi" w:cstheme="majorHAnsi"/>
          <w:color w:val="444746"/>
          <w:sz w:val="28"/>
          <w:szCs w:val="28"/>
          <w:vertAlign w:val="superscript"/>
        </w:rPr>
      </w:pPr>
      <w:r>
        <w:rPr>
          <w:noProof/>
        </w:rPr>
        <w:lastRenderedPageBreak/>
        <w:drawing>
          <wp:inline distT="0" distB="0" distL="0" distR="0" wp14:anchorId="689C9702" wp14:editId="5A5A09CE">
            <wp:extent cx="5943600" cy="2627630"/>
            <wp:effectExtent l="0" t="0" r="0" b="1270"/>
            <wp:docPr id="1052351170" name="Picture 1" descr="A graph with lines and a line pointing up&#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2351170" name="Picture 1" descr="A graph with lines and a line pointing up&#10;&#10;AI-generated content may be incorrect."/>
                    <pic:cNvPicPr/>
                  </pic:nvPicPr>
                  <pic:blipFill>
                    <a:blip r:embed="rId8"/>
                    <a:stretch>
                      <a:fillRect/>
                    </a:stretch>
                  </pic:blipFill>
                  <pic:spPr>
                    <a:xfrm>
                      <a:off x="0" y="0"/>
                      <a:ext cx="5943600" cy="2627630"/>
                    </a:xfrm>
                    <a:prstGeom prst="rect">
                      <a:avLst/>
                    </a:prstGeom>
                  </pic:spPr>
                </pic:pic>
              </a:graphicData>
            </a:graphic>
          </wp:inline>
        </w:drawing>
      </w:r>
    </w:p>
    <w:p w14:paraId="643762F5" w14:textId="5F5BAA9C" w:rsidR="0021256E" w:rsidRDefault="003A4CB9" w:rsidP="0021256E">
      <w:pPr>
        <w:pBdr>
          <w:top w:val="nil"/>
          <w:left w:val="nil"/>
          <w:bottom w:val="nil"/>
          <w:right w:val="nil"/>
          <w:between w:val="nil"/>
        </w:pBdr>
        <w:spacing w:after="240" w:line="275" w:lineRule="auto"/>
        <w:jc w:val="center"/>
        <w:rPr>
          <w:rFonts w:ascii="Google Sans Text" w:eastAsia="Google Sans Text" w:hAnsi="Google Sans Text" w:cs="Google Sans Text"/>
          <w:i/>
          <w:iCs/>
          <w:color w:val="444746"/>
          <w:sz w:val="24"/>
          <w:szCs w:val="24"/>
          <w:vertAlign w:val="superscript"/>
          <w:rtl/>
        </w:rPr>
      </w:pPr>
      <w:r w:rsidRPr="0003110E">
        <w:rPr>
          <w:rFonts w:ascii="Google Sans Text" w:eastAsia="Google Sans Text" w:hAnsi="Google Sans Text" w:cs="Google Sans Text"/>
          <w:i/>
          <w:iCs/>
          <w:color w:val="444746"/>
          <w:sz w:val="24"/>
          <w:szCs w:val="24"/>
          <w:vertAlign w:val="superscript"/>
        </w:rPr>
        <w:t>Figure 2.</w:t>
      </w:r>
      <w:r w:rsidR="00DF720E">
        <w:rPr>
          <w:rFonts w:ascii="Google Sans Text" w:eastAsia="Google Sans Text" w:hAnsi="Google Sans Text" w:cs="Google Sans Text" w:hint="cs"/>
          <w:i/>
          <w:iCs/>
          <w:color w:val="444746"/>
          <w:sz w:val="24"/>
          <w:szCs w:val="24"/>
          <w:vertAlign w:val="superscript"/>
          <w:rtl/>
        </w:rPr>
        <w:t>2</w:t>
      </w:r>
      <w:r w:rsidRPr="0003110E">
        <w:rPr>
          <w:rFonts w:ascii="Google Sans Text" w:eastAsia="Google Sans Text" w:hAnsi="Google Sans Text" w:cs="Google Sans Text"/>
          <w:i/>
          <w:iCs/>
          <w:color w:val="444746"/>
          <w:sz w:val="24"/>
          <w:szCs w:val="24"/>
          <w:vertAlign w:val="superscript"/>
        </w:rPr>
        <w:t xml:space="preserve"> Gold Price Chart (20 Years)</w:t>
      </w:r>
      <w:r w:rsidRPr="00D50B98">
        <w:rPr>
          <w:rFonts w:ascii="Google Sans Text" w:eastAsia="Google Sans Text" w:hAnsi="Google Sans Text" w:cs="Google Sans Text" w:hint="cs"/>
          <w:i/>
          <w:iCs/>
          <w:color w:val="444746"/>
          <w:sz w:val="24"/>
          <w:szCs w:val="24"/>
          <w:vertAlign w:val="superscript"/>
          <w:rtl/>
        </w:rPr>
        <w:t xml:space="preserve"> </w:t>
      </w:r>
      <w:r w:rsidRPr="00D50B98">
        <w:rPr>
          <w:rFonts w:ascii="Google Sans Text" w:eastAsia="Google Sans Text" w:hAnsi="Google Sans Text" w:cs="Google Sans Text"/>
          <w:i/>
          <w:iCs/>
          <w:color w:val="444746"/>
          <w:sz w:val="24"/>
          <w:szCs w:val="24"/>
          <w:vertAlign w:val="superscript"/>
        </w:rPr>
        <w:t>, Source: Investing Haven (2025).</w:t>
      </w:r>
    </w:p>
    <w:p w14:paraId="61CADEA8" w14:textId="49B94921" w:rsidR="005C487B" w:rsidRPr="0021256E" w:rsidRDefault="00D56A2D" w:rsidP="0021256E">
      <w:pPr>
        <w:pBdr>
          <w:top w:val="nil"/>
          <w:left w:val="nil"/>
          <w:bottom w:val="nil"/>
          <w:right w:val="nil"/>
          <w:between w:val="nil"/>
        </w:pBdr>
        <w:spacing w:after="240" w:line="275" w:lineRule="auto"/>
        <w:rPr>
          <w:rFonts w:ascii="Google Sans Text" w:eastAsia="Google Sans Text" w:hAnsi="Google Sans Text" w:cs="Google Sans Text"/>
          <w:i/>
          <w:iCs/>
          <w:color w:val="444746"/>
          <w:sz w:val="24"/>
          <w:szCs w:val="24"/>
          <w:vertAlign w:val="superscript"/>
          <w:rtl/>
        </w:rPr>
      </w:pPr>
      <w:r w:rsidRPr="00D56A2D">
        <w:rPr>
          <w:rFonts w:asciiTheme="majorHAnsi" w:eastAsia="Google Sans Text" w:hAnsiTheme="majorHAnsi" w:cstheme="majorHAnsi"/>
          <w:b/>
          <w:bCs/>
          <w:color w:val="444746"/>
          <w:sz w:val="36"/>
          <w:szCs w:val="36"/>
          <w:vertAlign w:val="superscript"/>
        </w:rPr>
        <w:t>2.3 Machine Learning Techniques</w:t>
      </w:r>
    </w:p>
    <w:p w14:paraId="4AC58FDE" w14:textId="21949778" w:rsidR="00523B2B" w:rsidRPr="00523B2B" w:rsidRDefault="00523B2B" w:rsidP="00523B2B">
      <w:pPr>
        <w:rPr>
          <w:rFonts w:asciiTheme="majorBidi" w:eastAsia="Google Sans Text" w:hAnsiTheme="majorBidi" w:cstheme="majorBidi"/>
          <w:color w:val="444746"/>
          <w:sz w:val="32"/>
          <w:szCs w:val="32"/>
          <w:vertAlign w:val="superscript"/>
        </w:rPr>
      </w:pPr>
      <w:r w:rsidRPr="00523B2B">
        <w:rPr>
          <w:rFonts w:asciiTheme="majorBidi" w:eastAsia="Google Sans Text" w:hAnsiTheme="majorBidi" w:cstheme="majorBidi"/>
          <w:color w:val="444746"/>
          <w:sz w:val="32"/>
          <w:szCs w:val="32"/>
          <w:vertAlign w:val="superscript"/>
        </w:rPr>
        <w:t>Machine Learning (ML) refers to a class of computational methods that automatically learn patterns from historical data and use them to make predictions on unseen observations. ML techniques are widely applied in financial forecasting due to their ability to model nonlinear relationships and interactions among variables that traditional econometric models often fail to capture [25].</w:t>
      </w:r>
    </w:p>
    <w:p w14:paraId="175D538C" w14:textId="768AC240" w:rsidR="00523B2B" w:rsidRPr="00523B2B" w:rsidRDefault="00523B2B" w:rsidP="00203199">
      <w:pPr>
        <w:rPr>
          <w:rFonts w:asciiTheme="majorBidi" w:eastAsia="Google Sans Text" w:hAnsiTheme="majorBidi" w:cstheme="majorBidi"/>
          <w:color w:val="444746"/>
          <w:sz w:val="32"/>
          <w:szCs w:val="32"/>
          <w:vertAlign w:val="superscript"/>
        </w:rPr>
      </w:pPr>
      <w:r w:rsidRPr="00523B2B">
        <w:rPr>
          <w:rFonts w:asciiTheme="majorBidi" w:eastAsia="Google Sans Text" w:hAnsiTheme="majorBidi" w:cstheme="majorBidi"/>
          <w:color w:val="444746"/>
          <w:sz w:val="32"/>
          <w:szCs w:val="32"/>
          <w:vertAlign w:val="superscript"/>
        </w:rPr>
        <w:t>In the context of gold price prediction, several supervised ML algorithms have been employed in previous studies. Support Vector Regression (SVR) is used to map input variables into high-dimensional feature spaces in order to capture nonlinear dependencies [7]. Random Forest (RF) models combine multiple decision trees to improve prediction stability and reduce overfitting [5]. Gradient boosting methods, such as XGBoost, construct strong predictive models by sequentially correcting the errors of previous trees, making them particularly effective for structured financial data [4].</w:t>
      </w:r>
    </w:p>
    <w:p w14:paraId="132AB4A5" w14:textId="725AD46F" w:rsidR="00523B2B" w:rsidRDefault="00523B2B" w:rsidP="00523B2B">
      <w:pPr>
        <w:rPr>
          <w:rFonts w:asciiTheme="majorBidi" w:eastAsia="Google Sans Text" w:hAnsiTheme="majorBidi" w:cstheme="majorBidi"/>
          <w:color w:val="444746"/>
          <w:sz w:val="32"/>
          <w:szCs w:val="32"/>
          <w:vertAlign w:val="superscript"/>
          <w:rtl/>
        </w:rPr>
      </w:pPr>
      <w:r w:rsidRPr="00523B2B">
        <w:rPr>
          <w:rFonts w:asciiTheme="majorBidi" w:eastAsia="Google Sans Text" w:hAnsiTheme="majorBidi" w:cstheme="majorBidi"/>
          <w:color w:val="444746"/>
          <w:sz w:val="32"/>
          <w:szCs w:val="32"/>
          <w:vertAlign w:val="superscript"/>
        </w:rPr>
        <w:t>Although ML models often provide strong baseline performance, their ability to capture long-term temporal dependencies in time-series data is limited. This limitation motivates the integration of deep learning techniques that are specifically designed to model sequential patterns.</w:t>
      </w:r>
    </w:p>
    <w:p w14:paraId="25A9BDD5" w14:textId="77777777" w:rsidR="0021256E" w:rsidRDefault="0021256E" w:rsidP="0021256E">
      <w:pPr>
        <w:pBdr>
          <w:top w:val="nil"/>
          <w:left w:val="nil"/>
          <w:bottom w:val="nil"/>
          <w:right w:val="nil"/>
          <w:between w:val="nil"/>
        </w:pBdr>
        <w:spacing w:after="240" w:line="275" w:lineRule="auto"/>
        <w:jc w:val="center"/>
        <w:rPr>
          <w:rFonts w:ascii="Google Sans Text" w:eastAsia="Google Sans Text" w:hAnsi="Google Sans Text" w:cstheme="majorHAnsi"/>
          <w:color w:val="444746"/>
          <w:sz w:val="24"/>
          <w:szCs w:val="24"/>
          <w:vertAlign w:val="superscript"/>
          <w:rtl/>
        </w:rPr>
      </w:pPr>
    </w:p>
    <w:p w14:paraId="01F59398" w14:textId="77777777" w:rsidR="0021256E" w:rsidRDefault="0021256E" w:rsidP="0021256E">
      <w:pPr>
        <w:pBdr>
          <w:top w:val="nil"/>
          <w:left w:val="nil"/>
          <w:bottom w:val="nil"/>
          <w:right w:val="nil"/>
          <w:between w:val="nil"/>
        </w:pBdr>
        <w:spacing w:after="240" w:line="275" w:lineRule="auto"/>
        <w:jc w:val="center"/>
        <w:rPr>
          <w:rFonts w:ascii="Google Sans Text" w:eastAsia="Google Sans Text" w:hAnsi="Google Sans Text" w:cstheme="majorHAnsi"/>
          <w:color w:val="444746"/>
          <w:sz w:val="24"/>
          <w:szCs w:val="24"/>
          <w:vertAlign w:val="superscript"/>
          <w:rtl/>
        </w:rPr>
      </w:pPr>
    </w:p>
    <w:p w14:paraId="6C0D9DC6" w14:textId="77777777" w:rsidR="0021256E" w:rsidRDefault="0021256E" w:rsidP="0021256E">
      <w:pPr>
        <w:pBdr>
          <w:top w:val="nil"/>
          <w:left w:val="nil"/>
          <w:bottom w:val="nil"/>
          <w:right w:val="nil"/>
          <w:between w:val="nil"/>
        </w:pBdr>
        <w:spacing w:after="240" w:line="275" w:lineRule="auto"/>
        <w:jc w:val="center"/>
        <w:rPr>
          <w:rFonts w:ascii="Google Sans Text" w:eastAsia="Google Sans Text" w:hAnsi="Google Sans Text" w:cstheme="majorHAnsi"/>
          <w:color w:val="444746"/>
          <w:sz w:val="24"/>
          <w:szCs w:val="24"/>
          <w:vertAlign w:val="superscript"/>
          <w:rtl/>
        </w:rPr>
      </w:pPr>
    </w:p>
    <w:p w14:paraId="5177FBEE" w14:textId="77777777" w:rsidR="0021256E" w:rsidRDefault="0021256E" w:rsidP="0021256E">
      <w:pPr>
        <w:pBdr>
          <w:top w:val="nil"/>
          <w:left w:val="nil"/>
          <w:bottom w:val="nil"/>
          <w:right w:val="nil"/>
          <w:between w:val="nil"/>
        </w:pBdr>
        <w:spacing w:after="240" w:line="275" w:lineRule="auto"/>
        <w:jc w:val="center"/>
        <w:rPr>
          <w:rFonts w:ascii="Google Sans Text" w:eastAsia="Google Sans Text" w:hAnsi="Google Sans Text" w:cstheme="majorHAnsi"/>
          <w:color w:val="444746"/>
          <w:sz w:val="24"/>
          <w:szCs w:val="24"/>
          <w:vertAlign w:val="superscript"/>
          <w:rtl/>
        </w:rPr>
      </w:pPr>
    </w:p>
    <w:p w14:paraId="3CF88AE3" w14:textId="444B06F6" w:rsidR="0021256E" w:rsidRPr="0021256E" w:rsidRDefault="0021256E" w:rsidP="0021256E">
      <w:pPr>
        <w:pBdr>
          <w:top w:val="nil"/>
          <w:left w:val="nil"/>
          <w:bottom w:val="nil"/>
          <w:right w:val="nil"/>
          <w:between w:val="nil"/>
        </w:pBdr>
        <w:spacing w:after="240" w:line="275" w:lineRule="auto"/>
        <w:rPr>
          <w:rFonts w:asciiTheme="majorHAnsi" w:eastAsia="Google Sans Text" w:hAnsiTheme="majorHAnsi" w:cstheme="majorHAnsi"/>
          <w:b/>
          <w:bCs/>
          <w:color w:val="444746"/>
          <w:sz w:val="36"/>
          <w:szCs w:val="36"/>
          <w:vertAlign w:val="superscript"/>
          <w:rtl/>
        </w:rPr>
      </w:pPr>
      <w:r w:rsidRPr="0021256E">
        <w:rPr>
          <w:rFonts w:asciiTheme="majorHAnsi" w:eastAsia="Google Sans Text" w:hAnsiTheme="majorHAnsi" w:cstheme="majorHAnsi"/>
          <w:b/>
          <w:bCs/>
          <w:color w:val="444746"/>
          <w:sz w:val="36"/>
          <w:szCs w:val="36"/>
          <w:vertAlign w:val="superscript"/>
        </w:rPr>
        <w:lastRenderedPageBreak/>
        <w:t>2.4 Deep Learing Techniques</w:t>
      </w:r>
    </w:p>
    <w:p w14:paraId="1B551F1E" w14:textId="0D56F2FF" w:rsidR="00523B2B" w:rsidRPr="00523B2B" w:rsidRDefault="00523B2B" w:rsidP="00203199">
      <w:pPr>
        <w:rPr>
          <w:rFonts w:asciiTheme="majorBidi" w:eastAsia="Google Sans Text" w:hAnsiTheme="majorBidi" w:cstheme="majorBidi"/>
          <w:color w:val="444746"/>
          <w:sz w:val="32"/>
          <w:szCs w:val="32"/>
          <w:vertAlign w:val="superscript"/>
        </w:rPr>
      </w:pPr>
      <w:r w:rsidRPr="00523B2B">
        <w:rPr>
          <w:rFonts w:asciiTheme="majorBidi" w:eastAsia="Google Sans Text" w:hAnsiTheme="majorBidi" w:cstheme="majorBidi"/>
          <w:color w:val="444746"/>
          <w:sz w:val="32"/>
          <w:szCs w:val="32"/>
          <w:vertAlign w:val="superscript"/>
        </w:rPr>
        <w:t>Deep Learning (DL) is an advanced subset of machine learning that employs multi-layer neural networks to learn hierarchical representations from data. DL models have demonstrated strong performance in financial time-series forecasting due to their ability to capture nonlinear dynamics and long-range temporal dependencies [18].</w:t>
      </w:r>
    </w:p>
    <w:p w14:paraId="6EC07B8D" w14:textId="5BB4DC21" w:rsidR="00523B2B" w:rsidRPr="00523B2B" w:rsidRDefault="00523B2B" w:rsidP="00203199">
      <w:pPr>
        <w:rPr>
          <w:rFonts w:asciiTheme="majorBidi" w:eastAsia="Google Sans Text" w:hAnsiTheme="majorBidi" w:cstheme="majorBidi"/>
          <w:color w:val="444746"/>
          <w:sz w:val="32"/>
          <w:szCs w:val="32"/>
          <w:vertAlign w:val="superscript"/>
        </w:rPr>
      </w:pPr>
      <w:r w:rsidRPr="00523B2B">
        <w:rPr>
          <w:rFonts w:asciiTheme="majorBidi" w:eastAsia="Google Sans Text" w:hAnsiTheme="majorBidi" w:cstheme="majorBidi"/>
          <w:color w:val="444746"/>
          <w:sz w:val="32"/>
          <w:szCs w:val="32"/>
          <w:vertAlign w:val="superscript"/>
        </w:rPr>
        <w:t>Recurrent Neural Networks (RNNs) are specifically designed to process sequential data by maintaining internal memory across time steps. Among RNN variants, Long Short-Term Memory (LSTM) networks address the vanishing gradient problem and are capable of learning long-term dependencies more effectively [9]. As a result, LSTM models have been widely applied in financial forecasting tasks, including stock prices, commodity prices, and exchange rates [22].</w:t>
      </w:r>
    </w:p>
    <w:p w14:paraId="67B1B78A" w14:textId="446DC05F" w:rsidR="007D20AF" w:rsidRPr="00203199" w:rsidRDefault="00523B2B" w:rsidP="00203199">
      <w:pPr>
        <w:rPr>
          <w:rFonts w:asciiTheme="majorBidi" w:eastAsia="Google Sans Text" w:hAnsiTheme="majorBidi" w:cstheme="majorBidi"/>
          <w:color w:val="444746"/>
          <w:sz w:val="32"/>
          <w:szCs w:val="32"/>
          <w:vertAlign w:val="superscript"/>
          <w:rtl/>
        </w:rPr>
      </w:pPr>
      <w:r w:rsidRPr="00523B2B">
        <w:rPr>
          <w:rFonts w:asciiTheme="majorBidi" w:eastAsia="Google Sans Text" w:hAnsiTheme="majorBidi" w:cstheme="majorBidi"/>
          <w:color w:val="444746"/>
          <w:sz w:val="32"/>
          <w:szCs w:val="32"/>
          <w:vertAlign w:val="superscript"/>
        </w:rPr>
        <w:t>Despite their strengths, deep learning models often require large datasets and significant computational resources. When used alone, they may also exhibit instability under volatile market conditions. These limitations motivate the use of hybrid forecasting frameworks that combine deep learning models with robust machine learning algorithms.</w:t>
      </w:r>
    </w:p>
    <w:p w14:paraId="1CB6C676" w14:textId="78671331" w:rsidR="007D20AF" w:rsidRPr="00AF4E82" w:rsidRDefault="00CE4E2F" w:rsidP="00CE4E2F">
      <w:pPr>
        <w:rPr>
          <w:rFonts w:asciiTheme="majorBidi" w:eastAsia="Google Sans" w:hAnsiTheme="majorBidi" w:cstheme="majorBidi"/>
          <w:b/>
          <w:bCs/>
          <w:color w:val="1B1C1D"/>
          <w:rtl/>
        </w:rPr>
      </w:pPr>
      <w:r w:rsidRPr="00CE4E2F">
        <w:rPr>
          <w:rFonts w:asciiTheme="majorBidi" w:eastAsia="Google Sans" w:hAnsiTheme="majorBidi" w:cstheme="majorBidi"/>
          <w:b/>
          <w:bCs/>
          <w:color w:val="1B1C1D"/>
        </w:rPr>
        <w:t>2.</w:t>
      </w:r>
      <w:r w:rsidR="00E523DA">
        <w:rPr>
          <w:rFonts w:asciiTheme="majorBidi" w:eastAsia="Google Sans" w:hAnsiTheme="majorBidi" w:cstheme="majorBidi" w:hint="cs"/>
          <w:b/>
          <w:bCs/>
          <w:color w:val="1B1C1D"/>
          <w:rtl/>
        </w:rPr>
        <w:t>5</w:t>
      </w:r>
      <w:r w:rsidRPr="00CE4E2F">
        <w:rPr>
          <w:rFonts w:asciiTheme="majorBidi" w:eastAsia="Google Sans" w:hAnsiTheme="majorBidi" w:cstheme="majorBidi"/>
          <w:b/>
          <w:bCs/>
          <w:color w:val="1B1C1D"/>
        </w:rPr>
        <w:t xml:space="preserve"> Evaluation Metrics</w:t>
      </w:r>
    </w:p>
    <w:p w14:paraId="645B1543" w14:textId="4179C2F2" w:rsidR="00523B2B" w:rsidRPr="00523B2B" w:rsidRDefault="00CE4E2F" w:rsidP="00203199">
      <w:pPr>
        <w:rPr>
          <w:rFonts w:asciiTheme="majorBidi" w:eastAsia="Google Sans Text" w:hAnsiTheme="majorBidi" w:cstheme="majorBidi"/>
          <w:color w:val="444746"/>
          <w:sz w:val="32"/>
          <w:szCs w:val="32"/>
          <w:vertAlign w:val="superscript"/>
        </w:rPr>
      </w:pPr>
      <w:r w:rsidRPr="00CE4E2F">
        <w:rPr>
          <w:rFonts w:ascii="Google Sans" w:eastAsia="Google Sans" w:hAnsi="Google Sans" w:cs="Google Sans"/>
          <w:b/>
          <w:bCs/>
          <w:color w:val="1B1C1D"/>
        </w:rPr>
        <w:br/>
      </w:r>
      <w:r w:rsidR="00523B2B" w:rsidRPr="00523B2B">
        <w:rPr>
          <w:rFonts w:asciiTheme="majorBidi" w:eastAsia="Google Sans Text" w:hAnsiTheme="majorBidi" w:cstheme="majorBidi"/>
          <w:color w:val="444746"/>
          <w:sz w:val="32"/>
          <w:szCs w:val="32"/>
          <w:vertAlign w:val="superscript"/>
        </w:rPr>
        <w:t>Evaluation metrics play a critical role in assessing the performance of forecasting models, particularly in financial time-series prediction where both accuracy and error magnitude are important. This study adopts standard regression-based evaluation metrics that are commonly used in gold price forecasting literature [3,10].</w:t>
      </w:r>
    </w:p>
    <w:p w14:paraId="0FA26BF8" w14:textId="77388DDC" w:rsidR="00523B2B" w:rsidRPr="00523B2B" w:rsidRDefault="00523B2B" w:rsidP="00203199">
      <w:pPr>
        <w:rPr>
          <w:rFonts w:asciiTheme="majorBidi" w:eastAsia="Google Sans Text" w:hAnsiTheme="majorBidi" w:cstheme="majorBidi"/>
          <w:color w:val="444746"/>
          <w:sz w:val="32"/>
          <w:szCs w:val="32"/>
          <w:vertAlign w:val="superscript"/>
        </w:rPr>
      </w:pPr>
      <w:r w:rsidRPr="00523B2B">
        <w:rPr>
          <w:rFonts w:asciiTheme="majorBidi" w:eastAsia="Google Sans Text" w:hAnsiTheme="majorBidi" w:cstheme="majorBidi"/>
          <w:color w:val="444746"/>
          <w:sz w:val="32"/>
          <w:szCs w:val="32"/>
          <w:vertAlign w:val="superscript"/>
        </w:rPr>
        <w:t>Mean Absolute Error (MAE) measures the average absolute difference between predicted and actual values. It provides an intuitive assessment of forecasting accuracy and is less sensitive to extreme outliers.</w:t>
      </w:r>
    </w:p>
    <w:p w14:paraId="68CF307C" w14:textId="4FA729DB" w:rsidR="00523B2B" w:rsidRPr="00523B2B" w:rsidRDefault="00523B2B" w:rsidP="00203199">
      <w:pPr>
        <w:rPr>
          <w:rFonts w:asciiTheme="majorBidi" w:eastAsia="Google Sans Text" w:hAnsiTheme="majorBidi" w:cstheme="majorBidi"/>
          <w:color w:val="444746"/>
          <w:sz w:val="32"/>
          <w:szCs w:val="32"/>
          <w:vertAlign w:val="superscript"/>
        </w:rPr>
      </w:pPr>
      <w:r w:rsidRPr="00523B2B">
        <w:rPr>
          <w:rFonts w:asciiTheme="majorBidi" w:eastAsia="Google Sans Text" w:hAnsiTheme="majorBidi" w:cstheme="majorBidi"/>
          <w:color w:val="444746"/>
          <w:sz w:val="32"/>
          <w:szCs w:val="32"/>
          <w:vertAlign w:val="superscript"/>
        </w:rPr>
        <w:t>Root Mean Squared Error (RMSE) computes the square root of the average squared differences between predicted and actual values. By penalizing larger errors more heavily, RMSE is particularly suitable for evaluating model performance in volatile markets such as gold.</w:t>
      </w:r>
    </w:p>
    <w:p w14:paraId="3163B530" w14:textId="6F83E57A" w:rsidR="00CE4E2F" w:rsidRPr="00CE4E2F" w:rsidRDefault="00523B2B" w:rsidP="00523B2B">
      <w:pPr>
        <w:rPr>
          <w:rFonts w:asciiTheme="majorBidi" w:eastAsia="Google Sans Text" w:hAnsiTheme="majorBidi" w:cstheme="majorBidi"/>
          <w:color w:val="444746"/>
          <w:sz w:val="32"/>
          <w:szCs w:val="32"/>
          <w:vertAlign w:val="superscript"/>
        </w:rPr>
      </w:pPr>
      <w:r w:rsidRPr="00523B2B">
        <w:rPr>
          <w:rFonts w:asciiTheme="majorBidi" w:eastAsia="Google Sans Text" w:hAnsiTheme="majorBidi" w:cstheme="majorBidi"/>
          <w:color w:val="444746"/>
          <w:sz w:val="32"/>
          <w:szCs w:val="32"/>
          <w:vertAlign w:val="superscript"/>
        </w:rPr>
        <w:t>In addition to these error-based metrics, directional accuracy is used to evaluate the model’s ability to correctly predict the direction of price movements. Together, these metrics enable a comprehensive comparison between machine learning, deep learning, and hybrid forecasting models.</w:t>
      </w:r>
    </w:p>
    <w:p w14:paraId="3EF2867B" w14:textId="77777777" w:rsidR="00CE4E2F" w:rsidRDefault="00CE4E2F" w:rsidP="003E516F">
      <w:pPr>
        <w:rPr>
          <w:rFonts w:ascii="Google Sans" w:eastAsia="Google Sans" w:hAnsi="Google Sans" w:cs="Google Sans"/>
          <w:b/>
          <w:bCs/>
          <w:color w:val="1B1C1D"/>
          <w:rtl/>
        </w:rPr>
      </w:pPr>
    </w:p>
    <w:p w14:paraId="28AD5338" w14:textId="77777777" w:rsidR="000D3A6D" w:rsidRDefault="000D3A6D" w:rsidP="003E516F">
      <w:pPr>
        <w:rPr>
          <w:rFonts w:ascii="Google Sans" w:eastAsia="Google Sans" w:hAnsi="Google Sans" w:cs="Google Sans"/>
          <w:color w:val="1B1C1D"/>
          <w:rtl/>
        </w:rPr>
      </w:pPr>
    </w:p>
    <w:p w14:paraId="4D965F58" w14:textId="77777777" w:rsidR="00203199" w:rsidRDefault="00203199" w:rsidP="003E516F">
      <w:pPr>
        <w:rPr>
          <w:rFonts w:ascii="Google Sans" w:eastAsia="Google Sans" w:hAnsi="Google Sans" w:cs="Google Sans"/>
          <w:color w:val="1B1C1D"/>
          <w:rtl/>
        </w:rPr>
      </w:pPr>
    </w:p>
    <w:p w14:paraId="243E4F70" w14:textId="77777777" w:rsidR="00203199" w:rsidRDefault="00203199" w:rsidP="003E516F">
      <w:pPr>
        <w:rPr>
          <w:rFonts w:ascii="Google Sans" w:eastAsia="Google Sans" w:hAnsi="Google Sans" w:cs="Google Sans"/>
          <w:color w:val="1B1C1D"/>
          <w:rtl/>
        </w:rPr>
      </w:pPr>
    </w:p>
    <w:p w14:paraId="3EA08B34" w14:textId="77777777" w:rsidR="00203199" w:rsidRDefault="00203199" w:rsidP="003E516F">
      <w:pPr>
        <w:rPr>
          <w:rFonts w:ascii="Google Sans" w:eastAsia="Google Sans" w:hAnsi="Google Sans" w:cs="Google Sans"/>
          <w:color w:val="1B1C1D"/>
          <w:rtl/>
        </w:rPr>
      </w:pPr>
    </w:p>
    <w:p w14:paraId="66AFF101" w14:textId="77777777" w:rsidR="00203199" w:rsidRDefault="00203199" w:rsidP="003E516F">
      <w:pPr>
        <w:rPr>
          <w:rFonts w:ascii="Google Sans" w:eastAsia="Google Sans" w:hAnsi="Google Sans" w:cs="Google Sans"/>
          <w:color w:val="1B1C1D"/>
          <w:rtl/>
        </w:rPr>
      </w:pPr>
    </w:p>
    <w:p w14:paraId="341AB051" w14:textId="77777777" w:rsidR="00203199" w:rsidRDefault="00203199" w:rsidP="003E516F">
      <w:pPr>
        <w:rPr>
          <w:rFonts w:ascii="Google Sans" w:eastAsia="Google Sans" w:hAnsi="Google Sans" w:cs="Google Sans"/>
          <w:color w:val="1B1C1D"/>
          <w:rtl/>
        </w:rPr>
      </w:pPr>
    </w:p>
    <w:p w14:paraId="15E7D804" w14:textId="77777777" w:rsidR="00203199" w:rsidRDefault="00203199" w:rsidP="003E516F">
      <w:pPr>
        <w:rPr>
          <w:rFonts w:ascii="Google Sans" w:eastAsia="Google Sans" w:hAnsi="Google Sans" w:cs="Google Sans"/>
          <w:color w:val="1B1C1D"/>
          <w:rtl/>
        </w:rPr>
      </w:pPr>
    </w:p>
    <w:p w14:paraId="6EED2333" w14:textId="77777777" w:rsidR="00203199" w:rsidRDefault="00203199" w:rsidP="003E516F">
      <w:pPr>
        <w:rPr>
          <w:rFonts w:ascii="Google Sans" w:eastAsia="Google Sans" w:hAnsi="Google Sans" w:cs="Google Sans"/>
          <w:color w:val="1B1C1D"/>
          <w:rtl/>
        </w:rPr>
      </w:pPr>
    </w:p>
    <w:p w14:paraId="45B81857" w14:textId="77777777" w:rsidR="00203199" w:rsidRDefault="00203199" w:rsidP="003E516F">
      <w:pPr>
        <w:rPr>
          <w:rFonts w:ascii="Google Sans" w:eastAsia="Google Sans" w:hAnsi="Google Sans" w:cs="Google Sans"/>
          <w:color w:val="1B1C1D"/>
          <w:rtl/>
        </w:rPr>
      </w:pPr>
    </w:p>
    <w:p w14:paraId="4DCE9D0A" w14:textId="77777777" w:rsidR="00696F16" w:rsidRPr="007847CA" w:rsidRDefault="00696F16" w:rsidP="00696F16">
      <w:pPr>
        <w:jc w:val="center"/>
        <w:rPr>
          <w:rFonts w:asciiTheme="majorBidi" w:eastAsia="Google Sans" w:hAnsiTheme="majorBidi" w:cstheme="majorBidi"/>
          <w:bCs/>
          <w:color w:val="1B1C1D"/>
          <w:sz w:val="36"/>
          <w:szCs w:val="36"/>
          <w:rtl/>
        </w:rPr>
      </w:pPr>
      <w:r w:rsidRPr="007847CA">
        <w:rPr>
          <w:rFonts w:asciiTheme="majorBidi" w:eastAsia="Google Sans" w:hAnsiTheme="majorBidi" w:cstheme="majorBidi"/>
          <w:bCs/>
          <w:color w:val="1B1C1D"/>
          <w:sz w:val="36"/>
          <w:szCs w:val="36"/>
        </w:rPr>
        <w:lastRenderedPageBreak/>
        <w:t>Chapter 3: Related Work</w:t>
      </w:r>
    </w:p>
    <w:p w14:paraId="0F85C2EA" w14:textId="77777777" w:rsidR="00AF4E82" w:rsidRDefault="00AF4E82" w:rsidP="00AF4E82">
      <w:pPr>
        <w:rPr>
          <w:rFonts w:asciiTheme="majorBidi" w:eastAsia="Google Sans Text" w:hAnsiTheme="majorBidi" w:cstheme="majorBidi"/>
          <w:b/>
          <w:bCs/>
          <w:color w:val="444746"/>
          <w:sz w:val="32"/>
          <w:szCs w:val="32"/>
          <w:vertAlign w:val="superscript"/>
        </w:rPr>
      </w:pPr>
    </w:p>
    <w:p w14:paraId="58C5E3AB" w14:textId="578E775B" w:rsidR="00AF4E82" w:rsidRPr="00AF4E82" w:rsidRDefault="00AF4E82" w:rsidP="00AF4E82">
      <w:pPr>
        <w:rPr>
          <w:rFonts w:asciiTheme="majorBidi" w:eastAsia="Google Sans" w:hAnsiTheme="majorBidi" w:cstheme="majorBidi"/>
          <w:b/>
          <w:bCs/>
          <w:color w:val="1B1C1D"/>
        </w:rPr>
      </w:pPr>
      <w:r w:rsidRPr="00AF4E82">
        <w:rPr>
          <w:rFonts w:asciiTheme="majorBidi" w:eastAsia="Google Sans" w:hAnsiTheme="majorBidi" w:cstheme="majorBidi"/>
          <w:b/>
          <w:bCs/>
          <w:color w:val="1B1C1D"/>
        </w:rPr>
        <w:t>3.1 Introduction</w:t>
      </w:r>
    </w:p>
    <w:p w14:paraId="492AF2B5" w14:textId="14F0E5A2" w:rsidR="00EA597F" w:rsidRPr="00EA597F" w:rsidRDefault="00AF4E82" w:rsidP="00EA597F">
      <w:pPr>
        <w:rPr>
          <w:rFonts w:asciiTheme="majorBidi" w:eastAsia="Google Sans Text" w:hAnsiTheme="majorBidi" w:cstheme="majorBidi"/>
          <w:color w:val="444746"/>
          <w:sz w:val="32"/>
          <w:szCs w:val="32"/>
          <w:vertAlign w:val="superscript"/>
        </w:rPr>
      </w:pPr>
      <w:r w:rsidRPr="00AF4E82">
        <w:rPr>
          <w:rFonts w:asciiTheme="majorBidi" w:eastAsia="Google Sans Text" w:hAnsiTheme="majorBidi" w:cstheme="majorBidi"/>
          <w:b/>
          <w:bCs/>
          <w:color w:val="444746"/>
          <w:sz w:val="32"/>
          <w:szCs w:val="32"/>
          <w:vertAlign w:val="superscript"/>
        </w:rPr>
        <w:br/>
      </w:r>
      <w:r w:rsidR="00EA597F" w:rsidRPr="00EA597F">
        <w:rPr>
          <w:rFonts w:asciiTheme="majorBidi" w:eastAsia="Google Sans Text" w:hAnsiTheme="majorBidi" w:cstheme="majorBidi"/>
          <w:color w:val="444746"/>
          <w:sz w:val="32"/>
          <w:szCs w:val="32"/>
          <w:vertAlign w:val="superscript"/>
        </w:rPr>
        <w:t>This chapter reviews previous research related to gold price forecasting using Machine Learning (ML), Deep Learning (DL), and hybrid modeling approaches. The objective of this review is to analyze the strengths and limitations of existing techniques, examine how different models address the challenges of financial time-series forecasting, and identify gaps that motivate the proposed research.</w:t>
      </w:r>
    </w:p>
    <w:p w14:paraId="2EF69962" w14:textId="42503796" w:rsidR="00AF4E82" w:rsidRPr="00203199" w:rsidRDefault="00EA597F" w:rsidP="00203199">
      <w:pPr>
        <w:rPr>
          <w:rFonts w:asciiTheme="majorBidi" w:eastAsia="Google Sans Text" w:hAnsiTheme="majorBidi" w:cstheme="majorBidi"/>
          <w:b/>
          <w:bCs/>
          <w:color w:val="444746"/>
          <w:sz w:val="32"/>
          <w:szCs w:val="32"/>
          <w:vertAlign w:val="superscript"/>
        </w:rPr>
      </w:pPr>
      <w:r w:rsidRPr="00EA597F">
        <w:rPr>
          <w:rFonts w:asciiTheme="majorBidi" w:eastAsia="Google Sans Text" w:hAnsiTheme="majorBidi" w:cstheme="majorBidi"/>
          <w:color w:val="444746"/>
          <w:sz w:val="32"/>
          <w:szCs w:val="32"/>
          <w:vertAlign w:val="superscript"/>
        </w:rPr>
        <w:t>The reviewed studies cover traditional ML-based models, deep learning architectures, particularly LSTM networks—and hybrid approaches that combine multiple learning paradigms. By critically examining these works, this chapter establishes the academic context for the proposed hybrid forecasting framework based on XGBoost and LSTM.</w:t>
      </w:r>
    </w:p>
    <w:p w14:paraId="27C9C036" w14:textId="74A79F34" w:rsidR="00D53AA9" w:rsidRPr="00AF4E82" w:rsidRDefault="00AF4E82" w:rsidP="004B68AF">
      <w:pPr>
        <w:rPr>
          <w:rFonts w:asciiTheme="majorBidi" w:eastAsia="Google Sans" w:hAnsiTheme="majorBidi" w:cstheme="majorBidi"/>
          <w:b/>
          <w:bCs/>
          <w:color w:val="1B1C1D"/>
        </w:rPr>
      </w:pPr>
      <w:r w:rsidRPr="00AF4E82">
        <w:rPr>
          <w:rFonts w:asciiTheme="majorBidi" w:eastAsia="Google Sans" w:hAnsiTheme="majorBidi" w:cstheme="majorBidi"/>
          <w:b/>
          <w:bCs/>
          <w:color w:val="1B1C1D"/>
        </w:rPr>
        <w:t xml:space="preserve">3.2 </w:t>
      </w:r>
      <w:r w:rsidR="004B68AF" w:rsidRPr="004B68AF">
        <w:rPr>
          <w:rFonts w:asciiTheme="majorBidi" w:eastAsia="Google Sans" w:hAnsiTheme="majorBidi" w:cstheme="majorBidi"/>
          <w:b/>
          <w:bCs/>
          <w:color w:val="1B1C1D"/>
        </w:rPr>
        <w:t>Traditional Machine Learning Models for Gold Price Forecasting</w:t>
      </w:r>
    </w:p>
    <w:p w14:paraId="518D6903" w14:textId="77777777" w:rsidR="00AD6033" w:rsidRDefault="00AD6033">
      <w:pPr>
        <w:rPr>
          <w:rFonts w:ascii="Google Sans" w:eastAsia="Google Sans" w:hAnsi="Google Sans" w:cs="Google Sans"/>
          <w:color w:val="1B1C1D"/>
          <w:rtl/>
        </w:rPr>
      </w:pPr>
    </w:p>
    <w:p w14:paraId="5AC7A767" w14:textId="1A71563A" w:rsidR="004B68AF" w:rsidRPr="004B68AF" w:rsidRDefault="004B68AF" w:rsidP="00203199">
      <w:pPr>
        <w:rPr>
          <w:rFonts w:asciiTheme="majorBidi" w:eastAsia="Google Sans Text" w:hAnsiTheme="majorBidi" w:cstheme="majorBidi"/>
          <w:color w:val="444746"/>
          <w:sz w:val="32"/>
          <w:szCs w:val="32"/>
          <w:vertAlign w:val="superscript"/>
        </w:rPr>
      </w:pPr>
      <w:r w:rsidRPr="004B68AF">
        <w:rPr>
          <w:rFonts w:asciiTheme="majorBidi" w:eastAsia="Google Sans Text" w:hAnsiTheme="majorBidi" w:cstheme="majorBidi"/>
          <w:color w:val="444746"/>
          <w:sz w:val="32"/>
          <w:szCs w:val="32"/>
          <w:vertAlign w:val="superscript"/>
        </w:rPr>
        <w:t>Traditional Machine Learning (ML) models have been widely applied to gold price forecasting due to their ability to model nonlinear relationships between input variables and price movements. These models typically rely on engineered features derived from historical prices, macroeconomic indicators, and financial market variables. Despite their relatively simpler structure compared to deep learning models, ML algorithms remain important baseline methods in financial prediction tasks.</w:t>
      </w:r>
    </w:p>
    <w:p w14:paraId="6CFB5CC0" w14:textId="37FEA1FC" w:rsidR="004B68AF" w:rsidRPr="004B68AF" w:rsidRDefault="004B68AF" w:rsidP="00AC1F73">
      <w:pPr>
        <w:rPr>
          <w:rFonts w:asciiTheme="majorBidi" w:eastAsia="Google Sans Text" w:hAnsiTheme="majorBidi" w:cstheme="majorBidi"/>
          <w:color w:val="444746"/>
          <w:sz w:val="32"/>
          <w:szCs w:val="32"/>
          <w:vertAlign w:val="superscript"/>
        </w:rPr>
      </w:pPr>
      <w:r w:rsidRPr="004B68AF">
        <w:rPr>
          <w:rFonts w:asciiTheme="majorBidi" w:eastAsia="Google Sans Text" w:hAnsiTheme="majorBidi" w:cstheme="majorBidi"/>
          <w:color w:val="444746"/>
          <w:sz w:val="32"/>
          <w:szCs w:val="32"/>
          <w:vertAlign w:val="superscript"/>
        </w:rPr>
        <w:t xml:space="preserve">Support Vector Regression (SVR) is one of the earliest and most frequently used ML approaches in gold price forecasting. By mapping input data into a high-dimensional feature space, SVR is capable of capturing nonlinear dependencies and has shown competitive performance in several empirical studies, particularly when datasets are limited in size [7].  </w:t>
      </w:r>
    </w:p>
    <w:p w14:paraId="72650C18" w14:textId="6B33A99B" w:rsidR="004B68AF" w:rsidRPr="004B68AF" w:rsidRDefault="004B68AF" w:rsidP="00AC1F73">
      <w:pPr>
        <w:rPr>
          <w:rFonts w:asciiTheme="majorBidi" w:eastAsia="Google Sans Text" w:hAnsiTheme="majorBidi" w:cstheme="majorBidi"/>
          <w:color w:val="444746"/>
          <w:sz w:val="32"/>
          <w:szCs w:val="32"/>
          <w:vertAlign w:val="superscript"/>
        </w:rPr>
      </w:pPr>
      <w:r w:rsidRPr="004B68AF">
        <w:rPr>
          <w:rFonts w:asciiTheme="majorBidi" w:eastAsia="Google Sans Text" w:hAnsiTheme="majorBidi" w:cstheme="majorBidi"/>
          <w:color w:val="444746"/>
          <w:sz w:val="32"/>
          <w:szCs w:val="32"/>
          <w:vertAlign w:val="superscript"/>
        </w:rPr>
        <w:t>Ensemble learning methods such as Random Forest (RF) and Gradient Boosting Machines, including XGBoost, have demonstrated strong predictive performance in commodity price forecasting. RF improves robustness by aggregating multiple decision trees, while XGBoost employs sequential boosting to correct prediction errors and enhance learning efficiency [4,5]. Previous studies report that these ensemble methods often outperform linear regression models and standalone learners in volatile market environments [17].</w:t>
      </w:r>
    </w:p>
    <w:p w14:paraId="21151E1C" w14:textId="298DF599" w:rsidR="004B68AF" w:rsidRDefault="004B68AF" w:rsidP="004B68AF">
      <w:pPr>
        <w:rPr>
          <w:rFonts w:asciiTheme="majorBidi" w:eastAsia="Google Sans Text" w:hAnsiTheme="majorBidi" w:cstheme="majorBidi"/>
          <w:color w:val="444746"/>
          <w:sz w:val="32"/>
          <w:szCs w:val="32"/>
          <w:vertAlign w:val="superscript"/>
          <w:rtl/>
        </w:rPr>
      </w:pPr>
      <w:r w:rsidRPr="004B68AF">
        <w:rPr>
          <w:rFonts w:asciiTheme="majorBidi" w:eastAsia="Google Sans Text" w:hAnsiTheme="majorBidi" w:cstheme="majorBidi"/>
          <w:color w:val="444746"/>
          <w:sz w:val="32"/>
          <w:szCs w:val="32"/>
          <w:vertAlign w:val="superscript"/>
        </w:rPr>
        <w:t>Although traditional ML models provide computational efficiency and relatively good interpretability, their predictive accuracy tends to decline when modeling long-term temporal dependencies inherent in financial time series. This limitation has motivated the adoption of deep learning techniques, which are discussed in the following section.</w:t>
      </w:r>
    </w:p>
    <w:p w14:paraId="14DA8124" w14:textId="77777777" w:rsidR="007D3964" w:rsidRDefault="007D3964" w:rsidP="007D3964">
      <w:pPr>
        <w:rPr>
          <w:rFonts w:asciiTheme="majorBidi" w:eastAsia="Google Sans Text" w:hAnsiTheme="majorBidi" w:cstheme="majorBidi"/>
          <w:color w:val="444746"/>
          <w:sz w:val="32"/>
          <w:szCs w:val="32"/>
          <w:vertAlign w:val="superscript"/>
          <w:rtl/>
        </w:rPr>
      </w:pPr>
    </w:p>
    <w:p w14:paraId="758F91F1" w14:textId="649407D9" w:rsidR="007D3964" w:rsidRPr="007D3964" w:rsidRDefault="007D3964" w:rsidP="007D3964">
      <w:pPr>
        <w:rPr>
          <w:rFonts w:asciiTheme="majorBidi" w:eastAsia="Google Sans Text" w:hAnsiTheme="majorBidi" w:cstheme="majorBidi"/>
          <w:color w:val="444746"/>
          <w:sz w:val="32"/>
          <w:szCs w:val="32"/>
          <w:vertAlign w:val="superscript"/>
          <w:rtl/>
        </w:rPr>
      </w:pPr>
    </w:p>
    <w:tbl>
      <w:tblPr>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013"/>
        <w:gridCol w:w="1519"/>
        <w:gridCol w:w="1758"/>
        <w:gridCol w:w="3060"/>
      </w:tblGrid>
      <w:tr w:rsidR="007D3964" w:rsidRPr="007D3964" w14:paraId="5ED317B4" w14:textId="77777777" w:rsidTr="007D3964">
        <w:trPr>
          <w:tblHeader/>
          <w:tblCellSpacing w:w="15" w:type="dxa"/>
          <w:jc w:val="center"/>
        </w:trPr>
        <w:tc>
          <w:tcPr>
            <w:tcW w:w="0" w:type="auto"/>
            <w:vAlign w:val="center"/>
            <w:hideMark/>
          </w:tcPr>
          <w:p w14:paraId="6FABFC01" w14:textId="77777777" w:rsidR="007D3964" w:rsidRPr="007D3964" w:rsidRDefault="007D3964" w:rsidP="005155FE">
            <w:pPr>
              <w:rPr>
                <w:rFonts w:asciiTheme="majorBidi" w:eastAsia="Google Sans Text" w:hAnsiTheme="majorBidi" w:cstheme="majorBidi"/>
                <w:b/>
                <w:bCs/>
                <w:color w:val="444746"/>
                <w:sz w:val="28"/>
                <w:szCs w:val="28"/>
                <w:vertAlign w:val="superscript"/>
              </w:rPr>
            </w:pPr>
            <w:r w:rsidRPr="007D3964">
              <w:rPr>
                <w:rFonts w:asciiTheme="majorBidi" w:eastAsia="Google Sans Text" w:hAnsiTheme="majorBidi" w:cstheme="majorBidi"/>
                <w:b/>
                <w:bCs/>
                <w:color w:val="444746"/>
                <w:sz w:val="28"/>
                <w:szCs w:val="28"/>
                <w:vertAlign w:val="superscript"/>
              </w:rPr>
              <w:lastRenderedPageBreak/>
              <w:t>Study (Author, Year)</w:t>
            </w:r>
          </w:p>
        </w:tc>
        <w:tc>
          <w:tcPr>
            <w:tcW w:w="0" w:type="auto"/>
            <w:vAlign w:val="center"/>
            <w:hideMark/>
          </w:tcPr>
          <w:p w14:paraId="33EFB783" w14:textId="77777777" w:rsidR="007D3964" w:rsidRPr="007D3964" w:rsidRDefault="007D3964" w:rsidP="005155FE">
            <w:pPr>
              <w:rPr>
                <w:rFonts w:asciiTheme="majorBidi" w:eastAsia="Google Sans Text" w:hAnsiTheme="majorBidi" w:cstheme="majorBidi"/>
                <w:b/>
                <w:bCs/>
                <w:color w:val="444746"/>
                <w:sz w:val="28"/>
                <w:szCs w:val="28"/>
                <w:vertAlign w:val="superscript"/>
              </w:rPr>
            </w:pPr>
            <w:r w:rsidRPr="007D3964">
              <w:rPr>
                <w:rFonts w:asciiTheme="majorBidi" w:eastAsia="Google Sans Text" w:hAnsiTheme="majorBidi" w:cstheme="majorBidi"/>
                <w:b/>
                <w:bCs/>
                <w:color w:val="444746"/>
                <w:sz w:val="28"/>
                <w:szCs w:val="28"/>
                <w:vertAlign w:val="superscript"/>
              </w:rPr>
              <w:t>ML Method(s)</w:t>
            </w:r>
          </w:p>
        </w:tc>
        <w:tc>
          <w:tcPr>
            <w:tcW w:w="0" w:type="auto"/>
            <w:vAlign w:val="center"/>
            <w:hideMark/>
          </w:tcPr>
          <w:p w14:paraId="0E5FEDE4" w14:textId="77777777" w:rsidR="007D3964" w:rsidRPr="007D3964" w:rsidRDefault="007D3964" w:rsidP="005155FE">
            <w:pPr>
              <w:rPr>
                <w:rFonts w:asciiTheme="majorBidi" w:eastAsia="Google Sans Text" w:hAnsiTheme="majorBidi" w:cstheme="majorBidi"/>
                <w:b/>
                <w:bCs/>
                <w:color w:val="444746"/>
                <w:sz w:val="28"/>
                <w:szCs w:val="28"/>
                <w:vertAlign w:val="superscript"/>
              </w:rPr>
            </w:pPr>
            <w:r w:rsidRPr="007D3964">
              <w:rPr>
                <w:rFonts w:asciiTheme="majorBidi" w:eastAsia="Google Sans Text" w:hAnsiTheme="majorBidi" w:cstheme="majorBidi"/>
                <w:b/>
                <w:bCs/>
                <w:color w:val="444746"/>
                <w:sz w:val="28"/>
                <w:szCs w:val="28"/>
                <w:vertAlign w:val="superscript"/>
              </w:rPr>
              <w:t>Data Used</w:t>
            </w:r>
          </w:p>
        </w:tc>
        <w:tc>
          <w:tcPr>
            <w:tcW w:w="0" w:type="auto"/>
            <w:vAlign w:val="center"/>
            <w:hideMark/>
          </w:tcPr>
          <w:p w14:paraId="1135FA61" w14:textId="77777777" w:rsidR="007D3964" w:rsidRPr="007D3964" w:rsidRDefault="007D3964" w:rsidP="005155FE">
            <w:pPr>
              <w:rPr>
                <w:rFonts w:asciiTheme="majorBidi" w:eastAsia="Google Sans Text" w:hAnsiTheme="majorBidi" w:cstheme="majorBidi"/>
                <w:b/>
                <w:bCs/>
                <w:color w:val="444746"/>
                <w:sz w:val="28"/>
                <w:szCs w:val="28"/>
                <w:vertAlign w:val="superscript"/>
              </w:rPr>
            </w:pPr>
            <w:r w:rsidRPr="007D3964">
              <w:rPr>
                <w:rFonts w:asciiTheme="majorBidi" w:eastAsia="Google Sans Text" w:hAnsiTheme="majorBidi" w:cstheme="majorBidi"/>
                <w:b/>
                <w:bCs/>
                <w:color w:val="444746"/>
                <w:sz w:val="28"/>
                <w:szCs w:val="28"/>
                <w:vertAlign w:val="superscript"/>
              </w:rPr>
              <w:t>Key Findings</w:t>
            </w:r>
          </w:p>
        </w:tc>
      </w:tr>
      <w:tr w:rsidR="007D3964" w:rsidRPr="007D3964" w14:paraId="0CE05533" w14:textId="77777777" w:rsidTr="007D3964">
        <w:trPr>
          <w:tblCellSpacing w:w="15" w:type="dxa"/>
          <w:jc w:val="center"/>
        </w:trPr>
        <w:tc>
          <w:tcPr>
            <w:tcW w:w="0" w:type="auto"/>
            <w:vAlign w:val="center"/>
            <w:hideMark/>
          </w:tcPr>
          <w:p w14:paraId="634144A2" w14:textId="77777777" w:rsidR="007D3964" w:rsidRPr="007D3964" w:rsidRDefault="007D3964" w:rsidP="005155FE">
            <w:pPr>
              <w:rPr>
                <w:rFonts w:asciiTheme="majorBidi" w:eastAsia="Google Sans Text" w:hAnsiTheme="majorBidi" w:cstheme="majorBidi"/>
                <w:color w:val="444746"/>
                <w:sz w:val="28"/>
                <w:szCs w:val="28"/>
                <w:vertAlign w:val="superscript"/>
              </w:rPr>
            </w:pPr>
            <w:r w:rsidRPr="007D3964">
              <w:rPr>
                <w:rFonts w:asciiTheme="majorBidi" w:eastAsia="Google Sans Text" w:hAnsiTheme="majorBidi" w:cstheme="majorBidi"/>
                <w:color w:val="444746"/>
                <w:sz w:val="28"/>
                <w:szCs w:val="28"/>
                <w:vertAlign w:val="superscript"/>
              </w:rPr>
              <w:t xml:space="preserve">Wasim et al., 2025 — </w:t>
            </w:r>
            <w:r w:rsidRPr="007D3964">
              <w:rPr>
                <w:rFonts w:asciiTheme="majorBidi" w:eastAsia="Google Sans Text" w:hAnsiTheme="majorBidi" w:cstheme="majorBidi"/>
                <w:i/>
                <w:iCs/>
                <w:color w:val="444746"/>
                <w:sz w:val="28"/>
                <w:szCs w:val="28"/>
                <w:vertAlign w:val="superscript"/>
              </w:rPr>
              <w:t>Gold Price Prediction Using Machine Learning Algorithms</w:t>
            </w:r>
          </w:p>
        </w:tc>
        <w:tc>
          <w:tcPr>
            <w:tcW w:w="0" w:type="auto"/>
            <w:vAlign w:val="center"/>
            <w:hideMark/>
          </w:tcPr>
          <w:p w14:paraId="59F2D870" w14:textId="77777777" w:rsidR="007D3964" w:rsidRPr="007D3964" w:rsidRDefault="007D3964" w:rsidP="005155FE">
            <w:pPr>
              <w:rPr>
                <w:rFonts w:asciiTheme="majorBidi" w:eastAsia="Google Sans Text" w:hAnsiTheme="majorBidi" w:cstheme="majorBidi"/>
                <w:color w:val="444746"/>
                <w:sz w:val="28"/>
                <w:szCs w:val="28"/>
                <w:vertAlign w:val="superscript"/>
              </w:rPr>
            </w:pPr>
            <w:r w:rsidRPr="007D3964">
              <w:rPr>
                <w:rFonts w:asciiTheme="majorBidi" w:eastAsia="Google Sans Text" w:hAnsiTheme="majorBidi" w:cstheme="majorBidi"/>
                <w:color w:val="444746"/>
                <w:sz w:val="28"/>
                <w:szCs w:val="28"/>
                <w:vertAlign w:val="superscript"/>
              </w:rPr>
              <w:t>RF, DT, SVM, GBM</w:t>
            </w:r>
          </w:p>
        </w:tc>
        <w:tc>
          <w:tcPr>
            <w:tcW w:w="0" w:type="auto"/>
            <w:vAlign w:val="center"/>
            <w:hideMark/>
          </w:tcPr>
          <w:p w14:paraId="54661581" w14:textId="77777777" w:rsidR="007D3964" w:rsidRPr="007D3964" w:rsidRDefault="007D3964" w:rsidP="005155FE">
            <w:pPr>
              <w:rPr>
                <w:rFonts w:asciiTheme="majorBidi" w:eastAsia="Google Sans Text" w:hAnsiTheme="majorBidi" w:cstheme="majorBidi"/>
                <w:color w:val="444746"/>
                <w:sz w:val="28"/>
                <w:szCs w:val="28"/>
                <w:vertAlign w:val="superscript"/>
              </w:rPr>
            </w:pPr>
            <w:r w:rsidRPr="007D3964">
              <w:rPr>
                <w:rFonts w:asciiTheme="majorBidi" w:eastAsia="Google Sans Text" w:hAnsiTheme="majorBidi" w:cstheme="majorBidi"/>
                <w:color w:val="444746"/>
                <w:sz w:val="28"/>
                <w:szCs w:val="28"/>
                <w:vertAlign w:val="superscript"/>
              </w:rPr>
              <w:t>GLD ETF + SPX + Oil + Silver + EUR/USD</w:t>
            </w:r>
          </w:p>
        </w:tc>
        <w:tc>
          <w:tcPr>
            <w:tcW w:w="0" w:type="auto"/>
            <w:vAlign w:val="center"/>
            <w:hideMark/>
          </w:tcPr>
          <w:p w14:paraId="6B53E761" w14:textId="77777777" w:rsidR="007D3964" w:rsidRPr="007D3964" w:rsidRDefault="007D3964" w:rsidP="005155FE">
            <w:pPr>
              <w:rPr>
                <w:rFonts w:asciiTheme="majorBidi" w:eastAsia="Google Sans Text" w:hAnsiTheme="majorBidi" w:cstheme="majorBidi"/>
                <w:color w:val="444746"/>
                <w:sz w:val="28"/>
                <w:szCs w:val="28"/>
                <w:vertAlign w:val="superscript"/>
              </w:rPr>
            </w:pPr>
            <w:r w:rsidRPr="007D3964">
              <w:rPr>
                <w:rFonts w:asciiTheme="majorBidi" w:eastAsia="Google Sans Text" w:hAnsiTheme="majorBidi" w:cstheme="majorBidi"/>
                <w:color w:val="444746"/>
                <w:sz w:val="28"/>
                <w:szCs w:val="28"/>
                <w:vertAlign w:val="superscript"/>
              </w:rPr>
              <w:t>Random Forest achieved the highest accuracy; ensemble models outperform linear ones.</w:t>
            </w:r>
          </w:p>
        </w:tc>
      </w:tr>
      <w:tr w:rsidR="007D3964" w:rsidRPr="007D3964" w14:paraId="13277060" w14:textId="77777777" w:rsidTr="007D3964">
        <w:trPr>
          <w:tblCellSpacing w:w="15" w:type="dxa"/>
          <w:jc w:val="center"/>
        </w:trPr>
        <w:tc>
          <w:tcPr>
            <w:tcW w:w="0" w:type="auto"/>
            <w:vAlign w:val="center"/>
            <w:hideMark/>
          </w:tcPr>
          <w:p w14:paraId="15313ACE" w14:textId="77777777" w:rsidR="007D3964" w:rsidRPr="007D3964" w:rsidRDefault="007D3964" w:rsidP="005155FE">
            <w:pPr>
              <w:rPr>
                <w:rFonts w:asciiTheme="majorBidi" w:eastAsia="Google Sans Text" w:hAnsiTheme="majorBidi" w:cstheme="majorBidi"/>
                <w:color w:val="444746"/>
                <w:sz w:val="28"/>
                <w:szCs w:val="28"/>
                <w:vertAlign w:val="superscript"/>
              </w:rPr>
            </w:pPr>
            <w:r w:rsidRPr="007D3964">
              <w:rPr>
                <w:rFonts w:asciiTheme="majorBidi" w:eastAsia="Google Sans Text" w:hAnsiTheme="majorBidi" w:cstheme="majorBidi"/>
                <w:color w:val="444746"/>
                <w:sz w:val="28"/>
                <w:szCs w:val="28"/>
                <w:vertAlign w:val="superscript"/>
              </w:rPr>
              <w:t xml:space="preserve">Kushwaha et al., 2023 — </w:t>
            </w:r>
            <w:r w:rsidRPr="007D3964">
              <w:rPr>
                <w:rFonts w:asciiTheme="majorBidi" w:eastAsia="Google Sans Text" w:hAnsiTheme="majorBidi" w:cstheme="majorBidi"/>
                <w:i/>
                <w:iCs/>
                <w:color w:val="444746"/>
                <w:sz w:val="28"/>
                <w:szCs w:val="28"/>
                <w:vertAlign w:val="superscript"/>
              </w:rPr>
              <w:t>Ensemble RF–XGBoost for Gold Price Prediction</w:t>
            </w:r>
          </w:p>
        </w:tc>
        <w:tc>
          <w:tcPr>
            <w:tcW w:w="0" w:type="auto"/>
            <w:vAlign w:val="center"/>
            <w:hideMark/>
          </w:tcPr>
          <w:p w14:paraId="1CA9A9EF" w14:textId="77777777" w:rsidR="007D3964" w:rsidRPr="007D3964" w:rsidRDefault="007D3964" w:rsidP="005155FE">
            <w:pPr>
              <w:rPr>
                <w:rFonts w:asciiTheme="majorBidi" w:eastAsia="Google Sans Text" w:hAnsiTheme="majorBidi" w:cstheme="majorBidi"/>
                <w:color w:val="444746"/>
                <w:sz w:val="28"/>
                <w:szCs w:val="28"/>
                <w:vertAlign w:val="superscript"/>
              </w:rPr>
            </w:pPr>
            <w:r w:rsidRPr="007D3964">
              <w:rPr>
                <w:rFonts w:asciiTheme="majorBidi" w:eastAsia="Google Sans Text" w:hAnsiTheme="majorBidi" w:cstheme="majorBidi"/>
                <w:color w:val="444746"/>
                <w:sz w:val="28"/>
                <w:szCs w:val="28"/>
                <w:vertAlign w:val="superscript"/>
              </w:rPr>
              <w:t>RF, XGBoost, Stacked Meta-Model</w:t>
            </w:r>
          </w:p>
        </w:tc>
        <w:tc>
          <w:tcPr>
            <w:tcW w:w="0" w:type="auto"/>
            <w:vAlign w:val="center"/>
            <w:hideMark/>
          </w:tcPr>
          <w:p w14:paraId="33E8F909" w14:textId="77777777" w:rsidR="007D3964" w:rsidRPr="007D3964" w:rsidRDefault="007D3964" w:rsidP="005155FE">
            <w:pPr>
              <w:rPr>
                <w:rFonts w:asciiTheme="majorBidi" w:eastAsia="Google Sans Text" w:hAnsiTheme="majorBidi" w:cstheme="majorBidi"/>
                <w:color w:val="444746"/>
                <w:sz w:val="28"/>
                <w:szCs w:val="28"/>
                <w:vertAlign w:val="superscript"/>
              </w:rPr>
            </w:pPr>
            <w:r w:rsidRPr="007D3964">
              <w:rPr>
                <w:rFonts w:asciiTheme="majorBidi" w:eastAsia="Google Sans Text" w:hAnsiTheme="majorBidi" w:cstheme="majorBidi"/>
                <w:color w:val="444746"/>
                <w:sz w:val="28"/>
                <w:szCs w:val="28"/>
                <w:vertAlign w:val="superscript"/>
              </w:rPr>
              <w:t>Daily gold + stock indices + FX rates</w:t>
            </w:r>
          </w:p>
        </w:tc>
        <w:tc>
          <w:tcPr>
            <w:tcW w:w="0" w:type="auto"/>
            <w:vAlign w:val="center"/>
            <w:hideMark/>
          </w:tcPr>
          <w:p w14:paraId="0BA6A57D" w14:textId="77777777" w:rsidR="007D3964" w:rsidRPr="007D3964" w:rsidRDefault="007D3964" w:rsidP="005155FE">
            <w:pPr>
              <w:rPr>
                <w:rFonts w:asciiTheme="majorBidi" w:eastAsia="Google Sans Text" w:hAnsiTheme="majorBidi" w:cstheme="majorBidi"/>
                <w:color w:val="444746"/>
                <w:sz w:val="28"/>
                <w:szCs w:val="28"/>
                <w:vertAlign w:val="superscript"/>
              </w:rPr>
            </w:pPr>
            <w:r w:rsidRPr="007D3964">
              <w:rPr>
                <w:rFonts w:asciiTheme="majorBidi" w:eastAsia="Google Sans Text" w:hAnsiTheme="majorBidi" w:cstheme="majorBidi"/>
                <w:color w:val="444746"/>
                <w:sz w:val="28"/>
                <w:szCs w:val="28"/>
                <w:vertAlign w:val="superscript"/>
              </w:rPr>
              <w:t>Hybrid ensemble (RF+XGB) achieved R² ≈ 0.99 and lowest MAE/RMSE.</w:t>
            </w:r>
          </w:p>
        </w:tc>
      </w:tr>
      <w:tr w:rsidR="007D3964" w:rsidRPr="007D3964" w14:paraId="78AC5776" w14:textId="77777777" w:rsidTr="007D3964">
        <w:trPr>
          <w:tblCellSpacing w:w="15" w:type="dxa"/>
          <w:jc w:val="center"/>
        </w:trPr>
        <w:tc>
          <w:tcPr>
            <w:tcW w:w="0" w:type="auto"/>
            <w:vAlign w:val="center"/>
            <w:hideMark/>
          </w:tcPr>
          <w:p w14:paraId="6B0EBCAF" w14:textId="77777777" w:rsidR="007D3964" w:rsidRPr="007D3964" w:rsidRDefault="007D3964" w:rsidP="005155FE">
            <w:pPr>
              <w:rPr>
                <w:rFonts w:asciiTheme="majorBidi" w:eastAsia="Google Sans Text" w:hAnsiTheme="majorBidi" w:cstheme="majorBidi"/>
                <w:color w:val="444746"/>
                <w:sz w:val="28"/>
                <w:szCs w:val="28"/>
                <w:vertAlign w:val="superscript"/>
              </w:rPr>
            </w:pPr>
            <w:r w:rsidRPr="007D3964">
              <w:rPr>
                <w:rFonts w:asciiTheme="majorBidi" w:eastAsia="Google Sans Text" w:hAnsiTheme="majorBidi" w:cstheme="majorBidi"/>
                <w:color w:val="444746"/>
                <w:sz w:val="28"/>
                <w:szCs w:val="28"/>
                <w:vertAlign w:val="superscript"/>
              </w:rPr>
              <w:t xml:space="preserve">Cohen &amp; Aiche, 2023 — </w:t>
            </w:r>
            <w:r w:rsidRPr="007D3964">
              <w:rPr>
                <w:rFonts w:asciiTheme="majorBidi" w:eastAsia="Google Sans Text" w:hAnsiTheme="majorBidi" w:cstheme="majorBidi"/>
                <w:i/>
                <w:iCs/>
                <w:color w:val="444746"/>
                <w:sz w:val="28"/>
                <w:szCs w:val="28"/>
                <w:vertAlign w:val="superscript"/>
              </w:rPr>
              <w:t>Forecasting Gold Price Using ML</w:t>
            </w:r>
          </w:p>
        </w:tc>
        <w:tc>
          <w:tcPr>
            <w:tcW w:w="0" w:type="auto"/>
            <w:vAlign w:val="center"/>
            <w:hideMark/>
          </w:tcPr>
          <w:p w14:paraId="2F696D0D" w14:textId="77777777" w:rsidR="007D3964" w:rsidRPr="007D3964" w:rsidRDefault="007D3964" w:rsidP="005155FE">
            <w:pPr>
              <w:rPr>
                <w:rFonts w:asciiTheme="majorBidi" w:eastAsia="Google Sans Text" w:hAnsiTheme="majorBidi" w:cstheme="majorBidi"/>
                <w:color w:val="444746"/>
                <w:sz w:val="28"/>
                <w:szCs w:val="28"/>
                <w:vertAlign w:val="superscript"/>
              </w:rPr>
            </w:pPr>
            <w:r w:rsidRPr="007D3964">
              <w:rPr>
                <w:rFonts w:asciiTheme="majorBidi" w:eastAsia="Google Sans Text" w:hAnsiTheme="majorBidi" w:cstheme="majorBidi"/>
                <w:color w:val="444746"/>
                <w:sz w:val="28"/>
                <w:szCs w:val="28"/>
                <w:vertAlign w:val="superscript"/>
              </w:rPr>
              <w:t>XGBoost, GBRT, RF</w:t>
            </w:r>
          </w:p>
        </w:tc>
        <w:tc>
          <w:tcPr>
            <w:tcW w:w="0" w:type="auto"/>
            <w:vAlign w:val="center"/>
            <w:hideMark/>
          </w:tcPr>
          <w:p w14:paraId="7A895FB7" w14:textId="77777777" w:rsidR="007D3964" w:rsidRPr="007D3964" w:rsidRDefault="007D3964" w:rsidP="005155FE">
            <w:pPr>
              <w:rPr>
                <w:rFonts w:asciiTheme="majorBidi" w:eastAsia="Google Sans Text" w:hAnsiTheme="majorBidi" w:cstheme="majorBidi"/>
                <w:color w:val="444746"/>
                <w:sz w:val="28"/>
                <w:szCs w:val="28"/>
                <w:vertAlign w:val="superscript"/>
              </w:rPr>
            </w:pPr>
            <w:r w:rsidRPr="007D3964">
              <w:rPr>
                <w:rFonts w:asciiTheme="majorBidi" w:eastAsia="Google Sans Text" w:hAnsiTheme="majorBidi" w:cstheme="majorBidi"/>
                <w:color w:val="444746"/>
                <w:sz w:val="28"/>
                <w:szCs w:val="28"/>
                <w:vertAlign w:val="superscript"/>
              </w:rPr>
              <w:t>Gold + 38 stock indices + bonds + VIX</w:t>
            </w:r>
          </w:p>
        </w:tc>
        <w:tc>
          <w:tcPr>
            <w:tcW w:w="0" w:type="auto"/>
            <w:vAlign w:val="center"/>
            <w:hideMark/>
          </w:tcPr>
          <w:p w14:paraId="0329E113" w14:textId="77777777" w:rsidR="007D3964" w:rsidRPr="007D3964" w:rsidRDefault="007D3964" w:rsidP="005155FE">
            <w:pPr>
              <w:rPr>
                <w:rFonts w:asciiTheme="majorBidi" w:eastAsia="Google Sans Text" w:hAnsiTheme="majorBidi" w:cstheme="majorBidi"/>
                <w:color w:val="444746"/>
                <w:sz w:val="28"/>
                <w:szCs w:val="28"/>
                <w:vertAlign w:val="superscript"/>
              </w:rPr>
            </w:pPr>
            <w:r w:rsidRPr="007D3964">
              <w:rPr>
                <w:rFonts w:asciiTheme="majorBidi" w:eastAsia="Google Sans Text" w:hAnsiTheme="majorBidi" w:cstheme="majorBidi"/>
                <w:color w:val="444746"/>
                <w:sz w:val="28"/>
                <w:szCs w:val="28"/>
                <w:vertAlign w:val="superscript"/>
              </w:rPr>
              <w:t>Lagged macro-financial variables strongly influence prediction; XGBoost performed best.</w:t>
            </w:r>
          </w:p>
        </w:tc>
      </w:tr>
      <w:tr w:rsidR="007D3964" w:rsidRPr="007D3964" w14:paraId="3E96C0AB" w14:textId="77777777" w:rsidTr="007D3964">
        <w:trPr>
          <w:tblCellSpacing w:w="15" w:type="dxa"/>
          <w:jc w:val="center"/>
        </w:trPr>
        <w:tc>
          <w:tcPr>
            <w:tcW w:w="0" w:type="auto"/>
            <w:vAlign w:val="center"/>
            <w:hideMark/>
          </w:tcPr>
          <w:p w14:paraId="06A4479A" w14:textId="77777777" w:rsidR="007D3964" w:rsidRPr="007D3964" w:rsidRDefault="007D3964" w:rsidP="005155FE">
            <w:pPr>
              <w:rPr>
                <w:rFonts w:asciiTheme="majorBidi" w:eastAsia="Google Sans Text" w:hAnsiTheme="majorBidi" w:cstheme="majorBidi"/>
                <w:color w:val="444746"/>
                <w:sz w:val="28"/>
                <w:szCs w:val="28"/>
                <w:vertAlign w:val="superscript"/>
              </w:rPr>
            </w:pPr>
            <w:r w:rsidRPr="007D3964">
              <w:rPr>
                <w:rFonts w:asciiTheme="majorBidi" w:eastAsia="Google Sans Text" w:hAnsiTheme="majorBidi" w:cstheme="majorBidi"/>
                <w:color w:val="444746"/>
                <w:sz w:val="28"/>
                <w:szCs w:val="28"/>
                <w:vertAlign w:val="superscript"/>
              </w:rPr>
              <w:t xml:space="preserve">Kong, 2024 — </w:t>
            </w:r>
            <w:r w:rsidRPr="007D3964">
              <w:rPr>
                <w:rFonts w:asciiTheme="majorBidi" w:eastAsia="Google Sans Text" w:hAnsiTheme="majorBidi" w:cstheme="majorBidi"/>
                <w:i/>
                <w:iCs/>
                <w:color w:val="444746"/>
                <w:sz w:val="28"/>
                <w:szCs w:val="28"/>
                <w:vertAlign w:val="superscript"/>
              </w:rPr>
              <w:t>Comparative ML Models for Gold Price Prediction</w:t>
            </w:r>
          </w:p>
        </w:tc>
        <w:tc>
          <w:tcPr>
            <w:tcW w:w="0" w:type="auto"/>
            <w:vAlign w:val="center"/>
            <w:hideMark/>
          </w:tcPr>
          <w:p w14:paraId="675BA18E" w14:textId="77777777" w:rsidR="007D3964" w:rsidRPr="007D3964" w:rsidRDefault="007D3964" w:rsidP="005155FE">
            <w:pPr>
              <w:rPr>
                <w:rFonts w:asciiTheme="majorBidi" w:eastAsia="Google Sans Text" w:hAnsiTheme="majorBidi" w:cstheme="majorBidi"/>
                <w:color w:val="444746"/>
                <w:sz w:val="28"/>
                <w:szCs w:val="28"/>
                <w:vertAlign w:val="superscript"/>
              </w:rPr>
            </w:pPr>
            <w:r w:rsidRPr="007D3964">
              <w:rPr>
                <w:rFonts w:asciiTheme="majorBidi" w:eastAsia="Google Sans Text" w:hAnsiTheme="majorBidi" w:cstheme="majorBidi"/>
                <w:color w:val="444746"/>
                <w:sz w:val="28"/>
                <w:szCs w:val="28"/>
                <w:vertAlign w:val="superscript"/>
              </w:rPr>
              <w:t>LR, Ridge, Lasso, DT, RF, SVM</w:t>
            </w:r>
          </w:p>
        </w:tc>
        <w:tc>
          <w:tcPr>
            <w:tcW w:w="0" w:type="auto"/>
            <w:vAlign w:val="center"/>
            <w:hideMark/>
          </w:tcPr>
          <w:p w14:paraId="4151B0C8" w14:textId="77777777" w:rsidR="007D3964" w:rsidRPr="007D3964" w:rsidRDefault="007D3964" w:rsidP="005155FE">
            <w:pPr>
              <w:rPr>
                <w:rFonts w:asciiTheme="majorBidi" w:eastAsia="Google Sans Text" w:hAnsiTheme="majorBidi" w:cstheme="majorBidi"/>
                <w:color w:val="444746"/>
                <w:sz w:val="28"/>
                <w:szCs w:val="28"/>
                <w:vertAlign w:val="superscript"/>
              </w:rPr>
            </w:pPr>
            <w:r w:rsidRPr="007D3964">
              <w:rPr>
                <w:rFonts w:asciiTheme="majorBidi" w:eastAsia="Google Sans Text" w:hAnsiTheme="majorBidi" w:cstheme="majorBidi"/>
                <w:color w:val="444746"/>
                <w:sz w:val="28"/>
                <w:szCs w:val="28"/>
                <w:vertAlign w:val="superscript"/>
              </w:rPr>
              <w:t>Historical gold prices</w:t>
            </w:r>
          </w:p>
        </w:tc>
        <w:tc>
          <w:tcPr>
            <w:tcW w:w="0" w:type="auto"/>
            <w:vAlign w:val="center"/>
            <w:hideMark/>
          </w:tcPr>
          <w:p w14:paraId="75F7CD95" w14:textId="77777777" w:rsidR="007D3964" w:rsidRPr="007D3964" w:rsidRDefault="007D3964" w:rsidP="005155FE">
            <w:pPr>
              <w:rPr>
                <w:rFonts w:asciiTheme="majorBidi" w:eastAsia="Google Sans Text" w:hAnsiTheme="majorBidi" w:cstheme="majorBidi"/>
                <w:color w:val="444746"/>
                <w:sz w:val="28"/>
                <w:szCs w:val="28"/>
                <w:vertAlign w:val="superscript"/>
              </w:rPr>
            </w:pPr>
            <w:r w:rsidRPr="007D3964">
              <w:rPr>
                <w:rFonts w:asciiTheme="majorBidi" w:eastAsia="Google Sans Text" w:hAnsiTheme="majorBidi" w:cstheme="majorBidi"/>
                <w:color w:val="444746"/>
                <w:sz w:val="28"/>
                <w:szCs w:val="28"/>
                <w:vertAlign w:val="superscript"/>
              </w:rPr>
              <w:t>Non-linear ML models consistently outperform linear regressions.</w:t>
            </w:r>
          </w:p>
        </w:tc>
      </w:tr>
      <w:tr w:rsidR="007D3964" w:rsidRPr="007D3964" w14:paraId="7447FC3E" w14:textId="77777777" w:rsidTr="007D3964">
        <w:trPr>
          <w:tblCellSpacing w:w="15" w:type="dxa"/>
          <w:jc w:val="center"/>
        </w:trPr>
        <w:tc>
          <w:tcPr>
            <w:tcW w:w="0" w:type="auto"/>
            <w:vAlign w:val="center"/>
            <w:hideMark/>
          </w:tcPr>
          <w:p w14:paraId="386A3D8F" w14:textId="77777777" w:rsidR="007D3964" w:rsidRPr="007D3964" w:rsidRDefault="007D3964" w:rsidP="005155FE">
            <w:pPr>
              <w:rPr>
                <w:rFonts w:asciiTheme="majorBidi" w:eastAsia="Google Sans Text" w:hAnsiTheme="majorBidi" w:cstheme="majorBidi"/>
                <w:color w:val="444746"/>
                <w:sz w:val="28"/>
                <w:szCs w:val="28"/>
                <w:vertAlign w:val="superscript"/>
              </w:rPr>
            </w:pPr>
            <w:r w:rsidRPr="007D3964">
              <w:rPr>
                <w:rFonts w:asciiTheme="majorBidi" w:eastAsia="Google Sans Text" w:hAnsiTheme="majorBidi" w:cstheme="majorBidi"/>
                <w:color w:val="444746"/>
                <w:sz w:val="28"/>
                <w:szCs w:val="28"/>
                <w:vertAlign w:val="superscript"/>
              </w:rPr>
              <w:t xml:space="preserve">Vrtagić &amp; Dogan, 2024 — </w:t>
            </w:r>
            <w:r w:rsidRPr="007D3964">
              <w:rPr>
                <w:rFonts w:asciiTheme="majorBidi" w:eastAsia="Google Sans Text" w:hAnsiTheme="majorBidi" w:cstheme="majorBidi"/>
                <w:i/>
                <w:iCs/>
                <w:color w:val="444746"/>
                <w:sz w:val="28"/>
                <w:szCs w:val="28"/>
                <w:vertAlign w:val="superscript"/>
              </w:rPr>
              <w:t>High-Frequency Gold Forecasting Using GA-Optimized MLP</w:t>
            </w:r>
          </w:p>
        </w:tc>
        <w:tc>
          <w:tcPr>
            <w:tcW w:w="0" w:type="auto"/>
            <w:vAlign w:val="center"/>
            <w:hideMark/>
          </w:tcPr>
          <w:p w14:paraId="5EC85DD4" w14:textId="77777777" w:rsidR="007D3964" w:rsidRPr="007D3964" w:rsidRDefault="007D3964" w:rsidP="005155FE">
            <w:pPr>
              <w:rPr>
                <w:rFonts w:asciiTheme="majorBidi" w:eastAsia="Google Sans Text" w:hAnsiTheme="majorBidi" w:cstheme="majorBidi"/>
                <w:color w:val="444746"/>
                <w:sz w:val="28"/>
                <w:szCs w:val="28"/>
                <w:vertAlign w:val="superscript"/>
              </w:rPr>
            </w:pPr>
            <w:r w:rsidRPr="007D3964">
              <w:rPr>
                <w:rFonts w:asciiTheme="majorBidi" w:eastAsia="Google Sans Text" w:hAnsiTheme="majorBidi" w:cstheme="majorBidi"/>
                <w:color w:val="444746"/>
                <w:sz w:val="28"/>
                <w:szCs w:val="28"/>
                <w:vertAlign w:val="superscript"/>
              </w:rPr>
              <w:t>MLP + Genetic Algorithm</w:t>
            </w:r>
          </w:p>
        </w:tc>
        <w:tc>
          <w:tcPr>
            <w:tcW w:w="0" w:type="auto"/>
            <w:vAlign w:val="center"/>
            <w:hideMark/>
          </w:tcPr>
          <w:p w14:paraId="47C487C6" w14:textId="77777777" w:rsidR="007D3964" w:rsidRPr="007D3964" w:rsidRDefault="007D3964" w:rsidP="005155FE">
            <w:pPr>
              <w:rPr>
                <w:rFonts w:asciiTheme="majorBidi" w:eastAsia="Google Sans Text" w:hAnsiTheme="majorBidi" w:cstheme="majorBidi"/>
                <w:color w:val="444746"/>
                <w:sz w:val="28"/>
                <w:szCs w:val="28"/>
                <w:vertAlign w:val="superscript"/>
              </w:rPr>
            </w:pPr>
            <w:r w:rsidRPr="007D3964">
              <w:rPr>
                <w:rFonts w:asciiTheme="majorBidi" w:eastAsia="Google Sans Text" w:hAnsiTheme="majorBidi" w:cstheme="majorBidi"/>
                <w:color w:val="444746"/>
                <w:sz w:val="28"/>
                <w:szCs w:val="28"/>
                <w:vertAlign w:val="superscript"/>
              </w:rPr>
              <w:t>Hourly gold futures + FX + Bitcoin + Oil</w:t>
            </w:r>
          </w:p>
        </w:tc>
        <w:tc>
          <w:tcPr>
            <w:tcW w:w="0" w:type="auto"/>
            <w:vAlign w:val="center"/>
            <w:hideMark/>
          </w:tcPr>
          <w:p w14:paraId="59999723" w14:textId="77777777" w:rsidR="007D3964" w:rsidRPr="007D3964" w:rsidRDefault="007D3964" w:rsidP="005155FE">
            <w:pPr>
              <w:rPr>
                <w:rFonts w:asciiTheme="majorBidi" w:eastAsia="Google Sans Text" w:hAnsiTheme="majorBidi" w:cstheme="majorBidi"/>
                <w:color w:val="444746"/>
                <w:sz w:val="28"/>
                <w:szCs w:val="28"/>
                <w:vertAlign w:val="superscript"/>
              </w:rPr>
            </w:pPr>
            <w:r w:rsidRPr="007D3964">
              <w:rPr>
                <w:rFonts w:asciiTheme="majorBidi" w:eastAsia="Google Sans Text" w:hAnsiTheme="majorBidi" w:cstheme="majorBidi"/>
                <w:color w:val="444746"/>
                <w:sz w:val="28"/>
                <w:szCs w:val="28"/>
                <w:vertAlign w:val="superscript"/>
              </w:rPr>
              <w:t>GA-MLP achieved R² ≈ 0.999; high-frequency models capture short-term dynamics well.</w:t>
            </w:r>
          </w:p>
        </w:tc>
      </w:tr>
      <w:tr w:rsidR="007D3964" w:rsidRPr="007D3964" w14:paraId="4847A905" w14:textId="77777777" w:rsidTr="007D3964">
        <w:trPr>
          <w:tblCellSpacing w:w="15" w:type="dxa"/>
          <w:jc w:val="center"/>
        </w:trPr>
        <w:tc>
          <w:tcPr>
            <w:tcW w:w="0" w:type="auto"/>
            <w:vAlign w:val="center"/>
            <w:hideMark/>
          </w:tcPr>
          <w:p w14:paraId="08A4D142" w14:textId="77777777" w:rsidR="007D3964" w:rsidRPr="007D3964" w:rsidRDefault="007D3964" w:rsidP="005155FE">
            <w:pPr>
              <w:rPr>
                <w:rFonts w:asciiTheme="majorBidi" w:eastAsia="Google Sans Text" w:hAnsiTheme="majorBidi" w:cstheme="majorBidi"/>
                <w:color w:val="444746"/>
                <w:sz w:val="28"/>
                <w:szCs w:val="28"/>
                <w:vertAlign w:val="superscript"/>
              </w:rPr>
            </w:pPr>
            <w:r w:rsidRPr="007D3964">
              <w:rPr>
                <w:rFonts w:asciiTheme="majorBidi" w:eastAsia="Google Sans Text" w:hAnsiTheme="majorBidi" w:cstheme="majorBidi"/>
                <w:color w:val="444746"/>
                <w:sz w:val="28"/>
                <w:szCs w:val="28"/>
                <w:vertAlign w:val="superscript"/>
              </w:rPr>
              <w:t xml:space="preserve">Pratama et al., 2025 — </w:t>
            </w:r>
            <w:r w:rsidRPr="007D3964">
              <w:rPr>
                <w:rFonts w:asciiTheme="majorBidi" w:eastAsia="Google Sans Text" w:hAnsiTheme="majorBidi" w:cstheme="majorBidi"/>
                <w:i/>
                <w:iCs/>
                <w:color w:val="444746"/>
                <w:sz w:val="28"/>
                <w:szCs w:val="28"/>
                <w:vertAlign w:val="superscript"/>
              </w:rPr>
              <w:t>Gold Price Forecasting Using SVR and ANN</w:t>
            </w:r>
          </w:p>
        </w:tc>
        <w:tc>
          <w:tcPr>
            <w:tcW w:w="0" w:type="auto"/>
            <w:vAlign w:val="center"/>
            <w:hideMark/>
          </w:tcPr>
          <w:p w14:paraId="35FC98D5" w14:textId="77777777" w:rsidR="007D3964" w:rsidRPr="007D3964" w:rsidRDefault="007D3964" w:rsidP="005155FE">
            <w:pPr>
              <w:rPr>
                <w:rFonts w:asciiTheme="majorBidi" w:eastAsia="Google Sans Text" w:hAnsiTheme="majorBidi" w:cstheme="majorBidi"/>
                <w:color w:val="444746"/>
                <w:sz w:val="28"/>
                <w:szCs w:val="28"/>
                <w:vertAlign w:val="superscript"/>
              </w:rPr>
            </w:pPr>
            <w:r w:rsidRPr="007D3964">
              <w:rPr>
                <w:rFonts w:asciiTheme="majorBidi" w:eastAsia="Google Sans Text" w:hAnsiTheme="majorBidi" w:cstheme="majorBidi"/>
                <w:color w:val="444746"/>
                <w:sz w:val="28"/>
                <w:szCs w:val="28"/>
                <w:vertAlign w:val="superscript"/>
              </w:rPr>
              <w:t>SVR, ANN</w:t>
            </w:r>
          </w:p>
        </w:tc>
        <w:tc>
          <w:tcPr>
            <w:tcW w:w="0" w:type="auto"/>
            <w:vAlign w:val="center"/>
            <w:hideMark/>
          </w:tcPr>
          <w:p w14:paraId="368004A3" w14:textId="77777777" w:rsidR="007D3964" w:rsidRPr="007D3964" w:rsidRDefault="007D3964" w:rsidP="005155FE">
            <w:pPr>
              <w:rPr>
                <w:rFonts w:asciiTheme="majorBidi" w:eastAsia="Google Sans Text" w:hAnsiTheme="majorBidi" w:cstheme="majorBidi"/>
                <w:color w:val="444746"/>
                <w:sz w:val="28"/>
                <w:szCs w:val="28"/>
                <w:vertAlign w:val="superscript"/>
              </w:rPr>
            </w:pPr>
            <w:r w:rsidRPr="007D3964">
              <w:rPr>
                <w:rFonts w:asciiTheme="majorBidi" w:eastAsia="Google Sans Text" w:hAnsiTheme="majorBidi" w:cstheme="majorBidi"/>
                <w:color w:val="444746"/>
                <w:sz w:val="28"/>
                <w:szCs w:val="28"/>
                <w:vertAlign w:val="superscript"/>
              </w:rPr>
              <w:t>Indonesian gold prices (1997–2022)</w:t>
            </w:r>
          </w:p>
        </w:tc>
        <w:tc>
          <w:tcPr>
            <w:tcW w:w="0" w:type="auto"/>
            <w:vAlign w:val="center"/>
            <w:hideMark/>
          </w:tcPr>
          <w:p w14:paraId="683EB236" w14:textId="77777777" w:rsidR="007D3964" w:rsidRPr="007D3964" w:rsidRDefault="007D3964" w:rsidP="005155FE">
            <w:pPr>
              <w:rPr>
                <w:rFonts w:asciiTheme="majorBidi" w:eastAsia="Google Sans Text" w:hAnsiTheme="majorBidi" w:cstheme="majorBidi"/>
                <w:color w:val="444746"/>
                <w:sz w:val="28"/>
                <w:szCs w:val="28"/>
                <w:vertAlign w:val="superscript"/>
              </w:rPr>
            </w:pPr>
            <w:r w:rsidRPr="007D3964">
              <w:rPr>
                <w:rFonts w:asciiTheme="majorBidi" w:eastAsia="Google Sans Text" w:hAnsiTheme="majorBidi" w:cstheme="majorBidi"/>
                <w:color w:val="444746"/>
                <w:sz w:val="28"/>
                <w:szCs w:val="28"/>
                <w:vertAlign w:val="superscript"/>
              </w:rPr>
              <w:t>ANN with Tanh activation achieved lowest RMSE, MAE, and MAPE.</w:t>
            </w:r>
          </w:p>
        </w:tc>
      </w:tr>
    </w:tbl>
    <w:p w14:paraId="10257588" w14:textId="1DFE00D4" w:rsidR="007D3964" w:rsidRDefault="00AC1F73" w:rsidP="00AC1F73">
      <w:pPr>
        <w:jc w:val="center"/>
        <w:rPr>
          <w:rFonts w:ascii="Google Sans" w:eastAsia="Google Sans" w:hAnsi="Google Sans" w:cs="Google Sans"/>
          <w:b/>
          <w:bCs/>
          <w:color w:val="1B1C1D"/>
          <w:sz w:val="36"/>
          <w:szCs w:val="36"/>
          <w:rtl/>
        </w:rPr>
      </w:pPr>
      <w:r w:rsidRPr="007D3964">
        <w:rPr>
          <w:rFonts w:asciiTheme="majorBidi" w:eastAsia="Google Sans Text" w:hAnsiTheme="majorBidi" w:cstheme="majorBidi"/>
          <w:color w:val="444746"/>
          <w:sz w:val="32"/>
          <w:szCs w:val="32"/>
          <w:vertAlign w:val="superscript"/>
        </w:rPr>
        <w:t>Table 3.2.1: Summary of Recent Machine Learning-Based Studies on Gold Price Forecasting</w:t>
      </w:r>
    </w:p>
    <w:p w14:paraId="44354B6F" w14:textId="46354F7F" w:rsidR="002F798A" w:rsidRDefault="002F798A" w:rsidP="00101FA8">
      <w:pPr>
        <w:rPr>
          <w:rFonts w:ascii="Google Sans" w:eastAsia="Google Sans" w:hAnsi="Google Sans" w:cs="Google Sans"/>
          <w:b/>
          <w:bCs/>
          <w:color w:val="1B1C1D"/>
          <w:rtl/>
        </w:rPr>
      </w:pPr>
      <w:r w:rsidRPr="002F798A">
        <w:rPr>
          <w:rFonts w:ascii="Google Sans" w:eastAsia="Google Sans" w:hAnsi="Google Sans" w:cs="Google Sans"/>
          <w:b/>
          <w:bCs/>
          <w:color w:val="1B1C1D"/>
        </w:rPr>
        <w:t xml:space="preserve">3.3 </w:t>
      </w:r>
      <w:r w:rsidR="00101FA8" w:rsidRPr="00101FA8">
        <w:rPr>
          <w:rFonts w:ascii="Google Sans" w:eastAsia="Google Sans" w:hAnsi="Google Sans" w:cs="Google Sans"/>
          <w:b/>
          <w:bCs/>
          <w:color w:val="1B1C1D"/>
        </w:rPr>
        <w:t>Deep Learning Models for Gold Price Forecasting</w:t>
      </w:r>
    </w:p>
    <w:p w14:paraId="5D5C972B" w14:textId="2D49D18F" w:rsidR="00101FA8" w:rsidRPr="00101FA8" w:rsidRDefault="002F798A" w:rsidP="00101FA8">
      <w:pPr>
        <w:rPr>
          <w:rFonts w:asciiTheme="majorBidi" w:eastAsia="Google Sans Text" w:hAnsiTheme="majorBidi" w:cstheme="majorBidi"/>
          <w:color w:val="444746"/>
          <w:sz w:val="32"/>
          <w:szCs w:val="32"/>
          <w:vertAlign w:val="superscript"/>
        </w:rPr>
      </w:pPr>
      <w:r w:rsidRPr="002F798A">
        <w:rPr>
          <w:rFonts w:ascii="Google Sans" w:eastAsia="Google Sans" w:hAnsi="Google Sans" w:cs="Google Sans"/>
          <w:color w:val="1B1C1D"/>
        </w:rPr>
        <w:br/>
      </w:r>
      <w:r w:rsidR="00101FA8" w:rsidRPr="00101FA8">
        <w:rPr>
          <w:rFonts w:asciiTheme="majorBidi" w:eastAsia="Google Sans Text" w:hAnsiTheme="majorBidi" w:cstheme="majorBidi"/>
          <w:color w:val="444746"/>
          <w:sz w:val="32"/>
          <w:szCs w:val="32"/>
          <w:vertAlign w:val="superscript"/>
        </w:rPr>
        <w:t>Deep Learning (DL) models have gained increasing attention in financial forecasting due to their ability to capture complex nonlinear patterns and long-term temporal dependencies. Among DL architectures, Recurrent Neural Networks (RNNs) and their variants have been extensively applied to gold price prediction tasks.</w:t>
      </w:r>
    </w:p>
    <w:p w14:paraId="2064CF0F" w14:textId="76EAEB17" w:rsidR="00101FA8" w:rsidRPr="00101FA8" w:rsidRDefault="00101FA8" w:rsidP="00101FA8">
      <w:pPr>
        <w:rPr>
          <w:rFonts w:asciiTheme="majorBidi" w:eastAsia="Google Sans Text" w:hAnsiTheme="majorBidi" w:cstheme="majorBidi"/>
          <w:color w:val="444746"/>
          <w:sz w:val="32"/>
          <w:szCs w:val="32"/>
          <w:vertAlign w:val="superscript"/>
        </w:rPr>
      </w:pPr>
      <w:r w:rsidRPr="00101FA8">
        <w:rPr>
          <w:rFonts w:asciiTheme="majorBidi" w:eastAsia="Google Sans Text" w:hAnsiTheme="majorBidi" w:cstheme="majorBidi"/>
          <w:color w:val="444746"/>
          <w:sz w:val="32"/>
          <w:szCs w:val="32"/>
          <w:vertAlign w:val="superscript"/>
        </w:rPr>
        <w:t>Long Short-Term Memory (LSTM) networks are particularly well suited for financial time-series forecasting because their gated structure enables them to retain relevant historical information while mitigating the vanishing gradient problem [9]. Numerous studies have demonstrated that LSTM models outperform traditional ML methods in modeling long-term price dynamics and volatile market behavior [22,24].</w:t>
      </w:r>
    </w:p>
    <w:p w14:paraId="1E7209DB" w14:textId="566835F5" w:rsidR="00101FA8" w:rsidRPr="002F798A" w:rsidRDefault="00101FA8" w:rsidP="00101FA8">
      <w:pPr>
        <w:rPr>
          <w:rFonts w:asciiTheme="majorBidi" w:eastAsia="Google Sans Text" w:hAnsiTheme="majorBidi" w:cstheme="majorBidi"/>
          <w:color w:val="444746"/>
          <w:sz w:val="32"/>
          <w:szCs w:val="32"/>
          <w:vertAlign w:val="superscript"/>
        </w:rPr>
      </w:pPr>
      <w:r w:rsidRPr="00101FA8">
        <w:rPr>
          <w:rFonts w:asciiTheme="majorBidi" w:eastAsia="Google Sans Text" w:hAnsiTheme="majorBidi" w:cstheme="majorBidi"/>
          <w:color w:val="444746"/>
          <w:sz w:val="32"/>
          <w:szCs w:val="32"/>
          <w:vertAlign w:val="superscript"/>
        </w:rPr>
        <w:t>Despite their strong predictive capabilities, LSTM models are not without limitations. When applied independently, they may exhibit sensitivity to noise and instability during periods of extreme market volatility. In addition, deep learning models often require careful tuning and sufficient data to generalize effectively. These challenges have motivated recent research efforts toward hybrid forecasting frameworks that combine deep learning models with robust machine learning algorithms to improve stability and predictive performance [8,18].</w:t>
      </w:r>
    </w:p>
    <w:p w14:paraId="1F6EC22E" w14:textId="77777777" w:rsidR="00675038" w:rsidRDefault="00675038" w:rsidP="00675038">
      <w:pPr>
        <w:rPr>
          <w:rFonts w:ascii="Google Sans" w:eastAsia="Google Sans" w:hAnsi="Google Sans" w:cs="Google Sans"/>
          <w:color w:val="1B1C1D"/>
          <w:rtl/>
        </w:rPr>
      </w:pPr>
    </w:p>
    <w:p w14:paraId="0E56A60E" w14:textId="11D33741" w:rsidR="00675038" w:rsidRDefault="00675038" w:rsidP="005155FE">
      <w:pPr>
        <w:rPr>
          <w:rFonts w:asciiTheme="majorBidi" w:eastAsia="Google Sans Text" w:hAnsiTheme="majorBidi" w:cstheme="majorBidi"/>
          <w:color w:val="444746"/>
          <w:sz w:val="32"/>
          <w:szCs w:val="32"/>
          <w:vertAlign w:val="superscript"/>
          <w:rtl/>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611"/>
        <w:gridCol w:w="1168"/>
        <w:gridCol w:w="1780"/>
        <w:gridCol w:w="3791"/>
      </w:tblGrid>
      <w:tr w:rsidR="005155FE" w:rsidRPr="005155FE" w14:paraId="30B12E8B" w14:textId="77777777" w:rsidTr="005155FE">
        <w:trPr>
          <w:tblHeader/>
          <w:tblCellSpacing w:w="15" w:type="dxa"/>
        </w:trPr>
        <w:tc>
          <w:tcPr>
            <w:tcW w:w="0" w:type="auto"/>
            <w:vAlign w:val="center"/>
            <w:hideMark/>
          </w:tcPr>
          <w:p w14:paraId="2409E0BC" w14:textId="77777777" w:rsidR="005155FE" w:rsidRPr="005155FE" w:rsidRDefault="005155FE" w:rsidP="005155FE">
            <w:pPr>
              <w:rPr>
                <w:rFonts w:asciiTheme="majorBidi" w:eastAsia="Google Sans Text" w:hAnsiTheme="majorBidi" w:cstheme="majorBidi"/>
                <w:b/>
                <w:bCs/>
                <w:color w:val="444746"/>
                <w:sz w:val="28"/>
                <w:szCs w:val="28"/>
                <w:vertAlign w:val="superscript"/>
              </w:rPr>
            </w:pPr>
            <w:r w:rsidRPr="005155FE">
              <w:rPr>
                <w:rFonts w:asciiTheme="majorBidi" w:eastAsia="Google Sans Text" w:hAnsiTheme="majorBidi" w:cstheme="majorBidi"/>
                <w:b/>
                <w:bCs/>
                <w:color w:val="444746"/>
                <w:sz w:val="28"/>
                <w:szCs w:val="28"/>
                <w:vertAlign w:val="superscript"/>
              </w:rPr>
              <w:lastRenderedPageBreak/>
              <w:t>Study (Author, Year)</w:t>
            </w:r>
          </w:p>
        </w:tc>
        <w:tc>
          <w:tcPr>
            <w:tcW w:w="0" w:type="auto"/>
            <w:vAlign w:val="center"/>
            <w:hideMark/>
          </w:tcPr>
          <w:p w14:paraId="29FF4731" w14:textId="77777777" w:rsidR="005155FE" w:rsidRPr="005155FE" w:rsidRDefault="005155FE" w:rsidP="005155FE">
            <w:pPr>
              <w:rPr>
                <w:rFonts w:asciiTheme="majorBidi" w:eastAsia="Google Sans Text" w:hAnsiTheme="majorBidi" w:cstheme="majorBidi"/>
                <w:b/>
                <w:bCs/>
                <w:color w:val="444746"/>
                <w:sz w:val="28"/>
                <w:szCs w:val="28"/>
                <w:vertAlign w:val="superscript"/>
              </w:rPr>
            </w:pPr>
            <w:r w:rsidRPr="005155FE">
              <w:rPr>
                <w:rFonts w:asciiTheme="majorBidi" w:eastAsia="Google Sans Text" w:hAnsiTheme="majorBidi" w:cstheme="majorBidi"/>
                <w:b/>
                <w:bCs/>
                <w:color w:val="444746"/>
                <w:sz w:val="28"/>
                <w:szCs w:val="28"/>
                <w:vertAlign w:val="superscript"/>
              </w:rPr>
              <w:t>Model</w:t>
            </w:r>
          </w:p>
        </w:tc>
        <w:tc>
          <w:tcPr>
            <w:tcW w:w="0" w:type="auto"/>
            <w:vAlign w:val="center"/>
            <w:hideMark/>
          </w:tcPr>
          <w:p w14:paraId="415AF3CC" w14:textId="77777777" w:rsidR="005155FE" w:rsidRPr="005155FE" w:rsidRDefault="005155FE" w:rsidP="005155FE">
            <w:pPr>
              <w:rPr>
                <w:rFonts w:asciiTheme="majorBidi" w:eastAsia="Google Sans Text" w:hAnsiTheme="majorBidi" w:cstheme="majorBidi"/>
                <w:b/>
                <w:bCs/>
                <w:color w:val="444746"/>
                <w:sz w:val="28"/>
                <w:szCs w:val="28"/>
                <w:vertAlign w:val="superscript"/>
              </w:rPr>
            </w:pPr>
            <w:r w:rsidRPr="005155FE">
              <w:rPr>
                <w:rFonts w:asciiTheme="majorBidi" w:eastAsia="Google Sans Text" w:hAnsiTheme="majorBidi" w:cstheme="majorBidi"/>
                <w:b/>
                <w:bCs/>
                <w:color w:val="444746"/>
                <w:sz w:val="28"/>
                <w:szCs w:val="28"/>
                <w:vertAlign w:val="superscript"/>
              </w:rPr>
              <w:t>Dataset / Inputs</w:t>
            </w:r>
          </w:p>
        </w:tc>
        <w:tc>
          <w:tcPr>
            <w:tcW w:w="0" w:type="auto"/>
            <w:vAlign w:val="center"/>
            <w:hideMark/>
          </w:tcPr>
          <w:p w14:paraId="5947C082" w14:textId="77777777" w:rsidR="005155FE" w:rsidRPr="005155FE" w:rsidRDefault="005155FE" w:rsidP="005155FE">
            <w:pPr>
              <w:rPr>
                <w:rFonts w:asciiTheme="majorBidi" w:eastAsia="Google Sans Text" w:hAnsiTheme="majorBidi" w:cstheme="majorBidi"/>
                <w:b/>
                <w:bCs/>
                <w:color w:val="444746"/>
                <w:sz w:val="28"/>
                <w:szCs w:val="28"/>
                <w:vertAlign w:val="superscript"/>
              </w:rPr>
            </w:pPr>
            <w:r w:rsidRPr="005155FE">
              <w:rPr>
                <w:rFonts w:asciiTheme="majorBidi" w:eastAsia="Google Sans Text" w:hAnsiTheme="majorBidi" w:cstheme="majorBidi"/>
                <w:b/>
                <w:bCs/>
                <w:color w:val="444746"/>
                <w:sz w:val="28"/>
                <w:szCs w:val="28"/>
                <w:vertAlign w:val="superscript"/>
              </w:rPr>
              <w:t>Key Findings</w:t>
            </w:r>
          </w:p>
        </w:tc>
      </w:tr>
      <w:tr w:rsidR="005155FE" w:rsidRPr="005155FE" w14:paraId="4723CDEF" w14:textId="77777777" w:rsidTr="005155FE">
        <w:trPr>
          <w:tblCellSpacing w:w="15" w:type="dxa"/>
        </w:trPr>
        <w:tc>
          <w:tcPr>
            <w:tcW w:w="0" w:type="auto"/>
            <w:vAlign w:val="center"/>
            <w:hideMark/>
          </w:tcPr>
          <w:p w14:paraId="185352E1" w14:textId="77777777" w:rsidR="005155FE" w:rsidRPr="005155FE" w:rsidRDefault="005155FE" w:rsidP="005155FE">
            <w:pPr>
              <w:rPr>
                <w:rFonts w:asciiTheme="majorBidi" w:eastAsia="Google Sans Text" w:hAnsiTheme="majorBidi" w:cstheme="majorBidi"/>
                <w:color w:val="444746"/>
                <w:sz w:val="28"/>
                <w:szCs w:val="28"/>
                <w:vertAlign w:val="superscript"/>
              </w:rPr>
            </w:pPr>
            <w:r w:rsidRPr="005155FE">
              <w:rPr>
                <w:rFonts w:asciiTheme="majorBidi" w:eastAsia="Google Sans Text" w:hAnsiTheme="majorBidi" w:cstheme="majorBidi"/>
                <w:b/>
                <w:bCs/>
                <w:color w:val="444746"/>
                <w:sz w:val="28"/>
                <w:szCs w:val="28"/>
                <w:vertAlign w:val="superscript"/>
              </w:rPr>
              <w:t>Zhang et al. (2021)</w:t>
            </w:r>
            <w:r w:rsidRPr="005155FE">
              <w:rPr>
                <w:rFonts w:asciiTheme="majorBidi" w:eastAsia="Google Sans Text" w:hAnsiTheme="majorBidi" w:cstheme="majorBidi"/>
                <w:color w:val="444746"/>
                <w:sz w:val="28"/>
                <w:szCs w:val="28"/>
                <w:vertAlign w:val="superscript"/>
              </w:rPr>
              <w:t xml:space="preserve"> — </w:t>
            </w:r>
            <w:r w:rsidRPr="005155FE">
              <w:rPr>
                <w:rFonts w:asciiTheme="majorBidi" w:eastAsia="Google Sans Text" w:hAnsiTheme="majorBidi" w:cstheme="majorBidi"/>
                <w:i/>
                <w:iCs/>
                <w:color w:val="444746"/>
                <w:sz w:val="28"/>
                <w:szCs w:val="28"/>
                <w:vertAlign w:val="superscript"/>
              </w:rPr>
              <w:t>Gold price forecasting using LSTM networks</w:t>
            </w:r>
          </w:p>
        </w:tc>
        <w:tc>
          <w:tcPr>
            <w:tcW w:w="0" w:type="auto"/>
            <w:vAlign w:val="center"/>
            <w:hideMark/>
          </w:tcPr>
          <w:p w14:paraId="4F9F470C" w14:textId="77777777" w:rsidR="005155FE" w:rsidRPr="005155FE" w:rsidRDefault="005155FE" w:rsidP="005155FE">
            <w:pPr>
              <w:rPr>
                <w:rFonts w:asciiTheme="majorBidi" w:eastAsia="Google Sans Text" w:hAnsiTheme="majorBidi" w:cstheme="majorBidi"/>
                <w:color w:val="444746"/>
                <w:sz w:val="28"/>
                <w:szCs w:val="28"/>
                <w:vertAlign w:val="superscript"/>
              </w:rPr>
            </w:pPr>
            <w:r w:rsidRPr="005155FE">
              <w:rPr>
                <w:rFonts w:asciiTheme="majorBidi" w:eastAsia="Google Sans Text" w:hAnsiTheme="majorBidi" w:cstheme="majorBidi"/>
                <w:color w:val="444746"/>
                <w:sz w:val="28"/>
                <w:szCs w:val="28"/>
                <w:vertAlign w:val="superscript"/>
              </w:rPr>
              <w:t>LSTM</w:t>
            </w:r>
          </w:p>
        </w:tc>
        <w:tc>
          <w:tcPr>
            <w:tcW w:w="0" w:type="auto"/>
            <w:vAlign w:val="center"/>
            <w:hideMark/>
          </w:tcPr>
          <w:p w14:paraId="2C7571E0" w14:textId="77777777" w:rsidR="005155FE" w:rsidRPr="005155FE" w:rsidRDefault="005155FE" w:rsidP="005155FE">
            <w:pPr>
              <w:rPr>
                <w:rFonts w:asciiTheme="majorBidi" w:eastAsia="Google Sans Text" w:hAnsiTheme="majorBidi" w:cstheme="majorBidi"/>
                <w:color w:val="444746"/>
                <w:sz w:val="28"/>
                <w:szCs w:val="28"/>
                <w:vertAlign w:val="superscript"/>
              </w:rPr>
            </w:pPr>
            <w:r w:rsidRPr="005155FE">
              <w:rPr>
                <w:rFonts w:asciiTheme="majorBidi" w:eastAsia="Google Sans Text" w:hAnsiTheme="majorBidi" w:cstheme="majorBidi"/>
                <w:color w:val="444746"/>
                <w:sz w:val="28"/>
                <w:szCs w:val="28"/>
                <w:vertAlign w:val="superscript"/>
              </w:rPr>
              <w:t>Daily gold prices + moving averages</w:t>
            </w:r>
          </w:p>
        </w:tc>
        <w:tc>
          <w:tcPr>
            <w:tcW w:w="0" w:type="auto"/>
            <w:vAlign w:val="center"/>
            <w:hideMark/>
          </w:tcPr>
          <w:p w14:paraId="309E6209" w14:textId="77777777" w:rsidR="005155FE" w:rsidRPr="005155FE" w:rsidRDefault="005155FE" w:rsidP="005155FE">
            <w:pPr>
              <w:rPr>
                <w:rFonts w:asciiTheme="majorBidi" w:eastAsia="Google Sans Text" w:hAnsiTheme="majorBidi" w:cstheme="majorBidi"/>
                <w:color w:val="444746"/>
                <w:sz w:val="28"/>
                <w:szCs w:val="28"/>
                <w:vertAlign w:val="superscript"/>
              </w:rPr>
            </w:pPr>
            <w:r w:rsidRPr="005155FE">
              <w:rPr>
                <w:rFonts w:asciiTheme="majorBidi" w:eastAsia="Google Sans Text" w:hAnsiTheme="majorBidi" w:cstheme="majorBidi"/>
                <w:color w:val="444746"/>
                <w:sz w:val="28"/>
                <w:szCs w:val="28"/>
                <w:vertAlign w:val="superscript"/>
              </w:rPr>
              <w:t>LSTM outperformed SVR and RF, showing superior ability to model long-term temporal dependencies.</w:t>
            </w:r>
          </w:p>
        </w:tc>
      </w:tr>
      <w:tr w:rsidR="005155FE" w:rsidRPr="005155FE" w14:paraId="259127C5" w14:textId="77777777" w:rsidTr="005155FE">
        <w:trPr>
          <w:tblCellSpacing w:w="15" w:type="dxa"/>
        </w:trPr>
        <w:tc>
          <w:tcPr>
            <w:tcW w:w="0" w:type="auto"/>
            <w:vAlign w:val="center"/>
            <w:hideMark/>
          </w:tcPr>
          <w:p w14:paraId="43A01B6C" w14:textId="77777777" w:rsidR="005155FE" w:rsidRPr="005155FE" w:rsidRDefault="005155FE" w:rsidP="005155FE">
            <w:pPr>
              <w:rPr>
                <w:rFonts w:asciiTheme="majorBidi" w:eastAsia="Google Sans Text" w:hAnsiTheme="majorBidi" w:cstheme="majorBidi"/>
                <w:color w:val="444746"/>
                <w:sz w:val="28"/>
                <w:szCs w:val="28"/>
                <w:vertAlign w:val="superscript"/>
              </w:rPr>
            </w:pPr>
            <w:r w:rsidRPr="005155FE">
              <w:rPr>
                <w:rFonts w:asciiTheme="majorBidi" w:eastAsia="Google Sans Text" w:hAnsiTheme="majorBidi" w:cstheme="majorBidi"/>
                <w:b/>
                <w:bCs/>
                <w:color w:val="444746"/>
                <w:sz w:val="28"/>
                <w:szCs w:val="28"/>
                <w:vertAlign w:val="superscript"/>
              </w:rPr>
              <w:t>Alam et al. (2022)</w:t>
            </w:r>
            <w:r w:rsidRPr="005155FE">
              <w:rPr>
                <w:rFonts w:asciiTheme="majorBidi" w:eastAsia="Google Sans Text" w:hAnsiTheme="majorBidi" w:cstheme="majorBidi"/>
                <w:color w:val="444746"/>
                <w:sz w:val="28"/>
                <w:szCs w:val="28"/>
                <w:vertAlign w:val="superscript"/>
              </w:rPr>
              <w:t xml:space="preserve"> — </w:t>
            </w:r>
            <w:r w:rsidRPr="005155FE">
              <w:rPr>
                <w:rFonts w:asciiTheme="majorBidi" w:eastAsia="Google Sans Text" w:hAnsiTheme="majorBidi" w:cstheme="majorBidi"/>
                <w:i/>
                <w:iCs/>
                <w:color w:val="444746"/>
                <w:sz w:val="28"/>
                <w:szCs w:val="28"/>
                <w:vertAlign w:val="superscript"/>
              </w:rPr>
              <w:t>LSTM-based prediction of precious metal prices</w:t>
            </w:r>
          </w:p>
        </w:tc>
        <w:tc>
          <w:tcPr>
            <w:tcW w:w="0" w:type="auto"/>
            <w:vAlign w:val="center"/>
            <w:hideMark/>
          </w:tcPr>
          <w:p w14:paraId="7048D0A7" w14:textId="77777777" w:rsidR="005155FE" w:rsidRPr="005155FE" w:rsidRDefault="005155FE" w:rsidP="005155FE">
            <w:pPr>
              <w:rPr>
                <w:rFonts w:asciiTheme="majorBidi" w:eastAsia="Google Sans Text" w:hAnsiTheme="majorBidi" w:cstheme="majorBidi"/>
                <w:color w:val="444746"/>
                <w:sz w:val="28"/>
                <w:szCs w:val="28"/>
                <w:vertAlign w:val="superscript"/>
              </w:rPr>
            </w:pPr>
            <w:r w:rsidRPr="005155FE">
              <w:rPr>
                <w:rFonts w:asciiTheme="majorBidi" w:eastAsia="Google Sans Text" w:hAnsiTheme="majorBidi" w:cstheme="majorBidi"/>
                <w:color w:val="444746"/>
                <w:sz w:val="28"/>
                <w:szCs w:val="28"/>
                <w:vertAlign w:val="superscript"/>
              </w:rPr>
              <w:t>LSTM</w:t>
            </w:r>
          </w:p>
        </w:tc>
        <w:tc>
          <w:tcPr>
            <w:tcW w:w="0" w:type="auto"/>
            <w:vAlign w:val="center"/>
            <w:hideMark/>
          </w:tcPr>
          <w:p w14:paraId="34798F61" w14:textId="77777777" w:rsidR="005155FE" w:rsidRPr="005155FE" w:rsidRDefault="005155FE" w:rsidP="005155FE">
            <w:pPr>
              <w:rPr>
                <w:rFonts w:asciiTheme="majorBidi" w:eastAsia="Google Sans Text" w:hAnsiTheme="majorBidi" w:cstheme="majorBidi"/>
                <w:color w:val="444746"/>
                <w:sz w:val="28"/>
                <w:szCs w:val="28"/>
                <w:vertAlign w:val="superscript"/>
              </w:rPr>
            </w:pPr>
            <w:r w:rsidRPr="005155FE">
              <w:rPr>
                <w:rFonts w:asciiTheme="majorBidi" w:eastAsia="Google Sans Text" w:hAnsiTheme="majorBidi" w:cstheme="majorBidi"/>
                <w:color w:val="444746"/>
                <w:sz w:val="28"/>
                <w:szCs w:val="28"/>
                <w:vertAlign w:val="superscript"/>
              </w:rPr>
              <w:t>Gold, silver, FX rates, crude oil</w:t>
            </w:r>
          </w:p>
        </w:tc>
        <w:tc>
          <w:tcPr>
            <w:tcW w:w="0" w:type="auto"/>
            <w:vAlign w:val="center"/>
            <w:hideMark/>
          </w:tcPr>
          <w:p w14:paraId="367E47B1" w14:textId="77777777" w:rsidR="005155FE" w:rsidRPr="005155FE" w:rsidRDefault="005155FE" w:rsidP="005155FE">
            <w:pPr>
              <w:rPr>
                <w:rFonts w:asciiTheme="majorBidi" w:eastAsia="Google Sans Text" w:hAnsiTheme="majorBidi" w:cstheme="majorBidi"/>
                <w:color w:val="444746"/>
                <w:sz w:val="28"/>
                <w:szCs w:val="28"/>
                <w:vertAlign w:val="superscript"/>
              </w:rPr>
            </w:pPr>
            <w:r w:rsidRPr="005155FE">
              <w:rPr>
                <w:rFonts w:asciiTheme="majorBidi" w:eastAsia="Google Sans Text" w:hAnsiTheme="majorBidi" w:cstheme="majorBidi"/>
                <w:color w:val="444746"/>
                <w:sz w:val="28"/>
                <w:szCs w:val="28"/>
                <w:vertAlign w:val="superscript"/>
              </w:rPr>
              <w:t>LSTM delivered lowest RMSE among tested models and captured cross-market interactions effectively.</w:t>
            </w:r>
          </w:p>
        </w:tc>
      </w:tr>
      <w:tr w:rsidR="005155FE" w:rsidRPr="005155FE" w14:paraId="7CEDA98B" w14:textId="77777777" w:rsidTr="005155FE">
        <w:trPr>
          <w:tblCellSpacing w:w="15" w:type="dxa"/>
        </w:trPr>
        <w:tc>
          <w:tcPr>
            <w:tcW w:w="0" w:type="auto"/>
            <w:vAlign w:val="center"/>
            <w:hideMark/>
          </w:tcPr>
          <w:p w14:paraId="4CAF7B92" w14:textId="77777777" w:rsidR="005155FE" w:rsidRPr="005155FE" w:rsidRDefault="005155FE" w:rsidP="005155FE">
            <w:pPr>
              <w:rPr>
                <w:rFonts w:asciiTheme="majorBidi" w:eastAsia="Google Sans Text" w:hAnsiTheme="majorBidi" w:cstheme="majorBidi"/>
                <w:color w:val="444746"/>
                <w:sz w:val="28"/>
                <w:szCs w:val="28"/>
                <w:vertAlign w:val="superscript"/>
              </w:rPr>
            </w:pPr>
            <w:r w:rsidRPr="005155FE">
              <w:rPr>
                <w:rFonts w:asciiTheme="majorBidi" w:eastAsia="Google Sans Text" w:hAnsiTheme="majorBidi" w:cstheme="majorBidi"/>
                <w:b/>
                <w:bCs/>
                <w:color w:val="444746"/>
                <w:sz w:val="28"/>
                <w:szCs w:val="28"/>
                <w:vertAlign w:val="superscript"/>
              </w:rPr>
              <w:t>Gao &amp; Wang (2023)</w:t>
            </w:r>
            <w:r w:rsidRPr="005155FE">
              <w:rPr>
                <w:rFonts w:asciiTheme="majorBidi" w:eastAsia="Google Sans Text" w:hAnsiTheme="majorBidi" w:cstheme="majorBidi"/>
                <w:color w:val="444746"/>
                <w:sz w:val="28"/>
                <w:szCs w:val="28"/>
                <w:vertAlign w:val="superscript"/>
              </w:rPr>
              <w:t xml:space="preserve"> — </w:t>
            </w:r>
            <w:r w:rsidRPr="005155FE">
              <w:rPr>
                <w:rFonts w:asciiTheme="majorBidi" w:eastAsia="Google Sans Text" w:hAnsiTheme="majorBidi" w:cstheme="majorBidi"/>
                <w:i/>
                <w:iCs/>
                <w:color w:val="444746"/>
                <w:sz w:val="28"/>
                <w:szCs w:val="28"/>
                <w:vertAlign w:val="superscript"/>
              </w:rPr>
              <w:t>Enhanced LSTM for gold futures prediction</w:t>
            </w:r>
          </w:p>
        </w:tc>
        <w:tc>
          <w:tcPr>
            <w:tcW w:w="0" w:type="auto"/>
            <w:vAlign w:val="center"/>
            <w:hideMark/>
          </w:tcPr>
          <w:p w14:paraId="03246310" w14:textId="77777777" w:rsidR="005155FE" w:rsidRPr="005155FE" w:rsidRDefault="005155FE" w:rsidP="005155FE">
            <w:pPr>
              <w:rPr>
                <w:rFonts w:asciiTheme="majorBidi" w:eastAsia="Google Sans Text" w:hAnsiTheme="majorBidi" w:cstheme="majorBidi"/>
                <w:color w:val="444746"/>
                <w:sz w:val="28"/>
                <w:szCs w:val="28"/>
                <w:vertAlign w:val="superscript"/>
              </w:rPr>
            </w:pPr>
            <w:r w:rsidRPr="005155FE">
              <w:rPr>
                <w:rFonts w:asciiTheme="majorBidi" w:eastAsia="Google Sans Text" w:hAnsiTheme="majorBidi" w:cstheme="majorBidi"/>
                <w:color w:val="444746"/>
                <w:sz w:val="28"/>
                <w:szCs w:val="28"/>
                <w:vertAlign w:val="superscript"/>
              </w:rPr>
              <w:t>LSTM (Optimized)</w:t>
            </w:r>
          </w:p>
        </w:tc>
        <w:tc>
          <w:tcPr>
            <w:tcW w:w="0" w:type="auto"/>
            <w:vAlign w:val="center"/>
            <w:hideMark/>
          </w:tcPr>
          <w:p w14:paraId="25F91A2E" w14:textId="77777777" w:rsidR="005155FE" w:rsidRPr="005155FE" w:rsidRDefault="005155FE" w:rsidP="005155FE">
            <w:pPr>
              <w:rPr>
                <w:rFonts w:asciiTheme="majorBidi" w:eastAsia="Google Sans Text" w:hAnsiTheme="majorBidi" w:cstheme="majorBidi"/>
                <w:color w:val="444746"/>
                <w:sz w:val="28"/>
                <w:szCs w:val="28"/>
                <w:vertAlign w:val="superscript"/>
              </w:rPr>
            </w:pPr>
            <w:r w:rsidRPr="005155FE">
              <w:rPr>
                <w:rFonts w:asciiTheme="majorBidi" w:eastAsia="Google Sans Text" w:hAnsiTheme="majorBidi" w:cstheme="majorBidi"/>
                <w:color w:val="444746"/>
                <w:sz w:val="28"/>
                <w:szCs w:val="28"/>
                <w:vertAlign w:val="superscript"/>
              </w:rPr>
              <w:t>Gold futures (COMEX) + macro indicators</w:t>
            </w:r>
          </w:p>
        </w:tc>
        <w:tc>
          <w:tcPr>
            <w:tcW w:w="0" w:type="auto"/>
            <w:vAlign w:val="center"/>
            <w:hideMark/>
          </w:tcPr>
          <w:p w14:paraId="606E277C" w14:textId="77777777" w:rsidR="005155FE" w:rsidRPr="005155FE" w:rsidRDefault="005155FE" w:rsidP="005155FE">
            <w:pPr>
              <w:rPr>
                <w:rFonts w:asciiTheme="majorBidi" w:eastAsia="Google Sans Text" w:hAnsiTheme="majorBidi" w:cstheme="majorBidi"/>
                <w:color w:val="444746"/>
                <w:sz w:val="28"/>
                <w:szCs w:val="28"/>
                <w:vertAlign w:val="superscript"/>
              </w:rPr>
            </w:pPr>
            <w:r w:rsidRPr="005155FE">
              <w:rPr>
                <w:rFonts w:asciiTheme="majorBidi" w:eastAsia="Google Sans Text" w:hAnsiTheme="majorBidi" w:cstheme="majorBidi"/>
                <w:color w:val="444746"/>
                <w:sz w:val="28"/>
                <w:szCs w:val="28"/>
                <w:vertAlign w:val="superscript"/>
              </w:rPr>
              <w:t>Optimization of LSTM hyperparameters significantly improved accuracy in volatile markets.</w:t>
            </w:r>
          </w:p>
        </w:tc>
      </w:tr>
    </w:tbl>
    <w:p w14:paraId="48704195" w14:textId="3F12B607" w:rsidR="004C4CBA" w:rsidRPr="00E63A27" w:rsidRDefault="00E63A27" w:rsidP="00E63A27">
      <w:pPr>
        <w:jc w:val="center"/>
        <w:rPr>
          <w:rFonts w:asciiTheme="majorBidi" w:eastAsia="Google Sans Text" w:hAnsiTheme="majorBidi" w:cstheme="majorBidi"/>
          <w:color w:val="444746"/>
          <w:sz w:val="32"/>
          <w:szCs w:val="32"/>
          <w:vertAlign w:val="superscript"/>
          <w:rtl/>
        </w:rPr>
      </w:pPr>
      <w:r w:rsidRPr="00E63A27">
        <w:rPr>
          <w:rFonts w:asciiTheme="majorBidi" w:eastAsia="Google Sans Text" w:hAnsiTheme="majorBidi" w:cstheme="majorBidi"/>
          <w:color w:val="444746"/>
          <w:sz w:val="32"/>
          <w:szCs w:val="32"/>
          <w:vertAlign w:val="superscript"/>
        </w:rPr>
        <w:t>Table 3.3.1 presents selected LSTM-based studies relevant to long-term gold price forecasting.</w:t>
      </w:r>
    </w:p>
    <w:p w14:paraId="70512C0C" w14:textId="77777777" w:rsidR="004C4CBA" w:rsidRDefault="004C4CBA" w:rsidP="004C4CBA">
      <w:pPr>
        <w:rPr>
          <w:rFonts w:ascii="Google Sans" w:eastAsia="Google Sans" w:hAnsi="Google Sans" w:cs="Google Sans"/>
          <w:b/>
          <w:bCs/>
          <w:color w:val="1B1C1D"/>
          <w:rtl/>
        </w:rPr>
      </w:pPr>
      <w:r w:rsidRPr="004C4CBA">
        <w:rPr>
          <w:rFonts w:ascii="Google Sans" w:eastAsia="Google Sans" w:hAnsi="Google Sans" w:cs="Google Sans"/>
          <w:b/>
          <w:bCs/>
          <w:color w:val="1B1C1D"/>
        </w:rPr>
        <w:t>3.4 Research Gap</w:t>
      </w:r>
    </w:p>
    <w:p w14:paraId="48853804" w14:textId="77777777" w:rsidR="00E95F24" w:rsidRPr="00E95F24" w:rsidRDefault="004C4CBA" w:rsidP="00E95F24">
      <w:pPr>
        <w:rPr>
          <w:rFonts w:asciiTheme="majorBidi" w:eastAsia="Google Sans Text" w:hAnsiTheme="majorBidi" w:cstheme="majorBidi"/>
          <w:color w:val="444746"/>
          <w:sz w:val="32"/>
          <w:szCs w:val="32"/>
          <w:vertAlign w:val="superscript"/>
        </w:rPr>
      </w:pPr>
      <w:r w:rsidRPr="004C4CBA">
        <w:rPr>
          <w:rFonts w:asciiTheme="majorBidi" w:eastAsia="Google Sans Text" w:hAnsiTheme="majorBidi" w:cstheme="majorBidi"/>
          <w:color w:val="444746"/>
          <w:sz w:val="32"/>
          <w:szCs w:val="32"/>
          <w:vertAlign w:val="superscript"/>
        </w:rPr>
        <w:br/>
      </w:r>
      <w:r w:rsidR="00E95F24" w:rsidRPr="00E95F24">
        <w:rPr>
          <w:rFonts w:asciiTheme="majorBidi" w:eastAsia="Google Sans Text" w:hAnsiTheme="majorBidi" w:cstheme="majorBidi"/>
          <w:color w:val="444746"/>
          <w:sz w:val="32"/>
          <w:szCs w:val="32"/>
          <w:vertAlign w:val="superscript"/>
        </w:rPr>
        <w:t>Although existing studies demonstrate the effectiveness of traditional machine learning models such as Random Forest and XGBoost, as well as deep learning models such as LSTM, these approaches are often applied independently. As a result, many models focus either on nonlinear feature interactions or on temporal sequence learning, without fully exploiting the complementary strengths of both paradigms.</w:t>
      </w:r>
    </w:p>
    <w:p w14:paraId="39C2BAA9" w14:textId="77777777" w:rsidR="00E95F24" w:rsidRPr="00E95F24" w:rsidRDefault="00E95F24" w:rsidP="00E95F24">
      <w:pPr>
        <w:rPr>
          <w:rFonts w:asciiTheme="majorBidi" w:eastAsia="Google Sans Text" w:hAnsiTheme="majorBidi" w:cstheme="majorBidi"/>
          <w:color w:val="444746"/>
          <w:sz w:val="32"/>
          <w:szCs w:val="32"/>
          <w:vertAlign w:val="superscript"/>
        </w:rPr>
      </w:pPr>
    </w:p>
    <w:p w14:paraId="02C1B60A" w14:textId="7F8F8FE1" w:rsidR="00E95F24" w:rsidRPr="00E95F24" w:rsidRDefault="00E95F24" w:rsidP="00E95F24">
      <w:pPr>
        <w:rPr>
          <w:rFonts w:asciiTheme="majorBidi" w:eastAsia="Google Sans Text" w:hAnsiTheme="majorBidi" w:cstheme="majorBidi"/>
          <w:color w:val="444746"/>
          <w:sz w:val="32"/>
          <w:szCs w:val="32"/>
          <w:vertAlign w:val="superscript"/>
        </w:rPr>
      </w:pPr>
      <w:r w:rsidRPr="00E95F24">
        <w:rPr>
          <w:rFonts w:asciiTheme="majorBidi" w:eastAsia="Google Sans Text" w:hAnsiTheme="majorBidi" w:cstheme="majorBidi"/>
          <w:color w:val="444746"/>
          <w:sz w:val="32"/>
          <w:szCs w:val="32"/>
          <w:vertAlign w:val="superscript"/>
        </w:rPr>
        <w:t>Several studies have explored ensemble and hybrid techniques; however, a clear and systematic integration of XGBoost for structured feature modeling with LSTM for residual-based temporal learning remains limited in the context of gold price forecasting. In particular, there is a lack of studies that explicitly investigate residual-based hybridization as a means of improving forecasting robustness under volatile market conditions.</w:t>
      </w:r>
    </w:p>
    <w:p w14:paraId="59FB2F5A" w14:textId="32EA8D18" w:rsidR="00270C91" w:rsidRDefault="00E95F24" w:rsidP="00AC1F73">
      <w:pPr>
        <w:rPr>
          <w:rFonts w:asciiTheme="majorBidi" w:eastAsia="Google Sans Text" w:hAnsiTheme="majorBidi" w:cstheme="majorBidi"/>
          <w:color w:val="444746"/>
          <w:sz w:val="32"/>
          <w:szCs w:val="32"/>
          <w:vertAlign w:val="superscript"/>
          <w:rtl/>
        </w:rPr>
      </w:pPr>
      <w:r w:rsidRPr="00E95F24">
        <w:rPr>
          <w:rFonts w:asciiTheme="majorBidi" w:eastAsia="Google Sans Text" w:hAnsiTheme="majorBidi" w:cstheme="majorBidi"/>
          <w:color w:val="444746"/>
          <w:sz w:val="32"/>
          <w:szCs w:val="32"/>
          <w:vertAlign w:val="superscript"/>
        </w:rPr>
        <w:t>This research addresses this gap by proposing a residual-based hybrid forecasting framework that integrates XGBoost and LSTM within a unified pipeline. By combining nonlinear feature learning with temporal dependency modeling, the proposed approach aims to enhance prediction accuracy while maintaining model stability and practical applicability.</w:t>
      </w:r>
    </w:p>
    <w:p w14:paraId="25CDDD8C" w14:textId="5587214A" w:rsidR="007847CA" w:rsidRPr="007847CA" w:rsidRDefault="00270C91" w:rsidP="007847CA">
      <w:pPr>
        <w:jc w:val="center"/>
        <w:rPr>
          <w:rFonts w:asciiTheme="majorBidi" w:eastAsia="Google Sans" w:hAnsiTheme="majorBidi" w:cstheme="majorBidi"/>
          <w:b/>
          <w:bCs/>
          <w:color w:val="1B1C1D"/>
          <w:sz w:val="36"/>
          <w:szCs w:val="36"/>
        </w:rPr>
      </w:pPr>
      <w:r w:rsidRPr="007847CA">
        <w:rPr>
          <w:rFonts w:asciiTheme="majorBidi" w:eastAsia="Google Sans" w:hAnsiTheme="majorBidi" w:cstheme="majorBidi"/>
          <w:bCs/>
          <w:color w:val="1B1C1D"/>
          <w:sz w:val="36"/>
          <w:szCs w:val="36"/>
        </w:rPr>
        <w:t>Chapter 4</w:t>
      </w:r>
      <w:r w:rsidR="007847CA" w:rsidRPr="007847CA">
        <w:rPr>
          <w:rFonts w:asciiTheme="majorBidi" w:eastAsia="Google Sans" w:hAnsiTheme="majorBidi" w:cstheme="majorBidi"/>
          <w:bCs/>
          <w:color w:val="1B1C1D"/>
          <w:sz w:val="36"/>
          <w:szCs w:val="36"/>
        </w:rPr>
        <w:t>: Methodology</w:t>
      </w:r>
    </w:p>
    <w:p w14:paraId="7CC36325" w14:textId="77777777" w:rsidR="00270C91" w:rsidRDefault="00270C91" w:rsidP="004C4CBA">
      <w:pPr>
        <w:rPr>
          <w:rFonts w:asciiTheme="majorBidi" w:eastAsia="Google Sans Text" w:hAnsiTheme="majorBidi" w:cstheme="majorBidi"/>
          <w:color w:val="444746"/>
          <w:sz w:val="32"/>
          <w:szCs w:val="32"/>
          <w:vertAlign w:val="superscript"/>
        </w:rPr>
      </w:pPr>
    </w:p>
    <w:p w14:paraId="461A6DA2" w14:textId="00E7C016" w:rsidR="00270C91" w:rsidRDefault="00454125" w:rsidP="004C4CBA">
      <w:pPr>
        <w:rPr>
          <w:rFonts w:asciiTheme="majorBidi" w:eastAsia="Google Sans Text" w:hAnsiTheme="majorBidi" w:cstheme="majorBidi"/>
          <w:color w:val="444746"/>
          <w:sz w:val="32"/>
          <w:szCs w:val="32"/>
          <w:vertAlign w:val="superscript"/>
          <w:rtl/>
        </w:rPr>
      </w:pPr>
      <w:r w:rsidRPr="00454125">
        <w:rPr>
          <w:rFonts w:asciiTheme="majorBidi" w:eastAsia="Google Sans Text" w:hAnsiTheme="majorBidi" w:cstheme="majorBidi"/>
          <w:color w:val="444746"/>
          <w:sz w:val="32"/>
          <w:szCs w:val="32"/>
          <w:vertAlign w:val="superscript"/>
        </w:rPr>
        <w:t>This chapter presents the methodological framework developed to construct and evaluate the proposed hybrid model for gold price forecasting. It describes the data sources, preprocessing steps, feature construction process, and the design of the hybrid forecasting architecture. The chapter also explains the experimental workflow used to train, test, and evaluate the model’s predictive performance using standard regression metrics.</w:t>
      </w:r>
    </w:p>
    <w:p w14:paraId="3E79FF83" w14:textId="77777777" w:rsidR="00203199" w:rsidRDefault="00203199" w:rsidP="004C4CBA">
      <w:pPr>
        <w:rPr>
          <w:rFonts w:asciiTheme="majorBidi" w:eastAsia="Google Sans Text" w:hAnsiTheme="majorBidi" w:cstheme="majorBidi"/>
          <w:color w:val="444746"/>
          <w:sz w:val="32"/>
          <w:szCs w:val="32"/>
          <w:vertAlign w:val="superscript"/>
          <w:rtl/>
        </w:rPr>
      </w:pPr>
    </w:p>
    <w:p w14:paraId="25B4509B" w14:textId="77777777" w:rsidR="00203199" w:rsidRPr="004C4CBA" w:rsidRDefault="00203199" w:rsidP="004C4CBA">
      <w:pPr>
        <w:rPr>
          <w:rFonts w:asciiTheme="majorBidi" w:eastAsia="Google Sans Text" w:hAnsiTheme="majorBidi" w:cstheme="majorBidi"/>
          <w:color w:val="444746"/>
          <w:sz w:val="32"/>
          <w:szCs w:val="32"/>
          <w:vertAlign w:val="superscript"/>
        </w:rPr>
      </w:pPr>
    </w:p>
    <w:p w14:paraId="1F1A9600" w14:textId="77777777" w:rsidR="00270C91" w:rsidRDefault="00270C91" w:rsidP="00270C91">
      <w:pPr>
        <w:rPr>
          <w:rFonts w:ascii="Google Sans" w:eastAsia="Google Sans" w:hAnsi="Google Sans" w:cs="Google Sans"/>
          <w:b/>
          <w:bCs/>
          <w:color w:val="1B1C1D"/>
        </w:rPr>
      </w:pPr>
      <w:r w:rsidRPr="00270C91">
        <w:rPr>
          <w:rFonts w:ascii="Google Sans" w:eastAsia="Google Sans" w:hAnsi="Google Sans" w:cs="Google Sans"/>
          <w:b/>
          <w:bCs/>
          <w:color w:val="1B1C1D"/>
        </w:rPr>
        <w:lastRenderedPageBreak/>
        <w:t>4.1 Research Framework</w:t>
      </w:r>
    </w:p>
    <w:p w14:paraId="7B74FB7A" w14:textId="1184FFBC" w:rsidR="00454125" w:rsidRPr="00454125" w:rsidRDefault="00270C91" w:rsidP="00203199">
      <w:pPr>
        <w:rPr>
          <w:rFonts w:asciiTheme="majorBidi" w:eastAsia="Google Sans Text" w:hAnsiTheme="majorBidi" w:cstheme="majorBidi"/>
          <w:color w:val="444746"/>
          <w:sz w:val="32"/>
          <w:szCs w:val="32"/>
          <w:vertAlign w:val="superscript"/>
        </w:rPr>
      </w:pPr>
      <w:r w:rsidRPr="00270C91">
        <w:rPr>
          <w:rFonts w:ascii="Google Sans" w:eastAsia="Google Sans" w:hAnsi="Google Sans" w:cs="Google Sans"/>
          <w:color w:val="1B1C1D"/>
        </w:rPr>
        <w:br/>
      </w:r>
      <w:r w:rsidR="00454125" w:rsidRPr="00454125">
        <w:rPr>
          <w:rFonts w:asciiTheme="majorBidi" w:eastAsia="Google Sans Text" w:hAnsiTheme="majorBidi" w:cstheme="majorBidi"/>
          <w:color w:val="444746"/>
          <w:sz w:val="32"/>
          <w:szCs w:val="32"/>
          <w:vertAlign w:val="superscript"/>
        </w:rPr>
        <w:t>The proposed research framework integrates multiple analytical components into a unified hybrid architecture designed to improve the accuracy and robustness of gold price forecasting. The framework consists of three main modules: data preprocessing and feature construction, deep learning–based temporal modeling, and machine learning–based nonlinear regression.</w:t>
      </w:r>
    </w:p>
    <w:p w14:paraId="473A36EC" w14:textId="40A5C7B0" w:rsidR="007A4536" w:rsidRPr="00AC1F73" w:rsidRDefault="00454125" w:rsidP="00AC1F73">
      <w:pPr>
        <w:rPr>
          <w:rFonts w:asciiTheme="majorBidi" w:eastAsia="Google Sans Text" w:hAnsiTheme="majorBidi" w:cstheme="majorBidi"/>
          <w:color w:val="444746"/>
          <w:sz w:val="32"/>
          <w:szCs w:val="32"/>
          <w:vertAlign w:val="superscript"/>
          <w:rtl/>
        </w:rPr>
      </w:pPr>
      <w:r w:rsidRPr="00454125">
        <w:rPr>
          <w:rFonts w:asciiTheme="majorBidi" w:eastAsia="Google Sans Text" w:hAnsiTheme="majorBidi" w:cstheme="majorBidi"/>
          <w:color w:val="444746"/>
          <w:sz w:val="32"/>
          <w:szCs w:val="32"/>
          <w:vertAlign w:val="superscript"/>
        </w:rPr>
        <w:t>Historical gold price data and selected macro-financial indicators are first transformed into supervised learning inputs. The Long Short-Term Memory (LSTM) network is then applied to capture long-term temporal dependencies within the gold price series. In parallel, the XGBoost model is trained on engineered features to model nonlinear relationships among structured inputs. Finally, the outputs of both models are combined using a residual-based hybrid strategy to produce the final forecast. Figure 4.1 illustrates the overall structure and information flow of the proposed framework [4,8].</w:t>
      </w:r>
    </w:p>
    <w:p w14:paraId="57545831" w14:textId="77777777" w:rsidR="007A4536" w:rsidRDefault="007A4536" w:rsidP="0054372B">
      <w:pPr>
        <w:jc w:val="center"/>
        <w:rPr>
          <w:rFonts w:ascii="Google Sans" w:eastAsia="Google Sans" w:hAnsi="Google Sans" w:cs="Google Sans"/>
          <w:color w:val="1B1C1D"/>
          <w:rtl/>
        </w:rPr>
      </w:pPr>
    </w:p>
    <w:p w14:paraId="378C6497" w14:textId="1F59E935" w:rsidR="00BC64D2" w:rsidRDefault="00BC64D2" w:rsidP="0054372B">
      <w:pPr>
        <w:jc w:val="center"/>
        <w:rPr>
          <w:rFonts w:ascii="Google Sans" w:eastAsia="Google Sans" w:hAnsi="Google Sans" w:cs="Google Sans"/>
          <w:color w:val="1B1C1D"/>
          <w:rtl/>
        </w:rPr>
      </w:pPr>
      <w:r>
        <w:rPr>
          <w:noProof/>
        </w:rPr>
        <w:drawing>
          <wp:inline distT="0" distB="0" distL="0" distR="0" wp14:anchorId="65FD209D" wp14:editId="1688E14C">
            <wp:extent cx="3673503" cy="1736279"/>
            <wp:effectExtent l="0" t="0" r="3175" b="0"/>
            <wp:docPr id="587644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764425" name=""/>
                    <pic:cNvPicPr/>
                  </pic:nvPicPr>
                  <pic:blipFill>
                    <a:blip r:embed="rId9"/>
                    <a:stretch>
                      <a:fillRect/>
                    </a:stretch>
                  </pic:blipFill>
                  <pic:spPr>
                    <a:xfrm>
                      <a:off x="0" y="0"/>
                      <a:ext cx="3693063" cy="1745524"/>
                    </a:xfrm>
                    <a:prstGeom prst="rect">
                      <a:avLst/>
                    </a:prstGeom>
                  </pic:spPr>
                </pic:pic>
              </a:graphicData>
            </a:graphic>
          </wp:inline>
        </w:drawing>
      </w:r>
    </w:p>
    <w:p w14:paraId="35883CBE" w14:textId="1B3EB3C7" w:rsidR="0063039B" w:rsidRPr="00B973B6" w:rsidRDefault="0054372B" w:rsidP="00B973B6">
      <w:pPr>
        <w:pBdr>
          <w:top w:val="nil"/>
          <w:left w:val="nil"/>
          <w:bottom w:val="nil"/>
          <w:right w:val="nil"/>
          <w:between w:val="nil"/>
        </w:pBdr>
        <w:spacing w:after="240" w:line="275" w:lineRule="auto"/>
        <w:jc w:val="center"/>
        <w:rPr>
          <w:rFonts w:asciiTheme="majorBidi" w:eastAsia="Google Sans Text" w:hAnsiTheme="majorBidi" w:cstheme="majorBidi"/>
          <w:color w:val="444746"/>
          <w:sz w:val="24"/>
          <w:szCs w:val="24"/>
          <w:vertAlign w:val="superscript"/>
        </w:rPr>
      </w:pPr>
      <w:r w:rsidRPr="0054372B">
        <w:rPr>
          <w:rFonts w:asciiTheme="majorBidi" w:eastAsia="Google Sans Text" w:hAnsiTheme="majorBidi" w:cstheme="majorBidi"/>
          <w:color w:val="444746"/>
          <w:sz w:val="24"/>
          <w:szCs w:val="24"/>
          <w:vertAlign w:val="superscript"/>
        </w:rPr>
        <w:t>Figure 4.1: A simplified framework showing the sequential flow from data preprocessing to hybrid model development.</w:t>
      </w:r>
    </w:p>
    <w:p w14:paraId="49DBB5AA" w14:textId="77777777" w:rsidR="0063039B" w:rsidRDefault="0063039B" w:rsidP="0063039B">
      <w:pPr>
        <w:rPr>
          <w:rFonts w:ascii="Google Sans" w:eastAsia="Google Sans" w:hAnsi="Google Sans" w:cs="Google Sans"/>
          <w:b/>
          <w:bCs/>
          <w:color w:val="1B1C1D"/>
        </w:rPr>
      </w:pPr>
      <w:r w:rsidRPr="0063039B">
        <w:rPr>
          <w:rFonts w:ascii="Google Sans" w:eastAsia="Google Sans" w:hAnsi="Google Sans" w:cs="Google Sans"/>
          <w:b/>
          <w:bCs/>
          <w:color w:val="1B1C1D"/>
        </w:rPr>
        <w:t>4.2 Data Description</w:t>
      </w:r>
    </w:p>
    <w:p w14:paraId="757DC77B" w14:textId="36539654" w:rsidR="00454125" w:rsidRPr="00454125" w:rsidRDefault="0063039B" w:rsidP="00203199">
      <w:pPr>
        <w:rPr>
          <w:rFonts w:asciiTheme="majorBidi" w:eastAsia="Google Sans Text" w:hAnsiTheme="majorBidi" w:cstheme="majorBidi"/>
          <w:color w:val="444746"/>
          <w:sz w:val="32"/>
          <w:szCs w:val="32"/>
          <w:vertAlign w:val="superscript"/>
        </w:rPr>
      </w:pPr>
      <w:r w:rsidRPr="0063039B">
        <w:rPr>
          <w:rFonts w:ascii="Google Sans" w:eastAsia="Google Sans" w:hAnsi="Google Sans" w:cs="Google Sans"/>
          <w:b/>
          <w:bCs/>
          <w:color w:val="1B1C1D"/>
        </w:rPr>
        <w:br/>
      </w:r>
      <w:r w:rsidR="00454125" w:rsidRPr="00454125">
        <w:rPr>
          <w:rFonts w:asciiTheme="majorBidi" w:eastAsia="Google Sans Text" w:hAnsiTheme="majorBidi" w:cstheme="majorBidi"/>
          <w:color w:val="444746"/>
          <w:sz w:val="32"/>
          <w:szCs w:val="32"/>
          <w:vertAlign w:val="superscript"/>
        </w:rPr>
        <w:t>The dataset used in this study consists primarily of historical gold price time-series data obtained from reliable financial sources [23]. The data includes daily observations of gold prices and represents the core input for the forecasting task. In addition to price data, selected macro-financial indicators that are commonly associated with gold market dynamics are incorporated to enhance predictive performance.</w:t>
      </w:r>
    </w:p>
    <w:p w14:paraId="04185A9D" w14:textId="755AB889" w:rsidR="00B973B6" w:rsidRDefault="00454125" w:rsidP="00454125">
      <w:pPr>
        <w:rPr>
          <w:rFonts w:asciiTheme="majorBidi" w:eastAsia="Google Sans Text" w:hAnsiTheme="majorBidi" w:cstheme="majorBidi"/>
          <w:color w:val="444746"/>
          <w:sz w:val="32"/>
          <w:szCs w:val="32"/>
          <w:vertAlign w:val="superscript"/>
        </w:rPr>
      </w:pPr>
      <w:r w:rsidRPr="00454125">
        <w:rPr>
          <w:rFonts w:asciiTheme="majorBidi" w:eastAsia="Google Sans Text" w:hAnsiTheme="majorBidi" w:cstheme="majorBidi"/>
          <w:color w:val="444746"/>
          <w:sz w:val="32"/>
          <w:szCs w:val="32"/>
          <w:vertAlign w:val="superscript"/>
        </w:rPr>
        <w:t>All variables are aligned on a daily frequency to ensure temporal consistency. The selected data sources provide a comprehensive representation of market behavior and support the construction of a robust forecasting model based on both temporal and feature-driven information.</w:t>
      </w:r>
    </w:p>
    <w:p w14:paraId="6468E403" w14:textId="77777777" w:rsidR="00481B29" w:rsidRDefault="0063039B" w:rsidP="00481B29">
      <w:pPr>
        <w:rPr>
          <w:rFonts w:ascii="Google Sans" w:eastAsia="Google Sans" w:hAnsi="Google Sans" w:cs="Google Sans"/>
          <w:b/>
          <w:bCs/>
          <w:color w:val="1B1C1D"/>
          <w:rtl/>
        </w:rPr>
      </w:pPr>
      <w:r w:rsidRPr="0063039B">
        <w:rPr>
          <w:rFonts w:ascii="Google Sans" w:eastAsia="Google Sans" w:hAnsi="Google Sans" w:cs="Google Sans"/>
          <w:b/>
          <w:bCs/>
          <w:color w:val="1B1C1D"/>
        </w:rPr>
        <w:t>4.3 Data Preparation and Feature Construction</w:t>
      </w:r>
    </w:p>
    <w:p w14:paraId="29C312AE" w14:textId="77777777" w:rsidR="00454125" w:rsidRPr="00454125" w:rsidRDefault="0063039B" w:rsidP="00454125">
      <w:pPr>
        <w:rPr>
          <w:rFonts w:asciiTheme="majorBidi" w:eastAsia="Google Sans Text" w:hAnsiTheme="majorBidi" w:cstheme="majorBidi"/>
          <w:color w:val="444746"/>
          <w:sz w:val="32"/>
          <w:szCs w:val="32"/>
          <w:vertAlign w:val="superscript"/>
        </w:rPr>
      </w:pPr>
      <w:r w:rsidRPr="0063039B">
        <w:rPr>
          <w:rFonts w:ascii="Google Sans" w:eastAsia="Google Sans" w:hAnsi="Google Sans" w:cs="Google Sans"/>
          <w:b/>
          <w:bCs/>
          <w:color w:val="1B1C1D"/>
        </w:rPr>
        <w:br/>
      </w:r>
      <w:r w:rsidR="00454125" w:rsidRPr="00454125">
        <w:rPr>
          <w:rFonts w:asciiTheme="majorBidi" w:eastAsia="Google Sans Text" w:hAnsiTheme="majorBidi" w:cstheme="majorBidi"/>
          <w:color w:val="444746"/>
          <w:sz w:val="32"/>
          <w:szCs w:val="32"/>
          <w:vertAlign w:val="superscript"/>
        </w:rPr>
        <w:t>The raw dataset undergoes a series of preprocessing steps to ensure data quality and suitability for predictive modeling. First, all variables are aligned on a unified time index to address missing trading days and market holidays. Missing values are handled using appropriate imputation techniques, and numerical features are normalized to improve model convergence and stability.</w:t>
      </w:r>
    </w:p>
    <w:p w14:paraId="3BB07241" w14:textId="77777777" w:rsidR="00454125" w:rsidRPr="00454125" w:rsidRDefault="00454125" w:rsidP="00454125">
      <w:pPr>
        <w:rPr>
          <w:rFonts w:asciiTheme="majorBidi" w:eastAsia="Google Sans Text" w:hAnsiTheme="majorBidi" w:cstheme="majorBidi"/>
          <w:color w:val="444746"/>
          <w:sz w:val="32"/>
          <w:szCs w:val="32"/>
          <w:vertAlign w:val="superscript"/>
        </w:rPr>
      </w:pPr>
    </w:p>
    <w:p w14:paraId="107839D6" w14:textId="7B1C07AB" w:rsidR="00506B5B" w:rsidRDefault="00454125" w:rsidP="00454125">
      <w:pPr>
        <w:rPr>
          <w:rFonts w:asciiTheme="majorBidi" w:eastAsia="Google Sans Text" w:hAnsiTheme="majorBidi" w:cstheme="majorBidi"/>
          <w:color w:val="444746"/>
          <w:sz w:val="32"/>
          <w:szCs w:val="32"/>
          <w:vertAlign w:val="superscript"/>
          <w:rtl/>
        </w:rPr>
      </w:pPr>
      <w:r w:rsidRPr="00454125">
        <w:rPr>
          <w:rFonts w:asciiTheme="majorBidi" w:eastAsia="Google Sans Text" w:hAnsiTheme="majorBidi" w:cstheme="majorBidi"/>
          <w:color w:val="444746"/>
          <w:sz w:val="32"/>
          <w:szCs w:val="32"/>
          <w:vertAlign w:val="superscript"/>
        </w:rPr>
        <w:t>After preprocessing, a set of engineered features is constructed to enhance forecasting performance. These features include lagged gold prices, price returns, moving averages, and volatility-related measures. The engineered features capture both short-term fluctuations and longer-term market trends, forming the supervised learning inputs required for the XGBoost model. In parallel, sequential price windows are created to serve as inputs for the LSTM model, enabling effective temporal learning [9,18].</w:t>
      </w:r>
    </w:p>
    <w:p w14:paraId="4E071C22" w14:textId="77777777" w:rsidR="00F9539B" w:rsidRDefault="00F9539B" w:rsidP="00D27945">
      <w:pPr>
        <w:rPr>
          <w:rFonts w:asciiTheme="majorBidi" w:eastAsia="Google Sans Text" w:hAnsiTheme="majorBidi" w:cstheme="majorBidi"/>
          <w:color w:val="444746"/>
          <w:sz w:val="32"/>
          <w:szCs w:val="32"/>
          <w:vertAlign w:val="superscript"/>
          <w:rtl/>
        </w:rPr>
      </w:pPr>
    </w:p>
    <w:p w14:paraId="5311A439" w14:textId="77777777" w:rsidR="00F9539B" w:rsidRPr="00F9539B" w:rsidRDefault="00D27945" w:rsidP="00F9539B">
      <w:pPr>
        <w:rPr>
          <w:rFonts w:asciiTheme="majorBidi" w:eastAsia="Google Sans Text" w:hAnsiTheme="majorBidi" w:cstheme="majorBidi"/>
          <w:color w:val="444746"/>
          <w:sz w:val="32"/>
          <w:szCs w:val="32"/>
          <w:vertAlign w:val="superscript"/>
        </w:rPr>
      </w:pPr>
      <w:r w:rsidRPr="00D27945">
        <w:rPr>
          <w:rFonts w:asciiTheme="majorBidi" w:eastAsia="Google Sans Text" w:hAnsiTheme="majorBidi" w:cstheme="majorBidi"/>
          <w:b/>
          <w:bCs/>
          <w:color w:val="444746"/>
          <w:sz w:val="32"/>
          <w:szCs w:val="32"/>
          <w:vertAlign w:val="superscript"/>
        </w:rPr>
        <w:t>4.</w:t>
      </w:r>
      <w:r w:rsidR="00F9539B">
        <w:rPr>
          <w:rFonts w:asciiTheme="majorBidi" w:eastAsia="Google Sans Text" w:hAnsiTheme="majorBidi" w:cstheme="majorBidi" w:hint="cs"/>
          <w:b/>
          <w:bCs/>
          <w:color w:val="444746"/>
          <w:sz w:val="32"/>
          <w:szCs w:val="32"/>
          <w:vertAlign w:val="superscript"/>
          <w:rtl/>
        </w:rPr>
        <w:t>4</w:t>
      </w:r>
      <w:r w:rsidRPr="00D27945">
        <w:rPr>
          <w:rFonts w:asciiTheme="majorBidi" w:eastAsia="Google Sans Text" w:hAnsiTheme="majorBidi" w:cstheme="majorBidi"/>
          <w:b/>
          <w:bCs/>
          <w:color w:val="444746"/>
          <w:sz w:val="32"/>
          <w:szCs w:val="32"/>
          <w:vertAlign w:val="superscript"/>
        </w:rPr>
        <w:t xml:space="preserve"> Hybrid Model Design (LSTM + XGBoost)</w:t>
      </w:r>
      <w:r w:rsidRPr="00D27945">
        <w:rPr>
          <w:rFonts w:asciiTheme="majorBidi" w:eastAsia="Google Sans Text" w:hAnsiTheme="majorBidi" w:cstheme="majorBidi"/>
          <w:color w:val="444746"/>
          <w:sz w:val="32"/>
          <w:szCs w:val="32"/>
          <w:vertAlign w:val="superscript"/>
        </w:rPr>
        <w:br/>
      </w:r>
      <w:r w:rsidR="00F9539B" w:rsidRPr="00F9539B">
        <w:rPr>
          <w:rFonts w:asciiTheme="majorBidi" w:eastAsia="Google Sans Text" w:hAnsiTheme="majorBidi" w:cstheme="majorBidi"/>
          <w:color w:val="444746"/>
          <w:sz w:val="32"/>
          <w:szCs w:val="32"/>
          <w:vertAlign w:val="superscript"/>
        </w:rPr>
        <w:t>The hybrid forecasting model developed in this study integrates the complementary strengths of deep learning and machine learning techniques. The Long Short-Term Memory (LSTM) network is employed to model long-range temporal dependencies in the gold price time series. By processing sequential price windows, the LSTM learns underlying temporal patterns that are difficult to capture using traditional regression models [9].</w:t>
      </w:r>
    </w:p>
    <w:p w14:paraId="66D60894" w14:textId="77777777" w:rsidR="00F9539B" w:rsidRPr="00F9539B" w:rsidRDefault="00F9539B" w:rsidP="00F9539B">
      <w:pPr>
        <w:rPr>
          <w:rFonts w:asciiTheme="majorBidi" w:eastAsia="Google Sans Text" w:hAnsiTheme="majorBidi" w:cstheme="majorBidi"/>
          <w:color w:val="444746"/>
          <w:sz w:val="32"/>
          <w:szCs w:val="32"/>
          <w:vertAlign w:val="superscript"/>
        </w:rPr>
      </w:pPr>
    </w:p>
    <w:p w14:paraId="348453D3" w14:textId="3C1408DB" w:rsidR="00D27945" w:rsidRPr="00506B5B" w:rsidRDefault="00F9539B" w:rsidP="00F9539B">
      <w:pPr>
        <w:rPr>
          <w:rFonts w:asciiTheme="majorBidi" w:eastAsia="Google Sans Text" w:hAnsiTheme="majorBidi" w:cstheme="majorBidi"/>
          <w:color w:val="444746"/>
          <w:sz w:val="32"/>
          <w:szCs w:val="32"/>
          <w:vertAlign w:val="superscript"/>
        </w:rPr>
      </w:pPr>
      <w:r w:rsidRPr="00F9539B">
        <w:rPr>
          <w:rFonts w:asciiTheme="majorBidi" w:eastAsia="Google Sans Text" w:hAnsiTheme="majorBidi" w:cstheme="majorBidi"/>
          <w:color w:val="444746"/>
          <w:sz w:val="32"/>
          <w:szCs w:val="32"/>
          <w:vertAlign w:val="superscript"/>
        </w:rPr>
        <w:t>In parallel, the XGBoost regression model is applied to engineered features derived from historical prices and macro-financial variables. XGBoost is well suited for modeling nonlinear relationships and feature interactions within structured data [4,5]. To combine both models, a residual-based hybrid strategy is adopted, where the LSTM is trained to model the residual errors produced by the XGBoost baseline model. The final forecast is obtained by reconstructing the price predictions using both components, resulting in improved robustness and accuracy compared to standalone models.</w:t>
      </w:r>
    </w:p>
    <w:p w14:paraId="2A92D38A" w14:textId="77777777" w:rsidR="00D27945" w:rsidRDefault="00D27945" w:rsidP="00D27945">
      <w:pPr>
        <w:jc w:val="center"/>
        <w:rPr>
          <w:rFonts w:asciiTheme="majorBidi" w:eastAsia="Google Sans Text" w:hAnsiTheme="majorBidi" w:cstheme="majorBidi"/>
          <w:color w:val="444746"/>
          <w:sz w:val="32"/>
          <w:szCs w:val="32"/>
          <w:vertAlign w:val="superscript"/>
          <w:rtl/>
        </w:rPr>
      </w:pPr>
      <w:r>
        <w:rPr>
          <w:noProof/>
        </w:rPr>
        <w:drawing>
          <wp:inline distT="0" distB="0" distL="0" distR="0" wp14:anchorId="2CAD43D8" wp14:editId="4F79518C">
            <wp:extent cx="1455725" cy="2957787"/>
            <wp:effectExtent l="0" t="0" r="0" b="0"/>
            <wp:docPr id="399558438" name="Picture 1" descr="A diagram of a training syste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9558438" name="Picture 1" descr="A diagram of a training system&#10;&#10;AI-generated content may be incorrect."/>
                    <pic:cNvPicPr/>
                  </pic:nvPicPr>
                  <pic:blipFill>
                    <a:blip r:embed="rId10"/>
                    <a:stretch>
                      <a:fillRect/>
                    </a:stretch>
                  </pic:blipFill>
                  <pic:spPr>
                    <a:xfrm>
                      <a:off x="0" y="0"/>
                      <a:ext cx="1471341" cy="2989517"/>
                    </a:xfrm>
                    <a:prstGeom prst="rect">
                      <a:avLst/>
                    </a:prstGeom>
                  </pic:spPr>
                </pic:pic>
              </a:graphicData>
            </a:graphic>
          </wp:inline>
        </w:drawing>
      </w:r>
    </w:p>
    <w:p w14:paraId="6067B3AD" w14:textId="77777777" w:rsidR="00203199" w:rsidRDefault="00203199" w:rsidP="00D27945">
      <w:pPr>
        <w:jc w:val="center"/>
        <w:rPr>
          <w:rFonts w:asciiTheme="majorBidi" w:eastAsia="Google Sans Text" w:hAnsiTheme="majorBidi" w:cstheme="majorBidi"/>
          <w:color w:val="444746"/>
          <w:sz w:val="32"/>
          <w:szCs w:val="32"/>
          <w:vertAlign w:val="superscript"/>
          <w:rtl/>
        </w:rPr>
      </w:pPr>
    </w:p>
    <w:p w14:paraId="5655B06C" w14:textId="424A6CCB" w:rsidR="00506B5B" w:rsidRPr="0063039B" w:rsidRDefault="00D27945" w:rsidP="00B973B6">
      <w:pPr>
        <w:pBdr>
          <w:top w:val="nil"/>
          <w:left w:val="nil"/>
          <w:bottom w:val="nil"/>
          <w:right w:val="nil"/>
          <w:between w:val="nil"/>
        </w:pBdr>
        <w:spacing w:after="240" w:line="275" w:lineRule="auto"/>
        <w:jc w:val="center"/>
        <w:rPr>
          <w:rFonts w:asciiTheme="majorBidi" w:eastAsia="Google Sans Text" w:hAnsiTheme="majorBidi" w:cstheme="majorBidi"/>
          <w:color w:val="444746"/>
          <w:sz w:val="24"/>
          <w:szCs w:val="24"/>
          <w:vertAlign w:val="superscript"/>
        </w:rPr>
      </w:pPr>
      <w:r w:rsidRPr="0054372B">
        <w:rPr>
          <w:rFonts w:asciiTheme="majorBidi" w:eastAsia="Google Sans Text" w:hAnsiTheme="majorBidi" w:cstheme="majorBidi"/>
          <w:color w:val="444746"/>
          <w:sz w:val="24"/>
          <w:szCs w:val="24"/>
          <w:vertAlign w:val="superscript"/>
        </w:rPr>
        <w:t>Figure 4.2: A horizontal hybrid pipeline integrating LSTM and XGBoost to generate the final price forecast.</w:t>
      </w:r>
    </w:p>
    <w:p w14:paraId="06C0AFC9" w14:textId="77777777" w:rsidR="00203199" w:rsidRDefault="00203199" w:rsidP="00F9539B">
      <w:pPr>
        <w:rPr>
          <w:rFonts w:asciiTheme="majorBidi" w:eastAsia="Google Sans Text" w:hAnsiTheme="majorBidi" w:cstheme="majorBidi"/>
          <w:b/>
          <w:bCs/>
          <w:color w:val="444746"/>
          <w:sz w:val="32"/>
          <w:szCs w:val="32"/>
          <w:vertAlign w:val="superscript"/>
          <w:rtl/>
        </w:rPr>
      </w:pPr>
    </w:p>
    <w:p w14:paraId="059D91AD" w14:textId="0564CAB2" w:rsidR="00F9539B" w:rsidRPr="00F9539B" w:rsidRDefault="005B6C63" w:rsidP="00F9539B">
      <w:pPr>
        <w:rPr>
          <w:rFonts w:asciiTheme="majorBidi" w:eastAsia="Google Sans Text" w:hAnsiTheme="majorBidi" w:cstheme="majorBidi"/>
          <w:color w:val="444746"/>
          <w:sz w:val="32"/>
          <w:szCs w:val="32"/>
          <w:vertAlign w:val="superscript"/>
        </w:rPr>
      </w:pPr>
      <w:r w:rsidRPr="005B6C63">
        <w:rPr>
          <w:rFonts w:asciiTheme="majorBidi" w:eastAsia="Google Sans Text" w:hAnsiTheme="majorBidi" w:cstheme="majorBidi"/>
          <w:b/>
          <w:bCs/>
          <w:color w:val="444746"/>
          <w:sz w:val="32"/>
          <w:szCs w:val="32"/>
          <w:vertAlign w:val="superscript"/>
        </w:rPr>
        <w:lastRenderedPageBreak/>
        <w:t>4.</w:t>
      </w:r>
      <w:r w:rsidR="00F9539B">
        <w:rPr>
          <w:rFonts w:asciiTheme="majorBidi" w:eastAsia="Google Sans Text" w:hAnsiTheme="majorBidi" w:cstheme="majorBidi" w:hint="cs"/>
          <w:b/>
          <w:bCs/>
          <w:color w:val="444746"/>
          <w:sz w:val="32"/>
          <w:szCs w:val="32"/>
          <w:vertAlign w:val="superscript"/>
          <w:rtl/>
        </w:rPr>
        <w:t>5</w:t>
      </w:r>
      <w:r w:rsidRPr="005B6C63">
        <w:rPr>
          <w:rFonts w:asciiTheme="majorBidi" w:eastAsia="Google Sans Text" w:hAnsiTheme="majorBidi" w:cstheme="majorBidi"/>
          <w:b/>
          <w:bCs/>
          <w:color w:val="444746"/>
          <w:sz w:val="32"/>
          <w:szCs w:val="32"/>
          <w:vertAlign w:val="superscript"/>
        </w:rPr>
        <w:t xml:space="preserve"> Experiment Workflow</w:t>
      </w:r>
      <w:r w:rsidRPr="005B6C63">
        <w:rPr>
          <w:rFonts w:asciiTheme="majorBidi" w:eastAsia="Google Sans Text" w:hAnsiTheme="majorBidi" w:cstheme="majorBidi"/>
          <w:b/>
          <w:bCs/>
          <w:color w:val="444746"/>
          <w:sz w:val="32"/>
          <w:szCs w:val="32"/>
          <w:vertAlign w:val="superscript"/>
        </w:rPr>
        <w:br/>
      </w:r>
      <w:r w:rsidR="00F9539B" w:rsidRPr="00F9539B">
        <w:rPr>
          <w:rFonts w:asciiTheme="majorBidi" w:eastAsia="Google Sans Text" w:hAnsiTheme="majorBidi" w:cstheme="majorBidi"/>
          <w:color w:val="444746"/>
          <w:sz w:val="32"/>
          <w:szCs w:val="32"/>
          <w:vertAlign w:val="superscript"/>
        </w:rPr>
        <w:t>The experimental workflow adopted in this study follows a structured sequence to ensure consistency and reproducibility. The process begins with data preprocessing and feature construction, followed by the preparation of supervised learning inputs for both models. The dataset is split into training and testing sets using a chronological approach to preserve the temporal structure of the time series.</w:t>
      </w:r>
    </w:p>
    <w:p w14:paraId="08EA5319" w14:textId="77777777" w:rsidR="00F9539B" w:rsidRPr="00F9539B" w:rsidRDefault="00F9539B" w:rsidP="00F9539B">
      <w:pPr>
        <w:rPr>
          <w:rFonts w:asciiTheme="majorBidi" w:eastAsia="Google Sans Text" w:hAnsiTheme="majorBidi" w:cstheme="majorBidi"/>
          <w:color w:val="444746"/>
          <w:sz w:val="32"/>
          <w:szCs w:val="32"/>
          <w:vertAlign w:val="superscript"/>
        </w:rPr>
      </w:pPr>
    </w:p>
    <w:p w14:paraId="208290DE" w14:textId="77777777" w:rsidR="00F9539B" w:rsidRPr="00F9539B" w:rsidRDefault="00F9539B" w:rsidP="00F9539B">
      <w:pPr>
        <w:rPr>
          <w:rFonts w:asciiTheme="majorBidi" w:eastAsia="Google Sans Text" w:hAnsiTheme="majorBidi" w:cstheme="majorBidi"/>
          <w:color w:val="444746"/>
          <w:sz w:val="32"/>
          <w:szCs w:val="32"/>
          <w:vertAlign w:val="superscript"/>
        </w:rPr>
      </w:pPr>
      <w:r w:rsidRPr="00F9539B">
        <w:rPr>
          <w:rFonts w:asciiTheme="majorBidi" w:eastAsia="Google Sans Text" w:hAnsiTheme="majorBidi" w:cstheme="majorBidi"/>
          <w:color w:val="444746"/>
          <w:sz w:val="32"/>
          <w:szCs w:val="32"/>
          <w:vertAlign w:val="superscript"/>
        </w:rPr>
        <w:t>The XGBoost model is trained first to generate baseline predictions based on engineered features. Subsequently, the LSTM model is trained on sequential price windows to learn the residual errors from the XGBoost predictions. The final hybrid forecast is obtained by reconstructing the gold price using the combined outputs of both models. Model performance is evaluated using standard regression metrics, including Root Mean Squared Error (RMSE), Mean Absolute Error (MAE), and directional accuracy [3,10].</w:t>
      </w:r>
    </w:p>
    <w:p w14:paraId="4BFC639F" w14:textId="77777777" w:rsidR="00F9539B" w:rsidRPr="00F9539B" w:rsidRDefault="00F9539B" w:rsidP="00F9539B">
      <w:pPr>
        <w:rPr>
          <w:rFonts w:asciiTheme="majorBidi" w:eastAsia="Google Sans Text" w:hAnsiTheme="majorBidi" w:cstheme="majorBidi"/>
          <w:color w:val="444746"/>
          <w:sz w:val="32"/>
          <w:szCs w:val="32"/>
          <w:vertAlign w:val="superscript"/>
        </w:rPr>
      </w:pPr>
    </w:p>
    <w:p w14:paraId="5BBF240D" w14:textId="29247070" w:rsidR="00A741D0" w:rsidRPr="00203199" w:rsidRDefault="00F9539B" w:rsidP="00203199">
      <w:pPr>
        <w:rPr>
          <w:rFonts w:asciiTheme="majorBidi" w:eastAsia="Google Sans Text" w:hAnsiTheme="majorBidi" w:cstheme="majorBidi"/>
          <w:color w:val="444746"/>
          <w:sz w:val="32"/>
          <w:szCs w:val="32"/>
          <w:vertAlign w:val="superscript"/>
        </w:rPr>
      </w:pPr>
      <w:r w:rsidRPr="00F9539B">
        <w:rPr>
          <w:rFonts w:asciiTheme="majorBidi" w:eastAsia="Google Sans Text" w:hAnsiTheme="majorBidi" w:cstheme="majorBidi"/>
          <w:color w:val="444746"/>
          <w:sz w:val="32"/>
          <w:szCs w:val="32"/>
          <w:vertAlign w:val="superscript"/>
        </w:rPr>
        <w:t>All experiments are implemented using Python-based machine learning libraries, including TensorFlow and XGBoost. Fixed random seeds and consistent preprocessing parameters are applied to ensure reproducibility across all experimental runs.</w:t>
      </w:r>
    </w:p>
    <w:p w14:paraId="723C46EC" w14:textId="0D79CA4B" w:rsidR="000360AA" w:rsidRDefault="007847CA" w:rsidP="000360AA">
      <w:pPr>
        <w:jc w:val="center"/>
        <w:rPr>
          <w:rFonts w:asciiTheme="majorBidi" w:eastAsia="Google Sans" w:hAnsiTheme="majorBidi" w:cstheme="majorBidi"/>
          <w:bCs/>
          <w:color w:val="1B1C1D"/>
          <w:sz w:val="36"/>
          <w:szCs w:val="36"/>
        </w:rPr>
      </w:pPr>
      <w:r w:rsidRPr="007847CA">
        <w:rPr>
          <w:rFonts w:asciiTheme="majorBidi" w:eastAsia="Google Sans" w:hAnsiTheme="majorBidi" w:cstheme="majorBidi"/>
          <w:bCs/>
          <w:color w:val="1B1C1D"/>
          <w:sz w:val="36"/>
          <w:szCs w:val="36"/>
        </w:rPr>
        <w:t>Chapter 5 — Results and Discussion</w:t>
      </w:r>
    </w:p>
    <w:p w14:paraId="140F7338" w14:textId="77777777" w:rsidR="008E20A3" w:rsidRDefault="008E20A3" w:rsidP="000360AA">
      <w:pPr>
        <w:jc w:val="center"/>
        <w:rPr>
          <w:rFonts w:asciiTheme="majorBidi" w:eastAsia="Google Sans" w:hAnsiTheme="majorBidi" w:cstheme="majorBidi"/>
          <w:bCs/>
          <w:color w:val="1B1C1D"/>
          <w:sz w:val="36"/>
          <w:szCs w:val="36"/>
          <w:rtl/>
        </w:rPr>
      </w:pPr>
    </w:p>
    <w:p w14:paraId="0836B0BE" w14:textId="3660C47C" w:rsidR="008E20A3" w:rsidRPr="008E20A3" w:rsidRDefault="008E20A3" w:rsidP="008E20A3">
      <w:pPr>
        <w:rPr>
          <w:rFonts w:asciiTheme="majorBidi" w:eastAsia="Google Sans Text" w:hAnsiTheme="majorBidi" w:cstheme="majorBidi"/>
          <w:b/>
          <w:bCs/>
          <w:color w:val="444746"/>
          <w:sz w:val="32"/>
          <w:szCs w:val="32"/>
          <w:vertAlign w:val="superscript"/>
        </w:rPr>
      </w:pPr>
      <w:r w:rsidRPr="008E20A3">
        <w:rPr>
          <w:rFonts w:asciiTheme="majorBidi" w:eastAsia="Google Sans Text" w:hAnsiTheme="majorBidi" w:cstheme="majorBidi"/>
          <w:b/>
          <w:bCs/>
          <w:color w:val="444746"/>
          <w:sz w:val="32"/>
          <w:szCs w:val="32"/>
          <w:vertAlign w:val="superscript"/>
        </w:rPr>
        <w:t>5.1 Performance Evaluation</w:t>
      </w:r>
    </w:p>
    <w:p w14:paraId="10F0BC60" w14:textId="75FA37ED" w:rsidR="008577CF" w:rsidRPr="008577CF" w:rsidRDefault="008577CF" w:rsidP="00203199">
      <w:pPr>
        <w:rPr>
          <w:rFonts w:asciiTheme="majorBidi" w:eastAsia="Google Sans Text" w:hAnsiTheme="majorBidi" w:cstheme="majorBidi"/>
          <w:color w:val="444746"/>
          <w:sz w:val="32"/>
          <w:szCs w:val="32"/>
          <w:vertAlign w:val="superscript"/>
        </w:rPr>
      </w:pPr>
      <w:r w:rsidRPr="008577CF">
        <w:rPr>
          <w:rFonts w:asciiTheme="majorBidi" w:eastAsia="Google Sans Text" w:hAnsiTheme="majorBidi" w:cstheme="majorBidi"/>
          <w:color w:val="444746"/>
          <w:sz w:val="32"/>
          <w:szCs w:val="32"/>
          <w:vertAlign w:val="superscript"/>
        </w:rPr>
        <w:t>The performance of the proposed forecasting framework is evaluated using two widely adopted regression error metrics: Root Mean Squared Error (RMSE) and Mean Absolute Error (MAE) [3,10]. RMSE penalizes larger deviations more heavily and is therefore effective in assessing the model’s ability to capture sudden price fluctuations. In contrast, MAE provides a more interpretable measure of the average magnitude of forecasting errors. All metrics are computed on the out-of-sample test set to ensure that the reported results reflect the generalization ability of the models rather than their in-sample fit.</w:t>
      </w:r>
    </w:p>
    <w:p w14:paraId="35681D89" w14:textId="7E776FFC" w:rsidR="008E20A3" w:rsidRDefault="008577CF" w:rsidP="008577CF">
      <w:pPr>
        <w:rPr>
          <w:rFonts w:asciiTheme="majorBidi" w:eastAsia="Google Sans Text" w:hAnsiTheme="majorBidi" w:cstheme="majorBidi"/>
          <w:color w:val="444746"/>
          <w:sz w:val="32"/>
          <w:szCs w:val="32"/>
          <w:vertAlign w:val="superscript"/>
          <w:rtl/>
        </w:rPr>
      </w:pPr>
      <w:r w:rsidRPr="008577CF">
        <w:rPr>
          <w:rFonts w:asciiTheme="majorBidi" w:eastAsia="Google Sans Text" w:hAnsiTheme="majorBidi" w:cstheme="majorBidi"/>
          <w:color w:val="444746"/>
          <w:sz w:val="32"/>
          <w:szCs w:val="32"/>
          <w:vertAlign w:val="superscript"/>
        </w:rPr>
        <w:t>Three model specifications are evaluated: a standalone XGBoost model, a standalone LSTM model, and a residual-based hybrid model. To ensure consistency and comparability, all predictions are reconstructed to the original gold price scale prior to evaluation.</w:t>
      </w:r>
    </w:p>
    <w:p w14:paraId="4E627FA3" w14:textId="0539F4CC" w:rsidR="008577CF" w:rsidRDefault="008577CF" w:rsidP="008577CF">
      <w:pPr>
        <w:rPr>
          <w:rFonts w:asciiTheme="majorBidi" w:eastAsia="Google Sans Text" w:hAnsiTheme="majorBidi" w:cstheme="majorBidi"/>
          <w:b/>
          <w:bCs/>
          <w:color w:val="444746"/>
          <w:sz w:val="32"/>
          <w:szCs w:val="32"/>
          <w:vertAlign w:val="superscript"/>
        </w:rPr>
      </w:pPr>
      <w:r w:rsidRPr="008577CF">
        <w:rPr>
          <w:rFonts w:asciiTheme="majorBidi" w:eastAsia="Google Sans Text" w:hAnsiTheme="majorBidi" w:cstheme="majorBidi"/>
          <w:b/>
          <w:bCs/>
          <w:color w:val="444746"/>
          <w:sz w:val="32"/>
          <w:szCs w:val="32"/>
          <w:vertAlign w:val="superscript"/>
        </w:rPr>
        <w:t>On the test set, the standalone XGBoost model achieved the strongest numerical performance, with an RMSE of approximately 0.39 and an MAE of approximately 0.14. In addition, it recorded a very high directional accuracy of about 0.98, indicating its effectiveness in capturing both the magnitude and direction of gold price movements. As illustrated in Figure 5.1, the XGBoost predictions closely follow the actual price trajectory across the test period.</w:t>
      </w:r>
    </w:p>
    <w:p w14:paraId="56FDD4EF" w14:textId="77777777" w:rsidR="008E20A3" w:rsidRDefault="008E20A3" w:rsidP="008E20A3">
      <w:pPr>
        <w:rPr>
          <w:rFonts w:asciiTheme="majorBidi" w:eastAsia="Google Sans Text" w:hAnsiTheme="majorBidi" w:cstheme="majorBidi"/>
          <w:b/>
          <w:bCs/>
          <w:color w:val="444746"/>
          <w:sz w:val="32"/>
          <w:szCs w:val="32"/>
          <w:vertAlign w:val="superscript"/>
        </w:rPr>
      </w:pPr>
    </w:p>
    <w:p w14:paraId="143B7D4B" w14:textId="16C5D279" w:rsidR="008E20A3" w:rsidRDefault="008E20A3" w:rsidP="008E20A3">
      <w:pPr>
        <w:rPr>
          <w:rFonts w:asciiTheme="majorBidi" w:eastAsia="Google Sans Text" w:hAnsiTheme="majorBidi" w:cstheme="majorBidi"/>
          <w:b/>
          <w:bCs/>
          <w:color w:val="444746"/>
          <w:sz w:val="32"/>
          <w:szCs w:val="32"/>
          <w:vertAlign w:val="superscript"/>
        </w:rPr>
      </w:pPr>
      <w:r>
        <w:rPr>
          <w:rFonts w:asciiTheme="majorBidi" w:eastAsia="Google Sans Text" w:hAnsiTheme="majorBidi" w:cstheme="majorBidi"/>
          <w:b/>
          <w:bCs/>
          <w:noProof/>
          <w:color w:val="444746"/>
          <w:sz w:val="32"/>
          <w:szCs w:val="32"/>
          <w:vertAlign w:val="superscript"/>
        </w:rPr>
        <w:lastRenderedPageBreak/>
        <w:drawing>
          <wp:inline distT="0" distB="0" distL="0" distR="0" wp14:anchorId="02D61CE7" wp14:editId="3861B0BB">
            <wp:extent cx="5939790" cy="2948305"/>
            <wp:effectExtent l="0" t="0" r="3810" b="4445"/>
            <wp:docPr id="122976274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39790" cy="2948305"/>
                    </a:xfrm>
                    <a:prstGeom prst="rect">
                      <a:avLst/>
                    </a:prstGeom>
                    <a:noFill/>
                    <a:ln>
                      <a:noFill/>
                    </a:ln>
                  </pic:spPr>
                </pic:pic>
              </a:graphicData>
            </a:graphic>
          </wp:inline>
        </w:drawing>
      </w:r>
    </w:p>
    <w:p w14:paraId="633AA9C6" w14:textId="77777777" w:rsidR="008E20A3" w:rsidRPr="008E20A3" w:rsidRDefault="008E20A3" w:rsidP="008E20A3">
      <w:pPr>
        <w:pBdr>
          <w:top w:val="nil"/>
          <w:left w:val="nil"/>
          <w:bottom w:val="nil"/>
          <w:right w:val="nil"/>
          <w:between w:val="nil"/>
        </w:pBdr>
        <w:spacing w:after="240" w:line="275" w:lineRule="auto"/>
        <w:jc w:val="center"/>
        <w:rPr>
          <w:rFonts w:asciiTheme="majorBidi" w:eastAsia="Google Sans Text" w:hAnsiTheme="majorBidi" w:cstheme="majorBidi"/>
          <w:color w:val="444746"/>
          <w:sz w:val="24"/>
          <w:szCs w:val="24"/>
          <w:vertAlign w:val="superscript"/>
        </w:rPr>
      </w:pPr>
      <w:r w:rsidRPr="008E20A3">
        <w:rPr>
          <w:rFonts w:asciiTheme="majorBidi" w:eastAsia="Google Sans Text" w:hAnsiTheme="majorBidi" w:cstheme="majorBidi"/>
          <w:color w:val="444746"/>
          <w:sz w:val="24"/>
          <w:szCs w:val="24"/>
          <w:vertAlign w:val="superscript"/>
        </w:rPr>
        <w:t>Figure 5.1. Actual vs Predicted Gold Prices using the XGBoost Model on the Test Set.</w:t>
      </w:r>
    </w:p>
    <w:p w14:paraId="2FEC59C2" w14:textId="13269126" w:rsidR="008E20A3" w:rsidRDefault="008577CF" w:rsidP="008E20A3">
      <w:pPr>
        <w:rPr>
          <w:rFonts w:asciiTheme="majorBidi" w:eastAsia="Google Sans Text" w:hAnsiTheme="majorBidi" w:cstheme="majorBidi"/>
          <w:b/>
          <w:bCs/>
          <w:color w:val="444746"/>
          <w:sz w:val="32"/>
          <w:szCs w:val="32"/>
          <w:vertAlign w:val="superscript"/>
        </w:rPr>
      </w:pPr>
      <w:r w:rsidRPr="008577CF">
        <w:rPr>
          <w:rFonts w:asciiTheme="majorBidi" w:eastAsia="Google Sans Text" w:hAnsiTheme="majorBidi" w:cstheme="majorBidi"/>
          <w:color w:val="444746"/>
          <w:sz w:val="32"/>
          <w:szCs w:val="32"/>
          <w:vertAlign w:val="superscript"/>
        </w:rPr>
        <w:t xml:space="preserve">By contrast, the standalone LSTM model exhibited substantially higher error levels, with an RMSE of approximately 2.81 and an MAE of approximately 2.10, along with a relatively low directional accuracy of about 0.47. These results suggest that, when used independently, the LSTM model struggled to generalize effectively under the volatile conditions observed in the test period. The learning behavior of the LSTM component is shown in </w:t>
      </w:r>
      <w:r w:rsidRPr="008577CF">
        <w:rPr>
          <w:rFonts w:asciiTheme="majorBidi" w:eastAsia="Google Sans Text" w:hAnsiTheme="majorBidi" w:cstheme="majorBidi"/>
          <w:b/>
          <w:bCs/>
          <w:color w:val="444746"/>
          <w:sz w:val="32"/>
          <w:szCs w:val="32"/>
          <w:vertAlign w:val="superscript"/>
        </w:rPr>
        <w:t>Figure 5.2, where stable training and validation loss curves indicate that the model did not suffer from overfitting.</w:t>
      </w:r>
    </w:p>
    <w:p w14:paraId="34FC309F" w14:textId="5E78F7E7" w:rsidR="008E20A3" w:rsidRDefault="008E20A3" w:rsidP="008E20A3">
      <w:pPr>
        <w:rPr>
          <w:rFonts w:asciiTheme="majorBidi" w:eastAsia="Google Sans Text" w:hAnsiTheme="majorBidi" w:cstheme="majorBidi"/>
          <w:b/>
          <w:bCs/>
          <w:color w:val="444746"/>
          <w:sz w:val="32"/>
          <w:szCs w:val="32"/>
          <w:vertAlign w:val="superscript"/>
        </w:rPr>
      </w:pPr>
      <w:r>
        <w:rPr>
          <w:rFonts w:asciiTheme="majorBidi" w:eastAsia="Google Sans Text" w:hAnsiTheme="majorBidi" w:cstheme="majorBidi"/>
          <w:b/>
          <w:bCs/>
          <w:noProof/>
          <w:color w:val="444746"/>
          <w:sz w:val="32"/>
          <w:szCs w:val="32"/>
          <w:vertAlign w:val="superscript"/>
        </w:rPr>
        <w:drawing>
          <wp:inline distT="0" distB="0" distL="0" distR="0" wp14:anchorId="138DA867" wp14:editId="2C01DC9B">
            <wp:extent cx="5939790" cy="2933700"/>
            <wp:effectExtent l="0" t="0" r="3810" b="0"/>
            <wp:docPr id="1668410035"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39790" cy="2933700"/>
                    </a:xfrm>
                    <a:prstGeom prst="rect">
                      <a:avLst/>
                    </a:prstGeom>
                    <a:noFill/>
                    <a:ln>
                      <a:noFill/>
                    </a:ln>
                  </pic:spPr>
                </pic:pic>
              </a:graphicData>
            </a:graphic>
          </wp:inline>
        </w:drawing>
      </w:r>
    </w:p>
    <w:p w14:paraId="5B546BF9" w14:textId="499B2157" w:rsidR="00765652" w:rsidRPr="008577CF" w:rsidRDefault="008E20A3" w:rsidP="008577CF">
      <w:pPr>
        <w:pBdr>
          <w:top w:val="nil"/>
          <w:left w:val="nil"/>
          <w:bottom w:val="nil"/>
          <w:right w:val="nil"/>
          <w:between w:val="nil"/>
        </w:pBdr>
        <w:spacing w:after="240" w:line="275" w:lineRule="auto"/>
        <w:jc w:val="center"/>
        <w:rPr>
          <w:rFonts w:asciiTheme="majorBidi" w:eastAsia="Google Sans Text" w:hAnsiTheme="majorBidi" w:cstheme="majorBidi"/>
          <w:color w:val="444746"/>
          <w:sz w:val="24"/>
          <w:szCs w:val="24"/>
          <w:vertAlign w:val="superscript"/>
        </w:rPr>
      </w:pPr>
      <w:r w:rsidRPr="008E20A3">
        <w:rPr>
          <w:rFonts w:asciiTheme="majorBidi" w:eastAsia="Google Sans Text" w:hAnsiTheme="majorBidi" w:cstheme="majorBidi"/>
          <w:color w:val="444746"/>
          <w:sz w:val="24"/>
          <w:szCs w:val="24"/>
          <w:vertAlign w:val="superscript"/>
        </w:rPr>
        <w:t>Figure 5.2. Training and validation loss curves for the residual LSTM model.</w:t>
      </w:r>
    </w:p>
    <w:p w14:paraId="10612CC3" w14:textId="77777777" w:rsidR="00203199" w:rsidRDefault="00203199" w:rsidP="00765652">
      <w:pPr>
        <w:rPr>
          <w:rFonts w:asciiTheme="majorBidi" w:eastAsia="Google Sans Text" w:hAnsiTheme="majorBidi" w:cstheme="majorBidi"/>
          <w:b/>
          <w:bCs/>
          <w:color w:val="444746"/>
          <w:sz w:val="32"/>
          <w:szCs w:val="32"/>
          <w:vertAlign w:val="superscript"/>
          <w:rtl/>
        </w:rPr>
      </w:pPr>
    </w:p>
    <w:p w14:paraId="1805EB12" w14:textId="1B4064A1" w:rsidR="00E258D8" w:rsidRDefault="00482AD8" w:rsidP="00765652">
      <w:pPr>
        <w:rPr>
          <w:rFonts w:asciiTheme="majorBidi" w:eastAsia="Google Sans Text" w:hAnsiTheme="majorBidi" w:cstheme="majorBidi"/>
          <w:color w:val="444746"/>
          <w:sz w:val="32"/>
          <w:szCs w:val="32"/>
          <w:vertAlign w:val="superscript"/>
          <w:rtl/>
        </w:rPr>
      </w:pPr>
      <w:r w:rsidRPr="00482AD8">
        <w:rPr>
          <w:rFonts w:asciiTheme="majorBidi" w:eastAsia="Google Sans Text" w:hAnsiTheme="majorBidi" w:cstheme="majorBidi"/>
          <w:b/>
          <w:bCs/>
          <w:color w:val="444746"/>
          <w:sz w:val="32"/>
          <w:szCs w:val="32"/>
          <w:vertAlign w:val="superscript"/>
        </w:rPr>
        <w:lastRenderedPageBreak/>
        <w:t>5.2 Comparative Analysis</w:t>
      </w:r>
      <w:r w:rsidRPr="00482AD8">
        <w:rPr>
          <w:rFonts w:asciiTheme="majorBidi" w:eastAsia="Google Sans Text" w:hAnsiTheme="majorBidi" w:cstheme="majorBidi"/>
          <w:color w:val="444746"/>
          <w:sz w:val="32"/>
          <w:szCs w:val="32"/>
          <w:vertAlign w:val="superscript"/>
        </w:rPr>
        <w:br/>
      </w:r>
      <w:r w:rsidR="008E5BCA" w:rsidRPr="008E5BCA">
        <w:rPr>
          <w:rFonts w:asciiTheme="majorBidi" w:eastAsia="Google Sans Text" w:hAnsiTheme="majorBidi" w:cstheme="majorBidi"/>
          <w:color w:val="444746"/>
          <w:sz w:val="32"/>
          <w:szCs w:val="32"/>
          <w:vertAlign w:val="superscript"/>
        </w:rPr>
        <w:t>A comparative analysis is conducted to examine the forecasting behavior of the three models—XGBoost, LSTM, and the residual-based hybrid approach—using RMSE, MAE, and directional accuracy as the primary evaluation metrics. The results reveal clear differences in how each model balances numerical accuracy and directional prediction.</w:t>
      </w:r>
    </w:p>
    <w:p w14:paraId="6FE0B635" w14:textId="68BB7BB1" w:rsidR="00044B06" w:rsidRPr="00C108CC" w:rsidRDefault="00044B06" w:rsidP="00C108CC">
      <w:pPr>
        <w:pBdr>
          <w:top w:val="nil"/>
          <w:left w:val="nil"/>
          <w:bottom w:val="nil"/>
          <w:right w:val="nil"/>
          <w:between w:val="nil"/>
        </w:pBdr>
        <w:spacing w:after="240" w:line="275" w:lineRule="auto"/>
        <w:rPr>
          <w:rFonts w:asciiTheme="majorBidi" w:eastAsia="Google Sans Text" w:hAnsiTheme="majorBidi" w:cstheme="majorBidi"/>
          <w:color w:val="444746"/>
          <w:sz w:val="24"/>
          <w:szCs w:val="24"/>
          <w:vertAlign w:val="superscript"/>
        </w:rPr>
      </w:pPr>
    </w:p>
    <w:tbl>
      <w:tblPr>
        <w:tblW w:w="0" w:type="auto"/>
        <w:tblCellSpacing w:w="15" w:type="dxa"/>
        <w:tblBorders>
          <w:top w:val="single" w:sz="4" w:space="0" w:color="auto"/>
          <w:left w:val="single" w:sz="4" w:space="0" w:color="auto"/>
          <w:bottom w:val="single" w:sz="4" w:space="0" w:color="auto"/>
          <w:right w:val="single" w:sz="4" w:space="0" w:color="auto"/>
        </w:tblBorders>
        <w:tblCellMar>
          <w:top w:w="15" w:type="dxa"/>
          <w:left w:w="15" w:type="dxa"/>
          <w:bottom w:w="15" w:type="dxa"/>
          <w:right w:w="15" w:type="dxa"/>
        </w:tblCellMar>
        <w:tblLook w:val="04A0" w:firstRow="1" w:lastRow="0" w:firstColumn="1" w:lastColumn="0" w:noHBand="0" w:noVBand="1"/>
      </w:tblPr>
      <w:tblGrid>
        <w:gridCol w:w="1700"/>
        <w:gridCol w:w="905"/>
        <w:gridCol w:w="1080"/>
        <w:gridCol w:w="2070"/>
        <w:gridCol w:w="2946"/>
      </w:tblGrid>
      <w:tr w:rsidR="008E5BCA" w:rsidRPr="008E5BCA" w14:paraId="68CC0430" w14:textId="77777777" w:rsidTr="00285F6E">
        <w:trPr>
          <w:tblHeader/>
          <w:tblCellSpacing w:w="15" w:type="dxa"/>
        </w:trPr>
        <w:tc>
          <w:tcPr>
            <w:tcW w:w="0" w:type="auto"/>
            <w:tcBorders>
              <w:top w:val="single" w:sz="4" w:space="0" w:color="auto"/>
              <w:bottom w:val="single" w:sz="4" w:space="0" w:color="auto"/>
              <w:right w:val="single" w:sz="4" w:space="0" w:color="auto"/>
            </w:tcBorders>
            <w:vAlign w:val="center"/>
            <w:hideMark/>
          </w:tcPr>
          <w:p w14:paraId="1815612F" w14:textId="77777777" w:rsidR="008E5BCA" w:rsidRPr="008E5BCA" w:rsidRDefault="008E5BCA" w:rsidP="008E5BCA">
            <w:pPr>
              <w:jc w:val="center"/>
              <w:rPr>
                <w:rFonts w:asciiTheme="majorBidi" w:eastAsia="Google Sans Text" w:hAnsiTheme="majorBidi" w:cstheme="majorBidi"/>
                <w:b/>
                <w:bCs/>
                <w:color w:val="444746"/>
                <w:sz w:val="24"/>
                <w:szCs w:val="24"/>
                <w:vertAlign w:val="superscript"/>
              </w:rPr>
            </w:pPr>
            <w:r w:rsidRPr="008E5BCA">
              <w:rPr>
                <w:rFonts w:asciiTheme="majorBidi" w:eastAsia="Google Sans Text" w:hAnsiTheme="majorBidi" w:cstheme="majorBidi"/>
                <w:b/>
                <w:bCs/>
                <w:color w:val="444746"/>
                <w:sz w:val="24"/>
                <w:szCs w:val="24"/>
                <w:vertAlign w:val="superscript"/>
              </w:rPr>
              <w:t>Model</w:t>
            </w:r>
          </w:p>
        </w:tc>
        <w:tc>
          <w:tcPr>
            <w:tcW w:w="875" w:type="dxa"/>
            <w:tcBorders>
              <w:top w:val="single" w:sz="4" w:space="0" w:color="auto"/>
              <w:bottom w:val="single" w:sz="4" w:space="0" w:color="auto"/>
            </w:tcBorders>
            <w:vAlign w:val="center"/>
            <w:hideMark/>
          </w:tcPr>
          <w:p w14:paraId="073E187A" w14:textId="77777777" w:rsidR="008E5BCA" w:rsidRPr="008E5BCA" w:rsidRDefault="008E5BCA" w:rsidP="008E5BCA">
            <w:pPr>
              <w:jc w:val="center"/>
              <w:rPr>
                <w:rFonts w:asciiTheme="majorBidi" w:eastAsia="Google Sans Text" w:hAnsiTheme="majorBidi" w:cstheme="majorBidi"/>
                <w:b/>
                <w:bCs/>
                <w:color w:val="444746"/>
                <w:sz w:val="24"/>
                <w:szCs w:val="24"/>
                <w:vertAlign w:val="superscript"/>
              </w:rPr>
            </w:pPr>
            <w:r w:rsidRPr="008E5BCA">
              <w:rPr>
                <w:rFonts w:asciiTheme="majorBidi" w:eastAsia="Google Sans Text" w:hAnsiTheme="majorBidi" w:cstheme="majorBidi"/>
                <w:b/>
                <w:bCs/>
                <w:color w:val="444746"/>
                <w:sz w:val="24"/>
                <w:szCs w:val="24"/>
                <w:vertAlign w:val="superscript"/>
              </w:rPr>
              <w:t>RMSE</w:t>
            </w:r>
          </w:p>
        </w:tc>
        <w:tc>
          <w:tcPr>
            <w:tcW w:w="1050" w:type="dxa"/>
            <w:tcBorders>
              <w:top w:val="single" w:sz="4" w:space="0" w:color="auto"/>
              <w:left w:val="single" w:sz="4" w:space="0" w:color="auto"/>
              <w:bottom w:val="single" w:sz="4" w:space="0" w:color="auto"/>
              <w:right w:val="single" w:sz="4" w:space="0" w:color="auto"/>
            </w:tcBorders>
            <w:vAlign w:val="center"/>
            <w:hideMark/>
          </w:tcPr>
          <w:p w14:paraId="743DAFF9" w14:textId="77777777" w:rsidR="008E5BCA" w:rsidRPr="008E5BCA" w:rsidRDefault="008E5BCA" w:rsidP="008E5BCA">
            <w:pPr>
              <w:jc w:val="center"/>
              <w:rPr>
                <w:rFonts w:asciiTheme="majorBidi" w:eastAsia="Google Sans Text" w:hAnsiTheme="majorBidi" w:cstheme="majorBidi"/>
                <w:b/>
                <w:bCs/>
                <w:color w:val="444746"/>
                <w:sz w:val="24"/>
                <w:szCs w:val="24"/>
                <w:vertAlign w:val="superscript"/>
              </w:rPr>
            </w:pPr>
            <w:r w:rsidRPr="008E5BCA">
              <w:rPr>
                <w:rFonts w:asciiTheme="majorBidi" w:eastAsia="Google Sans Text" w:hAnsiTheme="majorBidi" w:cstheme="majorBidi"/>
                <w:b/>
                <w:bCs/>
                <w:color w:val="444746"/>
                <w:sz w:val="24"/>
                <w:szCs w:val="24"/>
                <w:vertAlign w:val="superscript"/>
              </w:rPr>
              <w:t>MAE</w:t>
            </w:r>
          </w:p>
        </w:tc>
        <w:tc>
          <w:tcPr>
            <w:tcW w:w="2040" w:type="dxa"/>
            <w:tcBorders>
              <w:top w:val="single" w:sz="4" w:space="0" w:color="auto"/>
              <w:bottom w:val="single" w:sz="4" w:space="0" w:color="auto"/>
              <w:right w:val="single" w:sz="4" w:space="0" w:color="auto"/>
            </w:tcBorders>
            <w:vAlign w:val="center"/>
            <w:hideMark/>
          </w:tcPr>
          <w:p w14:paraId="7D94D160" w14:textId="77777777" w:rsidR="008E5BCA" w:rsidRPr="008E5BCA" w:rsidRDefault="008E5BCA" w:rsidP="008E5BCA">
            <w:pPr>
              <w:jc w:val="center"/>
              <w:rPr>
                <w:rFonts w:asciiTheme="majorBidi" w:eastAsia="Google Sans Text" w:hAnsiTheme="majorBidi" w:cstheme="majorBidi"/>
                <w:b/>
                <w:bCs/>
                <w:color w:val="444746"/>
                <w:sz w:val="24"/>
                <w:szCs w:val="24"/>
                <w:vertAlign w:val="superscript"/>
              </w:rPr>
            </w:pPr>
            <w:r w:rsidRPr="008E5BCA">
              <w:rPr>
                <w:rFonts w:asciiTheme="majorBidi" w:eastAsia="Google Sans Text" w:hAnsiTheme="majorBidi" w:cstheme="majorBidi"/>
                <w:b/>
                <w:bCs/>
                <w:color w:val="444746"/>
                <w:sz w:val="24"/>
                <w:szCs w:val="24"/>
                <w:vertAlign w:val="superscript"/>
              </w:rPr>
              <w:t>Directional Accuracy</w:t>
            </w:r>
          </w:p>
        </w:tc>
        <w:tc>
          <w:tcPr>
            <w:tcW w:w="2901" w:type="dxa"/>
            <w:tcBorders>
              <w:top w:val="single" w:sz="4" w:space="0" w:color="auto"/>
              <w:bottom w:val="single" w:sz="4" w:space="0" w:color="auto"/>
            </w:tcBorders>
            <w:vAlign w:val="center"/>
            <w:hideMark/>
          </w:tcPr>
          <w:p w14:paraId="51313BB2" w14:textId="77777777" w:rsidR="008E5BCA" w:rsidRPr="008E5BCA" w:rsidRDefault="008E5BCA" w:rsidP="008E5BCA">
            <w:pPr>
              <w:jc w:val="center"/>
              <w:rPr>
                <w:rFonts w:asciiTheme="majorBidi" w:eastAsia="Google Sans Text" w:hAnsiTheme="majorBidi" w:cstheme="majorBidi"/>
                <w:b/>
                <w:bCs/>
                <w:color w:val="444746"/>
                <w:sz w:val="24"/>
                <w:szCs w:val="24"/>
                <w:vertAlign w:val="superscript"/>
              </w:rPr>
            </w:pPr>
            <w:r w:rsidRPr="008E5BCA">
              <w:rPr>
                <w:rFonts w:asciiTheme="majorBidi" w:eastAsia="Google Sans Text" w:hAnsiTheme="majorBidi" w:cstheme="majorBidi"/>
                <w:b/>
                <w:bCs/>
                <w:color w:val="444746"/>
                <w:sz w:val="24"/>
                <w:szCs w:val="24"/>
                <w:vertAlign w:val="superscript"/>
              </w:rPr>
              <w:t>Interpretation</w:t>
            </w:r>
          </w:p>
        </w:tc>
      </w:tr>
      <w:tr w:rsidR="008E5BCA" w:rsidRPr="008E5BCA" w14:paraId="366B4052" w14:textId="77777777" w:rsidTr="00285F6E">
        <w:trPr>
          <w:tblCellSpacing w:w="15" w:type="dxa"/>
        </w:trPr>
        <w:tc>
          <w:tcPr>
            <w:tcW w:w="0" w:type="auto"/>
            <w:tcBorders>
              <w:top w:val="single" w:sz="4" w:space="0" w:color="auto"/>
              <w:bottom w:val="single" w:sz="4" w:space="0" w:color="auto"/>
              <w:right w:val="single" w:sz="4" w:space="0" w:color="auto"/>
            </w:tcBorders>
            <w:vAlign w:val="center"/>
            <w:hideMark/>
          </w:tcPr>
          <w:p w14:paraId="75C98E2F" w14:textId="77777777" w:rsidR="008E5BCA" w:rsidRPr="008E5BCA" w:rsidRDefault="008E5BCA" w:rsidP="008E5BCA">
            <w:pPr>
              <w:jc w:val="center"/>
              <w:rPr>
                <w:rFonts w:asciiTheme="majorBidi" w:eastAsia="Google Sans Text" w:hAnsiTheme="majorBidi" w:cstheme="majorBidi"/>
                <w:color w:val="444746"/>
                <w:sz w:val="24"/>
                <w:szCs w:val="24"/>
                <w:vertAlign w:val="superscript"/>
              </w:rPr>
            </w:pPr>
            <w:r w:rsidRPr="008E5BCA">
              <w:rPr>
                <w:rFonts w:asciiTheme="majorBidi" w:eastAsia="Google Sans Text" w:hAnsiTheme="majorBidi" w:cstheme="majorBidi"/>
                <w:color w:val="444746"/>
                <w:sz w:val="24"/>
                <w:szCs w:val="24"/>
                <w:vertAlign w:val="superscript"/>
              </w:rPr>
              <w:t>XGBoost</w:t>
            </w:r>
          </w:p>
        </w:tc>
        <w:tc>
          <w:tcPr>
            <w:tcW w:w="875" w:type="dxa"/>
            <w:tcBorders>
              <w:top w:val="single" w:sz="4" w:space="0" w:color="auto"/>
              <w:bottom w:val="single" w:sz="4" w:space="0" w:color="auto"/>
            </w:tcBorders>
            <w:vAlign w:val="center"/>
            <w:hideMark/>
          </w:tcPr>
          <w:p w14:paraId="50609EBA" w14:textId="77777777" w:rsidR="008E5BCA" w:rsidRPr="008E5BCA" w:rsidRDefault="008E5BCA" w:rsidP="008E5BCA">
            <w:pPr>
              <w:jc w:val="center"/>
              <w:rPr>
                <w:rFonts w:asciiTheme="majorBidi" w:eastAsia="Google Sans Text" w:hAnsiTheme="majorBidi" w:cstheme="majorBidi"/>
                <w:color w:val="444746"/>
                <w:sz w:val="24"/>
                <w:szCs w:val="24"/>
                <w:vertAlign w:val="superscript"/>
              </w:rPr>
            </w:pPr>
            <w:r w:rsidRPr="008E5BCA">
              <w:rPr>
                <w:rFonts w:asciiTheme="majorBidi" w:eastAsia="Google Sans Text" w:hAnsiTheme="majorBidi" w:cstheme="majorBidi"/>
                <w:color w:val="444746"/>
                <w:sz w:val="24"/>
                <w:szCs w:val="24"/>
                <w:vertAlign w:val="superscript"/>
              </w:rPr>
              <w:t>~0.39</w:t>
            </w:r>
          </w:p>
        </w:tc>
        <w:tc>
          <w:tcPr>
            <w:tcW w:w="1050" w:type="dxa"/>
            <w:tcBorders>
              <w:top w:val="single" w:sz="4" w:space="0" w:color="auto"/>
              <w:left w:val="single" w:sz="4" w:space="0" w:color="auto"/>
              <w:bottom w:val="single" w:sz="4" w:space="0" w:color="auto"/>
              <w:right w:val="single" w:sz="4" w:space="0" w:color="auto"/>
            </w:tcBorders>
            <w:vAlign w:val="center"/>
            <w:hideMark/>
          </w:tcPr>
          <w:p w14:paraId="25B636F0" w14:textId="77777777" w:rsidR="008E5BCA" w:rsidRPr="008E5BCA" w:rsidRDefault="008E5BCA" w:rsidP="008E5BCA">
            <w:pPr>
              <w:jc w:val="center"/>
              <w:rPr>
                <w:rFonts w:asciiTheme="majorBidi" w:eastAsia="Google Sans Text" w:hAnsiTheme="majorBidi" w:cstheme="majorBidi"/>
                <w:color w:val="444746"/>
                <w:sz w:val="24"/>
                <w:szCs w:val="24"/>
                <w:vertAlign w:val="superscript"/>
              </w:rPr>
            </w:pPr>
            <w:r w:rsidRPr="008E5BCA">
              <w:rPr>
                <w:rFonts w:asciiTheme="majorBidi" w:eastAsia="Google Sans Text" w:hAnsiTheme="majorBidi" w:cstheme="majorBidi"/>
                <w:color w:val="444746"/>
                <w:sz w:val="24"/>
                <w:szCs w:val="24"/>
                <w:vertAlign w:val="superscript"/>
              </w:rPr>
              <w:t>~0.14</w:t>
            </w:r>
          </w:p>
        </w:tc>
        <w:tc>
          <w:tcPr>
            <w:tcW w:w="2040" w:type="dxa"/>
            <w:tcBorders>
              <w:top w:val="single" w:sz="4" w:space="0" w:color="auto"/>
              <w:bottom w:val="single" w:sz="4" w:space="0" w:color="auto"/>
              <w:right w:val="single" w:sz="4" w:space="0" w:color="auto"/>
            </w:tcBorders>
            <w:vAlign w:val="center"/>
            <w:hideMark/>
          </w:tcPr>
          <w:p w14:paraId="5A666835" w14:textId="77777777" w:rsidR="008E5BCA" w:rsidRPr="008E5BCA" w:rsidRDefault="008E5BCA" w:rsidP="008E5BCA">
            <w:pPr>
              <w:jc w:val="center"/>
              <w:rPr>
                <w:rFonts w:asciiTheme="majorBidi" w:eastAsia="Google Sans Text" w:hAnsiTheme="majorBidi" w:cstheme="majorBidi"/>
                <w:color w:val="444746"/>
                <w:sz w:val="24"/>
                <w:szCs w:val="24"/>
                <w:vertAlign w:val="superscript"/>
              </w:rPr>
            </w:pPr>
            <w:r w:rsidRPr="008E5BCA">
              <w:rPr>
                <w:rFonts w:asciiTheme="majorBidi" w:eastAsia="Google Sans Text" w:hAnsiTheme="majorBidi" w:cstheme="majorBidi"/>
                <w:color w:val="444746"/>
                <w:sz w:val="24"/>
                <w:szCs w:val="24"/>
                <w:vertAlign w:val="superscript"/>
              </w:rPr>
              <w:t>~0.98</w:t>
            </w:r>
          </w:p>
        </w:tc>
        <w:tc>
          <w:tcPr>
            <w:tcW w:w="2901" w:type="dxa"/>
            <w:tcBorders>
              <w:top w:val="single" w:sz="4" w:space="0" w:color="auto"/>
              <w:bottom w:val="single" w:sz="4" w:space="0" w:color="auto"/>
            </w:tcBorders>
            <w:vAlign w:val="center"/>
            <w:hideMark/>
          </w:tcPr>
          <w:p w14:paraId="25B89CFC" w14:textId="77777777" w:rsidR="008E5BCA" w:rsidRPr="008E5BCA" w:rsidRDefault="008E5BCA" w:rsidP="008E5BCA">
            <w:pPr>
              <w:jc w:val="center"/>
              <w:rPr>
                <w:rFonts w:asciiTheme="majorBidi" w:eastAsia="Google Sans Text" w:hAnsiTheme="majorBidi" w:cstheme="majorBidi"/>
                <w:color w:val="444746"/>
                <w:sz w:val="24"/>
                <w:szCs w:val="24"/>
                <w:vertAlign w:val="superscript"/>
              </w:rPr>
            </w:pPr>
            <w:r w:rsidRPr="008E5BCA">
              <w:rPr>
                <w:rFonts w:asciiTheme="majorBidi" w:eastAsia="Google Sans Text" w:hAnsiTheme="majorBidi" w:cstheme="majorBidi"/>
                <w:color w:val="444746"/>
                <w:sz w:val="24"/>
                <w:szCs w:val="24"/>
                <w:vertAlign w:val="superscript"/>
              </w:rPr>
              <w:t>Best numerical accuracy and strongest directional performance</w:t>
            </w:r>
          </w:p>
        </w:tc>
      </w:tr>
      <w:tr w:rsidR="008E5BCA" w:rsidRPr="008E5BCA" w14:paraId="7F8DD038" w14:textId="77777777" w:rsidTr="00285F6E">
        <w:trPr>
          <w:tblCellSpacing w:w="15" w:type="dxa"/>
        </w:trPr>
        <w:tc>
          <w:tcPr>
            <w:tcW w:w="0" w:type="auto"/>
            <w:tcBorders>
              <w:right w:val="single" w:sz="4" w:space="0" w:color="auto"/>
            </w:tcBorders>
            <w:vAlign w:val="center"/>
            <w:hideMark/>
          </w:tcPr>
          <w:p w14:paraId="4B8F5C49" w14:textId="77777777" w:rsidR="008E5BCA" w:rsidRPr="008E5BCA" w:rsidRDefault="008E5BCA" w:rsidP="008E5BCA">
            <w:pPr>
              <w:jc w:val="center"/>
              <w:rPr>
                <w:rFonts w:asciiTheme="majorBidi" w:eastAsia="Google Sans Text" w:hAnsiTheme="majorBidi" w:cstheme="majorBidi"/>
                <w:color w:val="444746"/>
                <w:sz w:val="24"/>
                <w:szCs w:val="24"/>
                <w:vertAlign w:val="superscript"/>
              </w:rPr>
            </w:pPr>
            <w:r w:rsidRPr="008E5BCA">
              <w:rPr>
                <w:rFonts w:asciiTheme="majorBidi" w:eastAsia="Google Sans Text" w:hAnsiTheme="majorBidi" w:cstheme="majorBidi"/>
                <w:color w:val="444746"/>
                <w:sz w:val="24"/>
                <w:szCs w:val="24"/>
                <w:vertAlign w:val="superscript"/>
              </w:rPr>
              <w:t>LSTM</w:t>
            </w:r>
          </w:p>
        </w:tc>
        <w:tc>
          <w:tcPr>
            <w:tcW w:w="875" w:type="dxa"/>
            <w:vAlign w:val="center"/>
            <w:hideMark/>
          </w:tcPr>
          <w:p w14:paraId="55D435D5" w14:textId="77777777" w:rsidR="008E5BCA" w:rsidRPr="008E5BCA" w:rsidRDefault="008E5BCA" w:rsidP="008E5BCA">
            <w:pPr>
              <w:jc w:val="center"/>
              <w:rPr>
                <w:rFonts w:asciiTheme="majorBidi" w:eastAsia="Google Sans Text" w:hAnsiTheme="majorBidi" w:cstheme="majorBidi"/>
                <w:color w:val="444746"/>
                <w:sz w:val="24"/>
                <w:szCs w:val="24"/>
                <w:vertAlign w:val="superscript"/>
              </w:rPr>
            </w:pPr>
            <w:r w:rsidRPr="008E5BCA">
              <w:rPr>
                <w:rFonts w:asciiTheme="majorBidi" w:eastAsia="Google Sans Text" w:hAnsiTheme="majorBidi" w:cstheme="majorBidi"/>
                <w:color w:val="444746"/>
                <w:sz w:val="24"/>
                <w:szCs w:val="24"/>
                <w:vertAlign w:val="superscript"/>
              </w:rPr>
              <w:t>~2.81</w:t>
            </w:r>
          </w:p>
        </w:tc>
        <w:tc>
          <w:tcPr>
            <w:tcW w:w="1050" w:type="dxa"/>
            <w:tcBorders>
              <w:left w:val="single" w:sz="4" w:space="0" w:color="auto"/>
              <w:right w:val="single" w:sz="4" w:space="0" w:color="auto"/>
            </w:tcBorders>
            <w:vAlign w:val="center"/>
            <w:hideMark/>
          </w:tcPr>
          <w:p w14:paraId="49221A00" w14:textId="77777777" w:rsidR="008E5BCA" w:rsidRPr="008E5BCA" w:rsidRDefault="008E5BCA" w:rsidP="008E5BCA">
            <w:pPr>
              <w:jc w:val="center"/>
              <w:rPr>
                <w:rFonts w:asciiTheme="majorBidi" w:eastAsia="Google Sans Text" w:hAnsiTheme="majorBidi" w:cstheme="majorBidi"/>
                <w:color w:val="444746"/>
                <w:sz w:val="24"/>
                <w:szCs w:val="24"/>
                <w:vertAlign w:val="superscript"/>
              </w:rPr>
            </w:pPr>
            <w:r w:rsidRPr="008E5BCA">
              <w:rPr>
                <w:rFonts w:asciiTheme="majorBidi" w:eastAsia="Google Sans Text" w:hAnsiTheme="majorBidi" w:cstheme="majorBidi"/>
                <w:color w:val="444746"/>
                <w:sz w:val="24"/>
                <w:szCs w:val="24"/>
                <w:vertAlign w:val="superscript"/>
              </w:rPr>
              <w:t>~2.10</w:t>
            </w:r>
          </w:p>
        </w:tc>
        <w:tc>
          <w:tcPr>
            <w:tcW w:w="2040" w:type="dxa"/>
            <w:tcBorders>
              <w:right w:val="single" w:sz="4" w:space="0" w:color="auto"/>
            </w:tcBorders>
            <w:vAlign w:val="center"/>
            <w:hideMark/>
          </w:tcPr>
          <w:p w14:paraId="3C4C41E0" w14:textId="77777777" w:rsidR="008E5BCA" w:rsidRPr="008E5BCA" w:rsidRDefault="008E5BCA" w:rsidP="008E5BCA">
            <w:pPr>
              <w:jc w:val="center"/>
              <w:rPr>
                <w:rFonts w:asciiTheme="majorBidi" w:eastAsia="Google Sans Text" w:hAnsiTheme="majorBidi" w:cstheme="majorBidi"/>
                <w:color w:val="444746"/>
                <w:sz w:val="24"/>
                <w:szCs w:val="24"/>
                <w:vertAlign w:val="superscript"/>
              </w:rPr>
            </w:pPr>
            <w:r w:rsidRPr="008E5BCA">
              <w:rPr>
                <w:rFonts w:asciiTheme="majorBidi" w:eastAsia="Google Sans Text" w:hAnsiTheme="majorBidi" w:cstheme="majorBidi"/>
                <w:color w:val="444746"/>
                <w:sz w:val="24"/>
                <w:szCs w:val="24"/>
                <w:vertAlign w:val="superscript"/>
              </w:rPr>
              <w:t>~0.47</w:t>
            </w:r>
          </w:p>
        </w:tc>
        <w:tc>
          <w:tcPr>
            <w:tcW w:w="2901" w:type="dxa"/>
            <w:vAlign w:val="center"/>
            <w:hideMark/>
          </w:tcPr>
          <w:p w14:paraId="5487F9FA" w14:textId="77777777" w:rsidR="008E5BCA" w:rsidRPr="008E5BCA" w:rsidRDefault="008E5BCA" w:rsidP="008E5BCA">
            <w:pPr>
              <w:jc w:val="center"/>
              <w:rPr>
                <w:rFonts w:asciiTheme="majorBidi" w:eastAsia="Google Sans Text" w:hAnsiTheme="majorBidi" w:cstheme="majorBidi"/>
                <w:color w:val="444746"/>
                <w:sz w:val="24"/>
                <w:szCs w:val="24"/>
                <w:vertAlign w:val="superscript"/>
              </w:rPr>
            </w:pPr>
            <w:r w:rsidRPr="008E5BCA">
              <w:rPr>
                <w:rFonts w:asciiTheme="majorBidi" w:eastAsia="Google Sans Text" w:hAnsiTheme="majorBidi" w:cstheme="majorBidi"/>
                <w:color w:val="444746"/>
                <w:sz w:val="24"/>
                <w:szCs w:val="24"/>
                <w:vertAlign w:val="superscript"/>
              </w:rPr>
              <w:t>Weak generalization and poor directional prediction</w:t>
            </w:r>
          </w:p>
        </w:tc>
      </w:tr>
      <w:tr w:rsidR="008E5BCA" w:rsidRPr="008E5BCA" w14:paraId="026CA31B" w14:textId="77777777" w:rsidTr="00285F6E">
        <w:trPr>
          <w:tblCellSpacing w:w="15" w:type="dxa"/>
        </w:trPr>
        <w:tc>
          <w:tcPr>
            <w:tcW w:w="0" w:type="auto"/>
            <w:tcBorders>
              <w:top w:val="single" w:sz="4" w:space="0" w:color="auto"/>
              <w:right w:val="single" w:sz="4" w:space="0" w:color="auto"/>
            </w:tcBorders>
            <w:vAlign w:val="center"/>
            <w:hideMark/>
          </w:tcPr>
          <w:p w14:paraId="7E7A03D4" w14:textId="77777777" w:rsidR="008E5BCA" w:rsidRPr="008E5BCA" w:rsidRDefault="008E5BCA" w:rsidP="008E5BCA">
            <w:pPr>
              <w:jc w:val="center"/>
              <w:rPr>
                <w:rFonts w:asciiTheme="majorBidi" w:eastAsia="Google Sans Text" w:hAnsiTheme="majorBidi" w:cstheme="majorBidi"/>
                <w:color w:val="444746"/>
                <w:sz w:val="24"/>
                <w:szCs w:val="24"/>
                <w:vertAlign w:val="superscript"/>
              </w:rPr>
            </w:pPr>
            <w:r w:rsidRPr="008E5BCA">
              <w:rPr>
                <w:rFonts w:asciiTheme="majorBidi" w:eastAsia="Google Sans Text" w:hAnsiTheme="majorBidi" w:cstheme="majorBidi"/>
                <w:color w:val="444746"/>
                <w:sz w:val="24"/>
                <w:szCs w:val="24"/>
                <w:vertAlign w:val="superscript"/>
              </w:rPr>
              <w:t>Hybrid (Residual-Based)</w:t>
            </w:r>
          </w:p>
        </w:tc>
        <w:tc>
          <w:tcPr>
            <w:tcW w:w="875" w:type="dxa"/>
            <w:tcBorders>
              <w:top w:val="single" w:sz="4" w:space="0" w:color="auto"/>
            </w:tcBorders>
            <w:vAlign w:val="center"/>
            <w:hideMark/>
          </w:tcPr>
          <w:p w14:paraId="29F1D63A" w14:textId="5E3215B2" w:rsidR="008E5BCA" w:rsidRPr="008E5BCA" w:rsidRDefault="00285F6E" w:rsidP="00285F6E">
            <w:pPr>
              <w:jc w:val="center"/>
              <w:rPr>
                <w:rFonts w:asciiTheme="majorBidi" w:eastAsia="Google Sans Text" w:hAnsiTheme="majorBidi" w:cstheme="majorBidi"/>
                <w:color w:val="444746"/>
                <w:sz w:val="24"/>
                <w:szCs w:val="24"/>
                <w:vertAlign w:val="superscript"/>
              </w:rPr>
            </w:pPr>
            <w:r w:rsidRPr="00285F6E">
              <w:rPr>
                <w:rFonts w:asciiTheme="majorBidi" w:eastAsia="Google Sans Text" w:hAnsiTheme="majorBidi" w:cstheme="majorBidi"/>
                <w:color w:val="444746"/>
                <w:sz w:val="24"/>
                <w:szCs w:val="24"/>
                <w:vertAlign w:val="superscript"/>
              </w:rPr>
              <w:t>~0.38</w:t>
            </w:r>
          </w:p>
        </w:tc>
        <w:tc>
          <w:tcPr>
            <w:tcW w:w="1050" w:type="dxa"/>
            <w:tcBorders>
              <w:top w:val="single" w:sz="4" w:space="0" w:color="auto"/>
              <w:left w:val="single" w:sz="4" w:space="0" w:color="auto"/>
              <w:right w:val="single" w:sz="4" w:space="0" w:color="auto"/>
            </w:tcBorders>
            <w:vAlign w:val="center"/>
            <w:hideMark/>
          </w:tcPr>
          <w:p w14:paraId="3DB42C70" w14:textId="264B1640" w:rsidR="008E5BCA" w:rsidRPr="008E5BCA" w:rsidRDefault="00285F6E" w:rsidP="00285F6E">
            <w:pPr>
              <w:jc w:val="center"/>
              <w:rPr>
                <w:rFonts w:asciiTheme="majorBidi" w:eastAsia="Google Sans Text" w:hAnsiTheme="majorBidi" w:cstheme="majorBidi"/>
                <w:color w:val="444746"/>
                <w:sz w:val="24"/>
                <w:szCs w:val="24"/>
                <w:vertAlign w:val="superscript"/>
              </w:rPr>
            </w:pPr>
            <w:r w:rsidRPr="00285F6E">
              <w:rPr>
                <w:rFonts w:asciiTheme="majorBidi" w:eastAsia="Google Sans Text" w:hAnsiTheme="majorBidi" w:cstheme="majorBidi"/>
                <w:color w:val="444746"/>
                <w:sz w:val="24"/>
                <w:szCs w:val="24"/>
                <w:vertAlign w:val="superscript"/>
              </w:rPr>
              <w:t>~0.13</w:t>
            </w:r>
          </w:p>
        </w:tc>
        <w:tc>
          <w:tcPr>
            <w:tcW w:w="2040" w:type="dxa"/>
            <w:tcBorders>
              <w:top w:val="single" w:sz="4" w:space="0" w:color="auto"/>
              <w:right w:val="single" w:sz="4" w:space="0" w:color="auto"/>
            </w:tcBorders>
            <w:vAlign w:val="center"/>
            <w:hideMark/>
          </w:tcPr>
          <w:p w14:paraId="44199576" w14:textId="30D82CDA" w:rsidR="008E5BCA" w:rsidRPr="008E5BCA" w:rsidRDefault="00285F6E" w:rsidP="00285F6E">
            <w:pPr>
              <w:jc w:val="center"/>
              <w:rPr>
                <w:rFonts w:asciiTheme="majorBidi" w:eastAsia="Google Sans Text" w:hAnsiTheme="majorBidi" w:cstheme="majorBidi"/>
                <w:color w:val="444746"/>
                <w:sz w:val="24"/>
                <w:szCs w:val="24"/>
                <w:vertAlign w:val="superscript"/>
              </w:rPr>
            </w:pPr>
            <w:r w:rsidRPr="00285F6E">
              <w:rPr>
                <w:rFonts w:asciiTheme="majorBidi" w:eastAsia="Google Sans Text" w:hAnsiTheme="majorBidi" w:cstheme="majorBidi"/>
                <w:color w:val="444746"/>
                <w:sz w:val="24"/>
                <w:szCs w:val="24"/>
                <w:vertAlign w:val="superscript"/>
              </w:rPr>
              <w:t>~0.98</w:t>
            </w:r>
          </w:p>
        </w:tc>
        <w:tc>
          <w:tcPr>
            <w:tcW w:w="2901" w:type="dxa"/>
            <w:tcBorders>
              <w:top w:val="single" w:sz="4" w:space="0" w:color="auto"/>
            </w:tcBorders>
            <w:vAlign w:val="center"/>
            <w:hideMark/>
          </w:tcPr>
          <w:p w14:paraId="2487A25E" w14:textId="77777777" w:rsidR="008E5BCA" w:rsidRPr="008E5BCA" w:rsidRDefault="008E5BCA" w:rsidP="008E5BCA">
            <w:pPr>
              <w:jc w:val="center"/>
              <w:rPr>
                <w:rFonts w:asciiTheme="majorBidi" w:eastAsia="Google Sans Text" w:hAnsiTheme="majorBidi" w:cstheme="majorBidi"/>
                <w:color w:val="444746"/>
                <w:sz w:val="24"/>
                <w:szCs w:val="24"/>
                <w:vertAlign w:val="superscript"/>
              </w:rPr>
            </w:pPr>
            <w:r w:rsidRPr="008E5BCA">
              <w:rPr>
                <w:rFonts w:asciiTheme="majorBidi" w:eastAsia="Google Sans Text" w:hAnsiTheme="majorBidi" w:cstheme="majorBidi"/>
                <w:color w:val="444746"/>
                <w:sz w:val="24"/>
                <w:szCs w:val="24"/>
                <w:vertAlign w:val="superscript"/>
              </w:rPr>
              <w:t>Strong directional signals with increased variance</w:t>
            </w:r>
          </w:p>
        </w:tc>
      </w:tr>
    </w:tbl>
    <w:p w14:paraId="6B4AD1B6" w14:textId="77777777" w:rsidR="00E91FE1" w:rsidRDefault="00E91FE1" w:rsidP="005D781E">
      <w:pPr>
        <w:rPr>
          <w:rFonts w:asciiTheme="majorBidi" w:eastAsia="Google Sans Text" w:hAnsiTheme="majorBidi" w:cstheme="majorBidi"/>
          <w:color w:val="444746"/>
          <w:sz w:val="32"/>
          <w:szCs w:val="32"/>
          <w:vertAlign w:val="superscript"/>
        </w:rPr>
      </w:pPr>
    </w:p>
    <w:p w14:paraId="469D95CB" w14:textId="268867A3" w:rsidR="008E5BCA" w:rsidRDefault="008E5BCA" w:rsidP="008E5BCA">
      <w:pPr>
        <w:jc w:val="center"/>
        <w:rPr>
          <w:rFonts w:asciiTheme="majorBidi" w:eastAsia="Google Sans Text" w:hAnsiTheme="majorBidi" w:cstheme="majorBidi"/>
          <w:color w:val="444746"/>
          <w:sz w:val="32"/>
          <w:szCs w:val="32"/>
          <w:vertAlign w:val="superscript"/>
          <w:rtl/>
        </w:rPr>
      </w:pPr>
      <w:r w:rsidRPr="00C108CC">
        <w:rPr>
          <w:rFonts w:asciiTheme="majorBidi" w:eastAsia="Google Sans Text" w:hAnsiTheme="majorBidi" w:cstheme="majorBidi"/>
          <w:color w:val="444746"/>
          <w:sz w:val="24"/>
          <w:szCs w:val="24"/>
          <w:vertAlign w:val="superscript"/>
        </w:rPr>
        <w:t>Table 5.1: Comparative Performance of the Forecasting Models on the Test Set</w:t>
      </w:r>
    </w:p>
    <w:p w14:paraId="709087E8" w14:textId="30FA27FA" w:rsidR="00972315" w:rsidRPr="00972315" w:rsidRDefault="00972315" w:rsidP="00972315">
      <w:pPr>
        <w:rPr>
          <w:rFonts w:asciiTheme="majorBidi" w:eastAsia="Google Sans Text" w:hAnsiTheme="majorBidi" w:cstheme="majorBidi"/>
          <w:color w:val="444746"/>
          <w:sz w:val="32"/>
          <w:szCs w:val="32"/>
          <w:vertAlign w:val="superscript"/>
        </w:rPr>
      </w:pPr>
      <w:r w:rsidRPr="00972315">
        <w:rPr>
          <w:rFonts w:asciiTheme="majorBidi" w:eastAsia="Google Sans Text" w:hAnsiTheme="majorBidi" w:cstheme="majorBidi"/>
          <w:color w:val="444746"/>
          <w:sz w:val="32"/>
          <w:szCs w:val="32"/>
          <w:vertAlign w:val="superscript"/>
        </w:rPr>
        <w:t>The standalone XGBoost model clearly demonstrates the strongest overall performance in terms of point forecasting accuracy, achieving the lowest RMSE and MAE values. This reflects its ability to exploit nonlinear interactions among engineered features and to remain stable under volatile market conditions.</w:t>
      </w:r>
    </w:p>
    <w:p w14:paraId="5C752ABB" w14:textId="688CBC63" w:rsidR="00972315" w:rsidRPr="00972315" w:rsidRDefault="00972315" w:rsidP="00972315">
      <w:pPr>
        <w:rPr>
          <w:rFonts w:asciiTheme="majorBidi" w:eastAsia="Google Sans Text" w:hAnsiTheme="majorBidi" w:cstheme="majorBidi"/>
          <w:color w:val="444746"/>
          <w:sz w:val="32"/>
          <w:szCs w:val="32"/>
          <w:vertAlign w:val="superscript"/>
        </w:rPr>
      </w:pPr>
      <w:r w:rsidRPr="00972315">
        <w:rPr>
          <w:rFonts w:asciiTheme="majorBidi" w:eastAsia="Google Sans Text" w:hAnsiTheme="majorBidi" w:cstheme="majorBidi"/>
          <w:color w:val="444746"/>
          <w:sz w:val="32"/>
          <w:szCs w:val="32"/>
          <w:vertAlign w:val="superscript"/>
        </w:rPr>
        <w:t>In contrast, the standalone LSTM model shows limited predictive capability. Its relatively high error values and low directional accuracy indicate difficulty in generalizing the test period, which is characterized by regime shifts and abrupt price movements.</w:t>
      </w:r>
    </w:p>
    <w:p w14:paraId="2BFD480F" w14:textId="7AFEF81F" w:rsidR="00972315" w:rsidRPr="00203199" w:rsidRDefault="00972315" w:rsidP="00203199">
      <w:pPr>
        <w:rPr>
          <w:rFonts w:asciiTheme="majorBidi" w:eastAsia="Google Sans Text" w:hAnsiTheme="majorBidi" w:cstheme="majorBidi"/>
          <w:color w:val="444746"/>
          <w:sz w:val="32"/>
          <w:szCs w:val="32"/>
          <w:vertAlign w:val="superscript"/>
          <w:rtl/>
        </w:rPr>
      </w:pPr>
      <w:r w:rsidRPr="00972315">
        <w:rPr>
          <w:rFonts w:asciiTheme="majorBidi" w:eastAsia="Google Sans Text" w:hAnsiTheme="majorBidi" w:cstheme="majorBidi"/>
          <w:color w:val="444746"/>
          <w:sz w:val="32"/>
          <w:szCs w:val="32"/>
          <w:vertAlign w:val="superscript"/>
        </w:rPr>
        <w:t>The residual-based hybrid model presents a distinct performance profile. While its numerical errors are higher than those of XGBoost, it achieves directional accuracy that remains competitive. This suggests that the hybrid approach captures additional temporal information that contributes positively to predicting the direction of price changes.</w:t>
      </w:r>
    </w:p>
    <w:p w14:paraId="0FC279E1" w14:textId="07DC5D8B" w:rsidR="00D40398" w:rsidRDefault="000D06EE" w:rsidP="00C108CC">
      <w:pPr>
        <w:rPr>
          <w:rFonts w:asciiTheme="majorBidi" w:eastAsia="Google Sans Text" w:hAnsiTheme="majorBidi" w:cstheme="majorBidi"/>
          <w:b/>
          <w:bCs/>
          <w:color w:val="444746"/>
          <w:sz w:val="32"/>
          <w:szCs w:val="32"/>
          <w:vertAlign w:val="superscript"/>
        </w:rPr>
      </w:pPr>
      <w:r w:rsidRPr="000D06EE">
        <w:rPr>
          <w:rFonts w:asciiTheme="majorBidi" w:eastAsia="Google Sans Text" w:hAnsiTheme="majorBidi" w:cstheme="majorBidi"/>
          <w:b/>
          <w:bCs/>
          <w:color w:val="444746"/>
          <w:sz w:val="32"/>
          <w:szCs w:val="32"/>
          <w:vertAlign w:val="superscript"/>
        </w:rPr>
        <w:t>5.3 Discussion of Results</w:t>
      </w:r>
    </w:p>
    <w:p w14:paraId="07AF9B6A" w14:textId="77777777" w:rsidR="00C531F8" w:rsidRPr="00C531F8" w:rsidRDefault="00C531F8" w:rsidP="00C531F8">
      <w:pPr>
        <w:rPr>
          <w:rFonts w:asciiTheme="majorBidi" w:eastAsia="Google Sans Text" w:hAnsiTheme="majorBidi" w:cstheme="majorBidi"/>
          <w:color w:val="444746"/>
          <w:sz w:val="32"/>
          <w:szCs w:val="32"/>
          <w:vertAlign w:val="superscript"/>
        </w:rPr>
      </w:pPr>
      <w:r w:rsidRPr="00C531F8">
        <w:rPr>
          <w:rFonts w:asciiTheme="majorBidi" w:eastAsia="Google Sans Text" w:hAnsiTheme="majorBidi" w:cstheme="majorBidi"/>
          <w:color w:val="444746"/>
          <w:sz w:val="32"/>
          <w:szCs w:val="32"/>
          <w:vertAlign w:val="superscript"/>
        </w:rPr>
        <w:t>The empirical results provide a nuanced perspective on the effectiveness of hybrid modeling for gold price forecasting. Rather than uniformly outperforming standalone models, the residual-based hybrid approach demonstrates strengths that are complementary to those of XGBoost.</w:t>
      </w:r>
    </w:p>
    <w:p w14:paraId="76E9D552" w14:textId="77777777" w:rsidR="00C531F8" w:rsidRPr="00C531F8" w:rsidRDefault="00C531F8" w:rsidP="00C531F8">
      <w:pPr>
        <w:rPr>
          <w:rFonts w:asciiTheme="majorBidi" w:eastAsia="Google Sans Text" w:hAnsiTheme="majorBidi" w:cstheme="majorBidi"/>
          <w:color w:val="444746"/>
          <w:sz w:val="32"/>
          <w:szCs w:val="32"/>
          <w:vertAlign w:val="superscript"/>
        </w:rPr>
      </w:pPr>
    </w:p>
    <w:p w14:paraId="03A9A440" w14:textId="77777777" w:rsidR="00C531F8" w:rsidRPr="00C531F8" w:rsidRDefault="00C531F8" w:rsidP="00C531F8">
      <w:pPr>
        <w:rPr>
          <w:rFonts w:asciiTheme="majorBidi" w:eastAsia="Google Sans Text" w:hAnsiTheme="majorBidi" w:cstheme="majorBidi"/>
          <w:color w:val="444746"/>
          <w:sz w:val="32"/>
          <w:szCs w:val="32"/>
          <w:vertAlign w:val="superscript"/>
        </w:rPr>
      </w:pPr>
      <w:r w:rsidRPr="00C531F8">
        <w:rPr>
          <w:rFonts w:asciiTheme="majorBidi" w:eastAsia="Google Sans Text" w:hAnsiTheme="majorBidi" w:cstheme="majorBidi"/>
          <w:color w:val="444746"/>
          <w:sz w:val="32"/>
          <w:szCs w:val="32"/>
          <w:vertAlign w:val="superscript"/>
        </w:rPr>
        <w:t>From a modeling standpoint, XGBoost proves particularly well suited to the engineered feature space used in this study. Its tree-based boosting structure effectively captures nonlinear relationships among price-derived features, resulting in superior numerical accuracy. The LSTM model, by contrast, relies on learning long-term temporal dependencies and therefore struggles when the available historical window is limited and the market environment becomes highly volatile.</w:t>
      </w:r>
    </w:p>
    <w:p w14:paraId="1E0EEFA9" w14:textId="77777777" w:rsidR="00C531F8" w:rsidRPr="00C531F8" w:rsidRDefault="00C531F8" w:rsidP="00C531F8">
      <w:pPr>
        <w:rPr>
          <w:rFonts w:asciiTheme="majorBidi" w:eastAsia="Google Sans Text" w:hAnsiTheme="majorBidi" w:cstheme="majorBidi"/>
          <w:color w:val="444746"/>
          <w:sz w:val="32"/>
          <w:szCs w:val="32"/>
          <w:vertAlign w:val="superscript"/>
        </w:rPr>
      </w:pPr>
    </w:p>
    <w:p w14:paraId="26953A79" w14:textId="3E0CFA04" w:rsidR="00C531F8" w:rsidRDefault="00C531F8" w:rsidP="00C531F8">
      <w:pPr>
        <w:rPr>
          <w:rFonts w:asciiTheme="majorBidi" w:eastAsia="Google Sans Text" w:hAnsiTheme="majorBidi" w:cstheme="majorBidi"/>
          <w:color w:val="444746"/>
          <w:sz w:val="32"/>
          <w:szCs w:val="32"/>
          <w:vertAlign w:val="superscript"/>
          <w:rtl/>
        </w:rPr>
      </w:pPr>
      <w:r w:rsidRPr="00C531F8">
        <w:rPr>
          <w:rFonts w:asciiTheme="majorBidi" w:eastAsia="Google Sans Text" w:hAnsiTheme="majorBidi" w:cstheme="majorBidi"/>
          <w:color w:val="444746"/>
          <w:sz w:val="32"/>
          <w:szCs w:val="32"/>
          <w:vertAlign w:val="superscript"/>
        </w:rPr>
        <w:t>The behavior of the residual-based hybrid model highlights an important trade-off. By modeling the residual errors of the XGBoost baseline, the LSTM component captures additional temporal structure that improves directional prediction. However, this also introduces additional variance, which explains the higher RMSE and MAE values compared to XGBoost. As illustrated in Figure 5.3, the hybrid model follows the general price trend and successfully identifies several major turning points in the test period, despite exhibiting smoother but less precise price-level estimates.</w:t>
      </w:r>
    </w:p>
    <w:p w14:paraId="49F63070" w14:textId="77777777" w:rsidR="00C531F8" w:rsidRDefault="00C531F8" w:rsidP="00C531F8"/>
    <w:p w14:paraId="70EEEF48" w14:textId="42E97DA1" w:rsidR="00D40398" w:rsidRDefault="00D40398" w:rsidP="00032AD9">
      <w:pPr>
        <w:rPr>
          <w:rFonts w:asciiTheme="majorBidi" w:eastAsia="Google Sans Text" w:hAnsiTheme="majorBidi" w:cstheme="majorBidi"/>
          <w:b/>
          <w:bCs/>
          <w:color w:val="444746"/>
          <w:sz w:val="32"/>
          <w:szCs w:val="32"/>
          <w:vertAlign w:val="superscript"/>
          <w:rtl/>
        </w:rPr>
      </w:pPr>
      <w:r>
        <w:rPr>
          <w:rFonts w:asciiTheme="majorBidi" w:eastAsia="Google Sans Text" w:hAnsiTheme="majorBidi" w:cstheme="majorBidi"/>
          <w:b/>
          <w:bCs/>
          <w:noProof/>
          <w:color w:val="444746"/>
          <w:sz w:val="32"/>
          <w:szCs w:val="32"/>
          <w:vertAlign w:val="superscript"/>
        </w:rPr>
        <w:drawing>
          <wp:inline distT="0" distB="0" distL="0" distR="0" wp14:anchorId="6CF9B0E9" wp14:editId="3EEB4429">
            <wp:extent cx="5939790" cy="2948305"/>
            <wp:effectExtent l="0" t="0" r="3810" b="4445"/>
            <wp:docPr id="1035374597"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39790" cy="2948305"/>
                    </a:xfrm>
                    <a:prstGeom prst="rect">
                      <a:avLst/>
                    </a:prstGeom>
                    <a:noFill/>
                    <a:ln>
                      <a:noFill/>
                    </a:ln>
                  </pic:spPr>
                </pic:pic>
              </a:graphicData>
            </a:graphic>
          </wp:inline>
        </w:drawing>
      </w:r>
    </w:p>
    <w:p w14:paraId="1112554C" w14:textId="77777777" w:rsidR="00D40398" w:rsidRDefault="00D40398" w:rsidP="00D40398">
      <w:pPr>
        <w:pBdr>
          <w:top w:val="nil"/>
          <w:left w:val="nil"/>
          <w:bottom w:val="nil"/>
          <w:right w:val="nil"/>
          <w:between w:val="nil"/>
        </w:pBdr>
        <w:spacing w:after="240" w:line="275" w:lineRule="auto"/>
        <w:jc w:val="center"/>
        <w:rPr>
          <w:rFonts w:asciiTheme="majorBidi" w:eastAsia="Google Sans Text" w:hAnsiTheme="majorBidi" w:cstheme="majorBidi"/>
          <w:color w:val="444746"/>
          <w:sz w:val="24"/>
          <w:szCs w:val="24"/>
          <w:vertAlign w:val="superscript"/>
          <w:rtl/>
        </w:rPr>
      </w:pPr>
      <w:r w:rsidRPr="00D40398">
        <w:rPr>
          <w:rFonts w:asciiTheme="majorBidi" w:eastAsia="Google Sans Text" w:hAnsiTheme="majorBidi" w:cstheme="majorBidi"/>
          <w:color w:val="444746"/>
          <w:sz w:val="24"/>
          <w:szCs w:val="24"/>
          <w:vertAlign w:val="superscript"/>
        </w:rPr>
        <w:t>Figure 5.3. Actual vs predicted gold prices using the residual-based hybrid model on the test set.</w:t>
      </w:r>
    </w:p>
    <w:p w14:paraId="3AE48514" w14:textId="39871AE3" w:rsidR="002649E5" w:rsidRDefault="00C531F8" w:rsidP="00C531F8">
      <w:pPr>
        <w:pBdr>
          <w:top w:val="nil"/>
          <w:left w:val="nil"/>
          <w:bottom w:val="nil"/>
          <w:right w:val="nil"/>
          <w:between w:val="nil"/>
        </w:pBdr>
        <w:spacing w:after="240" w:line="275" w:lineRule="auto"/>
        <w:rPr>
          <w:rFonts w:asciiTheme="majorBidi" w:eastAsia="Google Sans Text" w:hAnsiTheme="majorBidi" w:cstheme="majorBidi"/>
          <w:color w:val="444746"/>
          <w:sz w:val="32"/>
          <w:szCs w:val="32"/>
          <w:vertAlign w:val="superscript"/>
        </w:rPr>
      </w:pPr>
      <w:r w:rsidRPr="00C531F8">
        <w:rPr>
          <w:rFonts w:asciiTheme="majorBidi" w:eastAsia="Google Sans Text" w:hAnsiTheme="majorBidi" w:cstheme="majorBidi"/>
          <w:color w:val="444746"/>
          <w:sz w:val="32"/>
          <w:szCs w:val="32"/>
          <w:vertAlign w:val="superscript"/>
        </w:rPr>
        <w:t>In practical terms, these findings suggest that model selection should be aligned with the specific decision-making objective. When precise point forecasts are required, XGBoost offers superior performance. When the correct anticipation of price direction is more important, the residual-based hybrid model provides competitive and potentially useful signals.</w:t>
      </w:r>
    </w:p>
    <w:p w14:paraId="66F50879" w14:textId="77777777" w:rsidR="00203199" w:rsidRDefault="00203199" w:rsidP="008954E5">
      <w:pPr>
        <w:jc w:val="center"/>
        <w:rPr>
          <w:rFonts w:asciiTheme="majorBidi" w:eastAsia="Google Sans" w:hAnsiTheme="majorBidi" w:cstheme="majorBidi"/>
          <w:bCs/>
          <w:color w:val="1B1C1D"/>
          <w:sz w:val="36"/>
          <w:szCs w:val="36"/>
          <w:rtl/>
        </w:rPr>
      </w:pPr>
    </w:p>
    <w:p w14:paraId="49607C93" w14:textId="77777777" w:rsidR="00203199" w:rsidRDefault="00203199" w:rsidP="008954E5">
      <w:pPr>
        <w:jc w:val="center"/>
        <w:rPr>
          <w:rFonts w:asciiTheme="majorBidi" w:eastAsia="Google Sans" w:hAnsiTheme="majorBidi" w:cstheme="majorBidi"/>
          <w:bCs/>
          <w:color w:val="1B1C1D"/>
          <w:sz w:val="36"/>
          <w:szCs w:val="36"/>
          <w:rtl/>
        </w:rPr>
      </w:pPr>
    </w:p>
    <w:p w14:paraId="0249C01F" w14:textId="77777777" w:rsidR="00203199" w:rsidRDefault="00203199" w:rsidP="008954E5">
      <w:pPr>
        <w:jc w:val="center"/>
        <w:rPr>
          <w:rFonts w:asciiTheme="majorBidi" w:eastAsia="Google Sans" w:hAnsiTheme="majorBidi" w:cstheme="majorBidi"/>
          <w:bCs/>
          <w:color w:val="1B1C1D"/>
          <w:sz w:val="36"/>
          <w:szCs w:val="36"/>
          <w:rtl/>
        </w:rPr>
      </w:pPr>
    </w:p>
    <w:p w14:paraId="7F2E5EDC" w14:textId="77777777" w:rsidR="00203199" w:rsidRDefault="00203199" w:rsidP="008954E5">
      <w:pPr>
        <w:jc w:val="center"/>
        <w:rPr>
          <w:rFonts w:asciiTheme="majorBidi" w:eastAsia="Google Sans" w:hAnsiTheme="majorBidi" w:cstheme="majorBidi"/>
          <w:bCs/>
          <w:color w:val="1B1C1D"/>
          <w:sz w:val="36"/>
          <w:szCs w:val="36"/>
          <w:rtl/>
        </w:rPr>
      </w:pPr>
    </w:p>
    <w:p w14:paraId="07EF3187" w14:textId="77777777" w:rsidR="00203199" w:rsidRDefault="00203199" w:rsidP="008954E5">
      <w:pPr>
        <w:jc w:val="center"/>
        <w:rPr>
          <w:rFonts w:asciiTheme="majorBidi" w:eastAsia="Google Sans" w:hAnsiTheme="majorBidi" w:cstheme="majorBidi"/>
          <w:bCs/>
          <w:color w:val="1B1C1D"/>
          <w:sz w:val="36"/>
          <w:szCs w:val="36"/>
          <w:rtl/>
        </w:rPr>
      </w:pPr>
    </w:p>
    <w:p w14:paraId="3C627819" w14:textId="77777777" w:rsidR="00203199" w:rsidRDefault="00203199" w:rsidP="008954E5">
      <w:pPr>
        <w:jc w:val="center"/>
        <w:rPr>
          <w:rFonts w:asciiTheme="majorBidi" w:eastAsia="Google Sans" w:hAnsiTheme="majorBidi" w:cstheme="majorBidi"/>
          <w:bCs/>
          <w:color w:val="1B1C1D"/>
          <w:sz w:val="36"/>
          <w:szCs w:val="36"/>
          <w:rtl/>
        </w:rPr>
      </w:pPr>
    </w:p>
    <w:p w14:paraId="0A8D20F6" w14:textId="77777777" w:rsidR="00203199" w:rsidRDefault="00203199" w:rsidP="008954E5">
      <w:pPr>
        <w:jc w:val="center"/>
        <w:rPr>
          <w:rFonts w:asciiTheme="majorBidi" w:eastAsia="Google Sans" w:hAnsiTheme="majorBidi" w:cstheme="majorBidi"/>
          <w:bCs/>
          <w:color w:val="1B1C1D"/>
          <w:sz w:val="36"/>
          <w:szCs w:val="36"/>
          <w:rtl/>
        </w:rPr>
      </w:pPr>
    </w:p>
    <w:p w14:paraId="6A2812E6" w14:textId="28A63006" w:rsidR="007847CA" w:rsidRDefault="007847CA" w:rsidP="008954E5">
      <w:pPr>
        <w:jc w:val="center"/>
        <w:rPr>
          <w:rFonts w:asciiTheme="majorBidi" w:eastAsia="Google Sans" w:hAnsiTheme="majorBidi" w:cstheme="majorBidi"/>
          <w:bCs/>
          <w:color w:val="1B1C1D"/>
          <w:sz w:val="36"/>
          <w:szCs w:val="36"/>
          <w:rtl/>
        </w:rPr>
      </w:pPr>
      <w:r w:rsidRPr="007847CA">
        <w:rPr>
          <w:rFonts w:asciiTheme="majorBidi" w:eastAsia="Google Sans" w:hAnsiTheme="majorBidi" w:cstheme="majorBidi"/>
          <w:bCs/>
          <w:color w:val="1B1C1D"/>
          <w:sz w:val="36"/>
          <w:szCs w:val="36"/>
        </w:rPr>
        <w:lastRenderedPageBreak/>
        <w:t>Chapter 6 – Discussion and Conclusion</w:t>
      </w:r>
    </w:p>
    <w:p w14:paraId="515C5B47" w14:textId="77777777" w:rsidR="00976BD1" w:rsidRPr="007847CA" w:rsidRDefault="00976BD1" w:rsidP="008954E5">
      <w:pPr>
        <w:jc w:val="center"/>
        <w:rPr>
          <w:rFonts w:asciiTheme="majorBidi" w:eastAsia="Google Sans" w:hAnsiTheme="majorBidi" w:cstheme="majorBidi"/>
          <w:bCs/>
          <w:color w:val="1B1C1D"/>
          <w:sz w:val="36"/>
          <w:szCs w:val="36"/>
        </w:rPr>
      </w:pPr>
    </w:p>
    <w:p w14:paraId="291C2775" w14:textId="77777777" w:rsidR="007847CA" w:rsidRPr="007847CA" w:rsidRDefault="007847CA" w:rsidP="007847CA">
      <w:pPr>
        <w:rPr>
          <w:rFonts w:asciiTheme="majorBidi" w:eastAsia="Google Sans Text" w:hAnsiTheme="majorBidi" w:cstheme="majorBidi"/>
          <w:b/>
          <w:bCs/>
          <w:color w:val="444746"/>
          <w:sz w:val="32"/>
          <w:szCs w:val="32"/>
          <w:vertAlign w:val="superscript"/>
        </w:rPr>
      </w:pPr>
      <w:r w:rsidRPr="007847CA">
        <w:rPr>
          <w:rFonts w:asciiTheme="majorBidi" w:eastAsia="Google Sans Text" w:hAnsiTheme="majorBidi" w:cstheme="majorBidi"/>
          <w:b/>
          <w:bCs/>
          <w:color w:val="444746"/>
          <w:sz w:val="32"/>
          <w:szCs w:val="32"/>
          <w:vertAlign w:val="superscript"/>
        </w:rPr>
        <w:t>6.1 Discussion</w:t>
      </w:r>
    </w:p>
    <w:p w14:paraId="1E3F0245" w14:textId="36DB01D0" w:rsidR="00976BD1" w:rsidRPr="00976BD1" w:rsidRDefault="00976BD1" w:rsidP="00976BD1">
      <w:pPr>
        <w:rPr>
          <w:rFonts w:asciiTheme="majorBidi" w:eastAsia="Google Sans Text" w:hAnsiTheme="majorBidi" w:cstheme="majorBidi"/>
          <w:color w:val="444746"/>
          <w:sz w:val="32"/>
          <w:szCs w:val="32"/>
          <w:vertAlign w:val="superscript"/>
        </w:rPr>
      </w:pPr>
      <w:r w:rsidRPr="00976BD1">
        <w:rPr>
          <w:rFonts w:asciiTheme="majorBidi" w:eastAsia="Google Sans Text" w:hAnsiTheme="majorBidi" w:cstheme="majorBidi"/>
          <w:color w:val="444746"/>
          <w:sz w:val="32"/>
          <w:szCs w:val="32"/>
          <w:vertAlign w:val="superscript"/>
        </w:rPr>
        <w:t>The results of this study provide a clear perspective on how different forecasting models behave when applied to gold price prediction under volatile market conditions. Rather than identifying a single model that dominates across all evaluation criteria, the findings demonstrate that each model exhibits distinct strengths depending on the forecasting objective.</w:t>
      </w:r>
    </w:p>
    <w:p w14:paraId="2164895C" w14:textId="0AE15990" w:rsidR="00976BD1" w:rsidRPr="00976BD1" w:rsidRDefault="00976BD1" w:rsidP="00976BD1">
      <w:pPr>
        <w:rPr>
          <w:rFonts w:asciiTheme="majorBidi" w:eastAsia="Google Sans Text" w:hAnsiTheme="majorBidi" w:cstheme="majorBidi"/>
          <w:color w:val="444746"/>
          <w:sz w:val="32"/>
          <w:szCs w:val="32"/>
          <w:vertAlign w:val="superscript"/>
        </w:rPr>
      </w:pPr>
      <w:r w:rsidRPr="00976BD1">
        <w:rPr>
          <w:rFonts w:asciiTheme="majorBidi" w:eastAsia="Google Sans Text" w:hAnsiTheme="majorBidi" w:cstheme="majorBidi"/>
          <w:color w:val="444746"/>
          <w:sz w:val="32"/>
          <w:szCs w:val="32"/>
          <w:vertAlign w:val="superscript"/>
        </w:rPr>
        <w:t>The XGBoost model achieved the highest numerical accuracy, as reflected by the lowest RMSE and MAE values. This outcome suggests that tree-based gradient boosting methods are particularly well suited to the structured and engineered feature space used in this study. XGBoost effectively captures nonlinear relationships among price-derived features, even when the available data window is limited and market conditions are unstable.</w:t>
      </w:r>
    </w:p>
    <w:p w14:paraId="0A6D64AE" w14:textId="0235AA5B" w:rsidR="00976BD1" w:rsidRPr="00976BD1" w:rsidRDefault="00976BD1" w:rsidP="00976BD1">
      <w:pPr>
        <w:rPr>
          <w:rFonts w:asciiTheme="majorBidi" w:eastAsia="Google Sans Text" w:hAnsiTheme="majorBidi" w:cstheme="majorBidi"/>
          <w:color w:val="444746"/>
          <w:sz w:val="32"/>
          <w:szCs w:val="32"/>
          <w:vertAlign w:val="superscript"/>
        </w:rPr>
      </w:pPr>
      <w:r w:rsidRPr="00976BD1">
        <w:rPr>
          <w:rFonts w:asciiTheme="majorBidi" w:eastAsia="Google Sans Text" w:hAnsiTheme="majorBidi" w:cstheme="majorBidi"/>
          <w:color w:val="444746"/>
          <w:sz w:val="32"/>
          <w:szCs w:val="32"/>
          <w:vertAlign w:val="superscript"/>
        </w:rPr>
        <w:t>In contrast, the standalone LSTM model showed weaker performance, characterized by higher prediction errors and lower directional accuracy. This behavior highlights a practical limitation of sequence-based deep learning models: when the historical training window is relatively short and the test period exhibits frequent regime shifts, LSTM models may struggle to generalize reliably. These findings support the view that deep learning is not always the optimal choice in financial forecasting, especially under data and stability constraints.</w:t>
      </w:r>
    </w:p>
    <w:p w14:paraId="469DF787" w14:textId="5FD50BA5" w:rsidR="00976BD1" w:rsidRPr="00976BD1" w:rsidRDefault="00976BD1" w:rsidP="00976BD1">
      <w:pPr>
        <w:rPr>
          <w:rFonts w:asciiTheme="majorBidi" w:eastAsia="Google Sans Text" w:hAnsiTheme="majorBidi" w:cstheme="majorBidi"/>
          <w:color w:val="444746"/>
          <w:sz w:val="32"/>
          <w:szCs w:val="32"/>
          <w:vertAlign w:val="superscript"/>
        </w:rPr>
      </w:pPr>
      <w:r w:rsidRPr="00976BD1">
        <w:rPr>
          <w:rFonts w:asciiTheme="majorBidi" w:eastAsia="Google Sans Text" w:hAnsiTheme="majorBidi" w:cstheme="majorBidi"/>
          <w:color w:val="444746"/>
          <w:sz w:val="32"/>
          <w:szCs w:val="32"/>
          <w:vertAlign w:val="superscript"/>
        </w:rPr>
        <w:t>The residual-based hybrid model demonstrated a balanced performance profile. Although it did not improve numerical accuracy compared to XGBoost, it achieved directional accuracy that was very close to the best-performing model. This indicates that hybridization can add value by enhancing the model’s ability to anticipate price direction, even when point-wise prediction errors remain relatively high. Such behavior is particularly relevant in trading and risk-management contexts, where directional signals often carry greater practical importance than exact price levels.</w:t>
      </w:r>
    </w:p>
    <w:p w14:paraId="611B47E7" w14:textId="352DBDE6" w:rsidR="00976BD1" w:rsidRPr="009929A3" w:rsidRDefault="00976BD1" w:rsidP="00976BD1">
      <w:pPr>
        <w:rPr>
          <w:rFonts w:asciiTheme="majorBidi" w:eastAsia="Google Sans Text" w:hAnsiTheme="majorBidi" w:cstheme="majorBidi"/>
          <w:color w:val="444746"/>
          <w:sz w:val="32"/>
          <w:szCs w:val="32"/>
          <w:vertAlign w:val="superscript"/>
        </w:rPr>
      </w:pPr>
      <w:r w:rsidRPr="00976BD1">
        <w:rPr>
          <w:rFonts w:asciiTheme="majorBidi" w:eastAsia="Google Sans Text" w:hAnsiTheme="majorBidi" w:cstheme="majorBidi"/>
          <w:color w:val="444746"/>
          <w:sz w:val="32"/>
          <w:szCs w:val="32"/>
          <w:vertAlign w:val="superscript"/>
        </w:rPr>
        <w:t>Overall, the discussion underscores that the effectiveness of a forecasting model depends strongly on the intended application. While XGBoost is preferable for precise price-level prediction, the hybrid residual approach offers meaningful advantages when directional forecasting is the primary objective.</w:t>
      </w:r>
    </w:p>
    <w:p w14:paraId="6670975E" w14:textId="77777777" w:rsidR="00076F51" w:rsidRPr="007847CA" w:rsidRDefault="00076F51" w:rsidP="00076F51">
      <w:pPr>
        <w:rPr>
          <w:rFonts w:asciiTheme="majorBidi" w:eastAsia="Google Sans Text" w:hAnsiTheme="majorBidi" w:cstheme="majorBidi"/>
          <w:color w:val="444746"/>
          <w:sz w:val="32"/>
          <w:szCs w:val="32"/>
          <w:vertAlign w:val="superscript"/>
        </w:rPr>
      </w:pPr>
    </w:p>
    <w:p w14:paraId="1CCF6619" w14:textId="77777777" w:rsidR="007847CA" w:rsidRPr="007847CA" w:rsidRDefault="007847CA" w:rsidP="007847CA">
      <w:pPr>
        <w:rPr>
          <w:rFonts w:asciiTheme="majorBidi" w:eastAsia="Google Sans Text" w:hAnsiTheme="majorBidi" w:cstheme="majorBidi"/>
          <w:b/>
          <w:bCs/>
          <w:color w:val="444746"/>
          <w:sz w:val="32"/>
          <w:szCs w:val="32"/>
          <w:vertAlign w:val="superscript"/>
        </w:rPr>
      </w:pPr>
      <w:r w:rsidRPr="007847CA">
        <w:rPr>
          <w:rFonts w:asciiTheme="majorBidi" w:eastAsia="Google Sans Text" w:hAnsiTheme="majorBidi" w:cstheme="majorBidi"/>
          <w:b/>
          <w:bCs/>
          <w:color w:val="444746"/>
          <w:sz w:val="32"/>
          <w:szCs w:val="32"/>
          <w:vertAlign w:val="superscript"/>
        </w:rPr>
        <w:t>6.2 Conclusion and Future Work</w:t>
      </w:r>
    </w:p>
    <w:p w14:paraId="182B2B54" w14:textId="659D1987" w:rsidR="00976BD1" w:rsidRPr="00976BD1" w:rsidRDefault="00976BD1" w:rsidP="00976BD1">
      <w:pPr>
        <w:rPr>
          <w:rFonts w:asciiTheme="majorBidi" w:eastAsia="Google Sans Text" w:hAnsiTheme="majorBidi" w:cstheme="majorBidi"/>
          <w:color w:val="444746"/>
          <w:sz w:val="32"/>
          <w:szCs w:val="32"/>
          <w:vertAlign w:val="superscript"/>
        </w:rPr>
      </w:pPr>
      <w:r w:rsidRPr="00976BD1">
        <w:rPr>
          <w:rFonts w:asciiTheme="majorBidi" w:eastAsia="Google Sans Text" w:hAnsiTheme="majorBidi" w:cstheme="majorBidi"/>
          <w:color w:val="444746"/>
          <w:sz w:val="32"/>
          <w:szCs w:val="32"/>
          <w:vertAlign w:val="superscript"/>
        </w:rPr>
        <w:t>This study investigated a hybrid forecasting framework that integrates Long Short-Term Memory (LSTM) networks with the XGBoost algorithm for gold price prediction. The proposed approach was designed to combine temporal sequence learning with nonlinear feature modeling in order to improve forecasting robustness under volatile market conditions.</w:t>
      </w:r>
    </w:p>
    <w:p w14:paraId="21B10BE3" w14:textId="4BE68585" w:rsidR="00976BD1" w:rsidRPr="00976BD1" w:rsidRDefault="00976BD1" w:rsidP="00976BD1">
      <w:pPr>
        <w:rPr>
          <w:rFonts w:asciiTheme="majorBidi" w:eastAsia="Google Sans Text" w:hAnsiTheme="majorBidi" w:cstheme="majorBidi"/>
          <w:color w:val="444746"/>
          <w:sz w:val="32"/>
          <w:szCs w:val="32"/>
          <w:vertAlign w:val="superscript"/>
        </w:rPr>
      </w:pPr>
      <w:r w:rsidRPr="00976BD1">
        <w:rPr>
          <w:rFonts w:asciiTheme="majorBidi" w:eastAsia="Google Sans Text" w:hAnsiTheme="majorBidi" w:cstheme="majorBidi"/>
          <w:color w:val="444746"/>
          <w:sz w:val="32"/>
          <w:szCs w:val="32"/>
          <w:vertAlign w:val="superscript"/>
        </w:rPr>
        <w:t xml:space="preserve">The empirical results show that the XGBoost model delivers the strongest numerical performance, achieving </w:t>
      </w:r>
      <w:r w:rsidRPr="00976BD1">
        <w:rPr>
          <w:rFonts w:asciiTheme="majorBidi" w:eastAsia="Google Sans Text" w:hAnsiTheme="majorBidi" w:cstheme="majorBidi"/>
          <w:color w:val="444746"/>
          <w:sz w:val="32"/>
          <w:szCs w:val="32"/>
          <w:vertAlign w:val="superscript"/>
        </w:rPr>
        <w:lastRenderedPageBreak/>
        <w:t>the lowest RMSE and MAE values on the test set. While the residual-based hybrid model did not outperform XGBoost in terms of numerical accuracy, it demonstrated strong directional accuracy, highlighting its potential usefulness in applications where anticipating the direction of price movement is more important than minimizing forecast error magnitude. The standalone LSTM model, by comparison, exhibited limited generalization capability during the volatile test period.</w:t>
      </w:r>
    </w:p>
    <w:p w14:paraId="219953B3" w14:textId="2021CDF2" w:rsidR="00976BD1" w:rsidRDefault="00976BD1" w:rsidP="00976BD1">
      <w:pPr>
        <w:rPr>
          <w:rFonts w:asciiTheme="majorBidi" w:eastAsia="Google Sans Text" w:hAnsiTheme="majorBidi" w:cstheme="majorBidi"/>
          <w:color w:val="444746"/>
          <w:sz w:val="32"/>
          <w:szCs w:val="32"/>
          <w:vertAlign w:val="superscript"/>
          <w:rtl/>
        </w:rPr>
      </w:pPr>
      <w:r w:rsidRPr="00976BD1">
        <w:rPr>
          <w:rFonts w:asciiTheme="majorBidi" w:eastAsia="Google Sans Text" w:hAnsiTheme="majorBidi" w:cstheme="majorBidi"/>
          <w:color w:val="444746"/>
          <w:sz w:val="32"/>
          <w:szCs w:val="32"/>
          <w:vertAlign w:val="superscript"/>
        </w:rPr>
        <w:t>Several directions for future research emerge from these findings. One promising avenue is the exploration of transformer-based architectures, which have shown strong potential in modeling long-range dependencies in time-series data. Another direction involves incorporating additional macroeconomic or real-time market indicators to enrich the feature space and potentially enhance model robustness. More advanced hyperparameter optimization techniques, such as Bayesian optimization, may also improve performance. Finally, extending the proposed framework to multiple assets or deploying it within real-time decision-support systems represents a valuable area for further investigation.</w:t>
      </w:r>
    </w:p>
    <w:p w14:paraId="1C7CA2C3" w14:textId="77777777" w:rsidR="003D48F4" w:rsidRDefault="003D48F4" w:rsidP="00976BD1">
      <w:pPr>
        <w:rPr>
          <w:rFonts w:asciiTheme="majorBidi" w:eastAsia="Google Sans Text" w:hAnsiTheme="majorBidi" w:cstheme="majorBidi"/>
          <w:color w:val="444746"/>
          <w:sz w:val="32"/>
          <w:szCs w:val="32"/>
          <w:vertAlign w:val="superscript"/>
          <w:rtl/>
        </w:rPr>
      </w:pPr>
    </w:p>
    <w:p w14:paraId="5F4CC8C9" w14:textId="77777777" w:rsidR="00640FD0" w:rsidRPr="00640FD0" w:rsidRDefault="00640FD0" w:rsidP="00640FD0">
      <w:pPr>
        <w:rPr>
          <w:rFonts w:asciiTheme="majorBidi" w:eastAsia="Google Sans Text" w:hAnsiTheme="majorBidi" w:cstheme="majorBidi"/>
          <w:b/>
          <w:bCs/>
          <w:color w:val="444746"/>
          <w:sz w:val="32"/>
          <w:szCs w:val="32"/>
          <w:vertAlign w:val="superscript"/>
        </w:rPr>
      </w:pPr>
      <w:r w:rsidRPr="00640FD0">
        <w:rPr>
          <w:rFonts w:asciiTheme="majorBidi" w:eastAsia="Google Sans Text" w:hAnsiTheme="majorBidi" w:cstheme="majorBidi"/>
          <w:b/>
          <w:bCs/>
          <w:color w:val="444746"/>
          <w:sz w:val="32"/>
          <w:szCs w:val="32"/>
          <w:vertAlign w:val="superscript"/>
        </w:rPr>
        <w:t>Limitations</w:t>
      </w:r>
    </w:p>
    <w:p w14:paraId="54D5AE4E" w14:textId="77777777" w:rsidR="001F2068" w:rsidRPr="001F2068" w:rsidRDefault="001F2068" w:rsidP="001F2068">
      <w:pPr>
        <w:rPr>
          <w:rFonts w:asciiTheme="majorBidi" w:eastAsia="Google Sans Text" w:hAnsiTheme="majorBidi" w:cstheme="majorBidi"/>
          <w:color w:val="444746"/>
          <w:sz w:val="32"/>
          <w:szCs w:val="32"/>
          <w:vertAlign w:val="superscript"/>
        </w:rPr>
      </w:pPr>
      <w:r w:rsidRPr="001F2068">
        <w:rPr>
          <w:rFonts w:asciiTheme="majorBidi" w:eastAsia="Google Sans Text" w:hAnsiTheme="majorBidi" w:cstheme="majorBidi"/>
          <w:color w:val="444746"/>
          <w:sz w:val="32"/>
          <w:szCs w:val="32"/>
          <w:vertAlign w:val="superscript"/>
        </w:rPr>
        <w:t xml:space="preserve">Despite the contributions of this study, several limitations should be acknowledged. First, the historical window available for training the LSTM model was relatively short, which may have constrained its ability to learn stable long-term temporal patterns, particularly during the highly volatile 2024–2025 period. Second, the analysis relied primarily on price-based and engineered features; broader macroeconomic variables and alternative data sources were not fully explored due to data availability constraints. </w:t>
      </w:r>
    </w:p>
    <w:p w14:paraId="248CBB28" w14:textId="77777777" w:rsidR="001F2068" w:rsidRPr="001F2068" w:rsidRDefault="001F2068" w:rsidP="001F2068">
      <w:pPr>
        <w:rPr>
          <w:rFonts w:asciiTheme="majorBidi" w:eastAsia="Google Sans Text" w:hAnsiTheme="majorBidi" w:cstheme="majorBidi"/>
          <w:color w:val="444746"/>
          <w:sz w:val="32"/>
          <w:szCs w:val="32"/>
          <w:vertAlign w:val="superscript"/>
        </w:rPr>
      </w:pPr>
    </w:p>
    <w:p w14:paraId="348B1F6B" w14:textId="45F4B8AF" w:rsidR="001F2068" w:rsidRDefault="001F2068" w:rsidP="001F2068">
      <w:pPr>
        <w:rPr>
          <w:rFonts w:asciiTheme="majorBidi" w:eastAsia="Google Sans Text" w:hAnsiTheme="majorBidi" w:cstheme="majorBidi"/>
          <w:color w:val="444746"/>
          <w:sz w:val="32"/>
          <w:szCs w:val="32"/>
          <w:vertAlign w:val="superscript"/>
          <w:rtl/>
        </w:rPr>
      </w:pPr>
      <w:r w:rsidRPr="001F2068">
        <w:rPr>
          <w:rFonts w:asciiTheme="majorBidi" w:eastAsia="Google Sans Text" w:hAnsiTheme="majorBidi" w:cstheme="majorBidi"/>
          <w:color w:val="444746"/>
          <w:sz w:val="32"/>
          <w:szCs w:val="32"/>
          <w:vertAlign w:val="superscript"/>
        </w:rPr>
        <w:t>Finally, the residual-based hybrid approach inherently amplifies variance when residual volatility is high, which helps explain its elevated RMSE and MAE values compared to XGBoost. These limitations suggest that future research would benefit from richer datasets, longer historical horizons, and more advanced modeling architectures to further improve forecasting performance.</w:t>
      </w:r>
    </w:p>
    <w:p w14:paraId="7E4BBF6A" w14:textId="77777777" w:rsidR="00993319" w:rsidRDefault="00993319" w:rsidP="001F2068">
      <w:pPr>
        <w:rPr>
          <w:rFonts w:asciiTheme="majorBidi" w:eastAsia="Google Sans" w:hAnsiTheme="majorBidi" w:cstheme="majorBidi"/>
          <w:bCs/>
          <w:color w:val="1B1C1D"/>
          <w:sz w:val="36"/>
          <w:szCs w:val="36"/>
          <w:rtl/>
        </w:rPr>
      </w:pPr>
    </w:p>
    <w:p w14:paraId="3294CDC7" w14:textId="77777777" w:rsidR="00203199" w:rsidRDefault="00203199" w:rsidP="008954E5">
      <w:pPr>
        <w:jc w:val="center"/>
        <w:rPr>
          <w:rFonts w:asciiTheme="majorBidi" w:eastAsia="Google Sans" w:hAnsiTheme="majorBidi" w:cstheme="majorBidi"/>
          <w:bCs/>
          <w:color w:val="1B1C1D"/>
          <w:sz w:val="36"/>
          <w:szCs w:val="36"/>
          <w:rtl/>
        </w:rPr>
      </w:pPr>
    </w:p>
    <w:p w14:paraId="52C16C9C" w14:textId="77777777" w:rsidR="00203199" w:rsidRDefault="00203199" w:rsidP="008954E5">
      <w:pPr>
        <w:jc w:val="center"/>
        <w:rPr>
          <w:rFonts w:asciiTheme="majorBidi" w:eastAsia="Google Sans" w:hAnsiTheme="majorBidi" w:cstheme="majorBidi"/>
          <w:bCs/>
          <w:color w:val="1B1C1D"/>
          <w:sz w:val="36"/>
          <w:szCs w:val="36"/>
          <w:rtl/>
        </w:rPr>
      </w:pPr>
    </w:p>
    <w:p w14:paraId="35EEE9B0" w14:textId="77777777" w:rsidR="00203199" w:rsidRDefault="00203199" w:rsidP="008954E5">
      <w:pPr>
        <w:jc w:val="center"/>
        <w:rPr>
          <w:rFonts w:asciiTheme="majorBidi" w:eastAsia="Google Sans" w:hAnsiTheme="majorBidi" w:cstheme="majorBidi"/>
          <w:bCs/>
          <w:color w:val="1B1C1D"/>
          <w:sz w:val="36"/>
          <w:szCs w:val="36"/>
          <w:rtl/>
        </w:rPr>
      </w:pPr>
    </w:p>
    <w:p w14:paraId="5D26C234" w14:textId="77777777" w:rsidR="00203199" w:rsidRDefault="00203199" w:rsidP="008954E5">
      <w:pPr>
        <w:jc w:val="center"/>
        <w:rPr>
          <w:rFonts w:asciiTheme="majorBidi" w:eastAsia="Google Sans" w:hAnsiTheme="majorBidi" w:cstheme="majorBidi"/>
          <w:bCs/>
          <w:color w:val="1B1C1D"/>
          <w:sz w:val="36"/>
          <w:szCs w:val="36"/>
          <w:rtl/>
        </w:rPr>
      </w:pPr>
    </w:p>
    <w:p w14:paraId="03C7D9A8" w14:textId="77777777" w:rsidR="00203199" w:rsidRDefault="00203199" w:rsidP="008954E5">
      <w:pPr>
        <w:jc w:val="center"/>
        <w:rPr>
          <w:rFonts w:asciiTheme="majorBidi" w:eastAsia="Google Sans" w:hAnsiTheme="majorBidi" w:cstheme="majorBidi"/>
          <w:bCs/>
          <w:color w:val="1B1C1D"/>
          <w:sz w:val="36"/>
          <w:szCs w:val="36"/>
          <w:rtl/>
        </w:rPr>
      </w:pPr>
    </w:p>
    <w:p w14:paraId="01F905A0" w14:textId="77777777" w:rsidR="00203199" w:rsidRDefault="00203199" w:rsidP="008954E5">
      <w:pPr>
        <w:jc w:val="center"/>
        <w:rPr>
          <w:rFonts w:asciiTheme="majorBidi" w:eastAsia="Google Sans" w:hAnsiTheme="majorBidi" w:cstheme="majorBidi"/>
          <w:bCs/>
          <w:color w:val="1B1C1D"/>
          <w:sz w:val="36"/>
          <w:szCs w:val="36"/>
          <w:rtl/>
        </w:rPr>
      </w:pPr>
    </w:p>
    <w:p w14:paraId="0A01641F" w14:textId="77777777" w:rsidR="00203199" w:rsidRDefault="00203199" w:rsidP="008954E5">
      <w:pPr>
        <w:jc w:val="center"/>
        <w:rPr>
          <w:rFonts w:asciiTheme="majorBidi" w:eastAsia="Google Sans" w:hAnsiTheme="majorBidi" w:cstheme="majorBidi"/>
          <w:bCs/>
          <w:color w:val="1B1C1D"/>
          <w:sz w:val="36"/>
          <w:szCs w:val="36"/>
          <w:rtl/>
        </w:rPr>
      </w:pPr>
    </w:p>
    <w:p w14:paraId="037FA8AB" w14:textId="77777777" w:rsidR="00203199" w:rsidRDefault="00203199" w:rsidP="008954E5">
      <w:pPr>
        <w:jc w:val="center"/>
        <w:rPr>
          <w:rFonts w:asciiTheme="majorBidi" w:eastAsia="Google Sans" w:hAnsiTheme="majorBidi" w:cstheme="majorBidi"/>
          <w:bCs/>
          <w:color w:val="1B1C1D"/>
          <w:sz w:val="36"/>
          <w:szCs w:val="36"/>
          <w:rtl/>
        </w:rPr>
      </w:pPr>
    </w:p>
    <w:p w14:paraId="7F0E9499" w14:textId="726ABA72" w:rsidR="008954E5" w:rsidRPr="007847CA" w:rsidRDefault="008954E5" w:rsidP="008954E5">
      <w:pPr>
        <w:jc w:val="center"/>
        <w:rPr>
          <w:rFonts w:asciiTheme="majorBidi" w:eastAsia="Google Sans" w:hAnsiTheme="majorBidi" w:cstheme="majorBidi"/>
          <w:bCs/>
          <w:color w:val="1B1C1D"/>
          <w:sz w:val="36"/>
          <w:szCs w:val="36"/>
        </w:rPr>
      </w:pPr>
      <w:r w:rsidRPr="008954E5">
        <w:rPr>
          <w:rFonts w:asciiTheme="majorBidi" w:eastAsia="Google Sans" w:hAnsiTheme="majorBidi" w:cstheme="majorBidi"/>
          <w:bCs/>
          <w:color w:val="1B1C1D"/>
          <w:sz w:val="36"/>
          <w:szCs w:val="36"/>
        </w:rPr>
        <w:lastRenderedPageBreak/>
        <w:t>References</w:t>
      </w:r>
    </w:p>
    <w:p w14:paraId="52D0AE5A" w14:textId="77777777" w:rsidR="007847CA" w:rsidRPr="006A520E" w:rsidRDefault="007847CA" w:rsidP="00482AD8">
      <w:pPr>
        <w:rPr>
          <w:rFonts w:asciiTheme="majorBidi" w:eastAsia="Google Sans Text" w:hAnsiTheme="majorBidi" w:cstheme="majorBidi"/>
          <w:color w:val="444746"/>
          <w:sz w:val="32"/>
          <w:szCs w:val="32"/>
          <w:vertAlign w:val="superscript"/>
          <w:rtl/>
        </w:rPr>
      </w:pPr>
    </w:p>
    <w:p w14:paraId="550FAA58" w14:textId="77777777" w:rsidR="006A520E" w:rsidRPr="006A520E" w:rsidRDefault="006A520E" w:rsidP="006A520E">
      <w:pPr>
        <w:pStyle w:val="FirstParagraph"/>
        <w:rPr>
          <w:rFonts w:asciiTheme="majorBidi" w:hAnsiTheme="majorBidi" w:cstheme="majorBidi"/>
        </w:rPr>
      </w:pPr>
      <w:r w:rsidRPr="006A520E">
        <w:rPr>
          <w:rFonts w:asciiTheme="majorBidi" w:hAnsiTheme="majorBidi" w:cstheme="majorBidi"/>
        </w:rPr>
        <w:t xml:space="preserve">[1] Amini, A., &amp; Kalantari, R. (2024). </w:t>
      </w:r>
      <w:r w:rsidRPr="006A520E">
        <w:rPr>
          <w:rFonts w:asciiTheme="majorBidi" w:hAnsiTheme="majorBidi" w:cstheme="majorBidi"/>
          <w:b/>
          <w:bCs/>
        </w:rPr>
        <w:t>Gold price prediction by a CNN–Bi-LSTM model along with automatic parameter tuning.</w:t>
      </w:r>
      <w:r w:rsidRPr="006A520E">
        <w:rPr>
          <w:rFonts w:asciiTheme="majorBidi" w:hAnsiTheme="majorBidi" w:cstheme="majorBidi"/>
        </w:rPr>
        <w:t xml:space="preserve"> </w:t>
      </w:r>
      <w:r w:rsidRPr="006A520E">
        <w:rPr>
          <w:rFonts w:asciiTheme="majorBidi" w:hAnsiTheme="majorBidi" w:cstheme="majorBidi"/>
          <w:i/>
          <w:iCs/>
        </w:rPr>
        <w:t>PLOS ONE, 19</w:t>
      </w:r>
      <w:r w:rsidRPr="006A520E">
        <w:rPr>
          <w:rFonts w:asciiTheme="majorBidi" w:hAnsiTheme="majorBidi" w:cstheme="majorBidi"/>
        </w:rPr>
        <w:t>(3), e0298426. DOI: 10.1371/journal.pone.0298426</w:t>
      </w:r>
    </w:p>
    <w:p w14:paraId="5506CC1B" w14:textId="77777777" w:rsidR="006A520E" w:rsidRPr="006A520E" w:rsidRDefault="006A520E" w:rsidP="006A520E">
      <w:pPr>
        <w:pStyle w:val="BodyText"/>
        <w:rPr>
          <w:rFonts w:asciiTheme="majorBidi" w:hAnsiTheme="majorBidi" w:cstheme="majorBidi"/>
        </w:rPr>
      </w:pPr>
      <w:r w:rsidRPr="006A520E">
        <w:rPr>
          <w:rFonts w:asciiTheme="majorBidi" w:hAnsiTheme="majorBidi" w:cstheme="majorBidi"/>
        </w:rPr>
        <w:t xml:space="preserve">[2] Beckmann, J., Berger, T., &amp; Czudaj, R. (2019). </w:t>
      </w:r>
      <w:r w:rsidRPr="006A520E">
        <w:rPr>
          <w:rFonts w:asciiTheme="majorBidi" w:hAnsiTheme="majorBidi" w:cstheme="majorBidi"/>
          <w:b/>
          <w:bCs/>
        </w:rPr>
        <w:t>Gold price dynamics and the role of uncertainty.</w:t>
      </w:r>
      <w:r w:rsidRPr="006A520E">
        <w:rPr>
          <w:rFonts w:asciiTheme="majorBidi" w:hAnsiTheme="majorBidi" w:cstheme="majorBidi"/>
        </w:rPr>
        <w:t xml:space="preserve"> </w:t>
      </w:r>
      <w:r w:rsidRPr="006A520E">
        <w:rPr>
          <w:rFonts w:asciiTheme="majorBidi" w:hAnsiTheme="majorBidi" w:cstheme="majorBidi"/>
          <w:i/>
          <w:iCs/>
        </w:rPr>
        <w:t>Quantitative Finance, 19</w:t>
      </w:r>
      <w:r w:rsidRPr="006A520E">
        <w:rPr>
          <w:rFonts w:asciiTheme="majorBidi" w:hAnsiTheme="majorBidi" w:cstheme="majorBidi"/>
        </w:rPr>
        <w:t>(4), 663–681. DOI: 10.1080/14697688.2018.1532166</w:t>
      </w:r>
    </w:p>
    <w:p w14:paraId="00D1155C" w14:textId="77777777" w:rsidR="006A520E" w:rsidRPr="006A520E" w:rsidRDefault="006A520E" w:rsidP="006A520E">
      <w:pPr>
        <w:pStyle w:val="BodyText"/>
        <w:rPr>
          <w:rFonts w:asciiTheme="majorBidi" w:hAnsiTheme="majorBidi" w:cstheme="majorBidi"/>
        </w:rPr>
      </w:pPr>
      <w:r w:rsidRPr="006A520E">
        <w:rPr>
          <w:rFonts w:asciiTheme="majorBidi" w:hAnsiTheme="majorBidi" w:cstheme="majorBidi"/>
        </w:rPr>
        <w:t xml:space="preserve">[3] Chai, T., &amp; Draxler, R. R. (2014). </w:t>
      </w:r>
      <w:r w:rsidRPr="006A520E">
        <w:rPr>
          <w:rFonts w:asciiTheme="majorBidi" w:hAnsiTheme="majorBidi" w:cstheme="majorBidi"/>
          <w:b/>
          <w:bCs/>
        </w:rPr>
        <w:t>Root mean square error (RMSE) or mean absolute error (MAE)? – Arguments against avoiding RMSE in the literature.</w:t>
      </w:r>
      <w:r w:rsidRPr="006A520E">
        <w:rPr>
          <w:rFonts w:asciiTheme="majorBidi" w:hAnsiTheme="majorBidi" w:cstheme="majorBidi"/>
        </w:rPr>
        <w:t xml:space="preserve"> </w:t>
      </w:r>
      <w:r w:rsidRPr="006A520E">
        <w:rPr>
          <w:rFonts w:asciiTheme="majorBidi" w:hAnsiTheme="majorBidi" w:cstheme="majorBidi"/>
          <w:i/>
          <w:iCs/>
        </w:rPr>
        <w:t>Geoscientific Model Development, 7</w:t>
      </w:r>
      <w:r w:rsidRPr="006A520E">
        <w:rPr>
          <w:rFonts w:asciiTheme="majorBidi" w:hAnsiTheme="majorBidi" w:cstheme="majorBidi"/>
        </w:rPr>
        <w:t>(3), 1247–1250. DOI: 10.5194/gmd-7-1247-2014</w:t>
      </w:r>
    </w:p>
    <w:p w14:paraId="702D0CF6" w14:textId="77777777" w:rsidR="006A520E" w:rsidRPr="006A520E" w:rsidRDefault="006A520E" w:rsidP="006A520E">
      <w:pPr>
        <w:pStyle w:val="BodyText"/>
        <w:rPr>
          <w:rFonts w:asciiTheme="majorBidi" w:hAnsiTheme="majorBidi" w:cstheme="majorBidi"/>
        </w:rPr>
      </w:pPr>
      <w:r w:rsidRPr="006A520E">
        <w:rPr>
          <w:rFonts w:asciiTheme="majorBidi" w:hAnsiTheme="majorBidi" w:cstheme="majorBidi"/>
        </w:rPr>
        <w:t xml:space="preserve">[4] Chen, T., &amp; Guestrin, C. (2016). </w:t>
      </w:r>
      <w:r w:rsidRPr="006A520E">
        <w:rPr>
          <w:rFonts w:asciiTheme="majorBidi" w:hAnsiTheme="majorBidi" w:cstheme="majorBidi"/>
          <w:b/>
          <w:bCs/>
        </w:rPr>
        <w:t>XGBoost: A scalable tree boosting system.</w:t>
      </w:r>
      <w:r w:rsidRPr="006A520E">
        <w:rPr>
          <w:rFonts w:asciiTheme="majorBidi" w:hAnsiTheme="majorBidi" w:cstheme="majorBidi"/>
        </w:rPr>
        <w:t xml:space="preserve"> In </w:t>
      </w:r>
      <w:r w:rsidRPr="006A520E">
        <w:rPr>
          <w:rFonts w:asciiTheme="majorBidi" w:hAnsiTheme="majorBidi" w:cstheme="majorBidi"/>
          <w:i/>
          <w:iCs/>
        </w:rPr>
        <w:t>Proceedings of the 22nd ACM SIGKDD International Conference on Knowledge Discovery and Data Mining</w:t>
      </w:r>
      <w:r w:rsidRPr="006A520E">
        <w:rPr>
          <w:rFonts w:asciiTheme="majorBidi" w:hAnsiTheme="majorBidi" w:cstheme="majorBidi"/>
        </w:rPr>
        <w:t xml:space="preserve"> (pp. 785–794). ACM. DOI: 10.1145/2939672.2939785</w:t>
      </w:r>
    </w:p>
    <w:p w14:paraId="0B572F75" w14:textId="77777777" w:rsidR="006A520E" w:rsidRPr="006A520E" w:rsidRDefault="006A520E" w:rsidP="006A520E">
      <w:pPr>
        <w:pStyle w:val="BodyText"/>
        <w:rPr>
          <w:rFonts w:asciiTheme="majorBidi" w:hAnsiTheme="majorBidi" w:cstheme="majorBidi"/>
        </w:rPr>
      </w:pPr>
      <w:r w:rsidRPr="006A520E">
        <w:rPr>
          <w:rFonts w:asciiTheme="majorBidi" w:hAnsiTheme="majorBidi" w:cstheme="majorBidi"/>
        </w:rPr>
        <w:t xml:space="preserve">[5] Cohen, G., &amp; Aiche, A. (2023). </w:t>
      </w:r>
      <w:r w:rsidRPr="006A520E">
        <w:rPr>
          <w:rFonts w:asciiTheme="majorBidi" w:hAnsiTheme="majorBidi" w:cstheme="majorBidi"/>
          <w:b/>
          <w:bCs/>
        </w:rPr>
        <w:t>Forecasting gold price using machine learning methodologies.</w:t>
      </w:r>
      <w:r w:rsidRPr="006A520E">
        <w:rPr>
          <w:rFonts w:asciiTheme="majorBidi" w:hAnsiTheme="majorBidi" w:cstheme="majorBidi"/>
        </w:rPr>
        <w:t xml:space="preserve"> </w:t>
      </w:r>
      <w:r w:rsidRPr="006A520E">
        <w:rPr>
          <w:rFonts w:asciiTheme="majorBidi" w:hAnsiTheme="majorBidi" w:cstheme="majorBidi"/>
          <w:i/>
          <w:iCs/>
        </w:rPr>
        <w:t>Chaos, Solitons &amp; Fractals, 175</w:t>
      </w:r>
      <w:r w:rsidRPr="006A520E">
        <w:rPr>
          <w:rFonts w:asciiTheme="majorBidi" w:hAnsiTheme="majorBidi" w:cstheme="majorBidi"/>
        </w:rPr>
        <w:t>, 114079. DOI: 10.1016/j.chaos.2023.114079</w:t>
      </w:r>
    </w:p>
    <w:p w14:paraId="2AC464B6" w14:textId="77777777" w:rsidR="006A520E" w:rsidRPr="006A520E" w:rsidRDefault="006A520E" w:rsidP="006A520E">
      <w:pPr>
        <w:pStyle w:val="BodyText"/>
        <w:rPr>
          <w:rFonts w:asciiTheme="majorBidi" w:hAnsiTheme="majorBidi" w:cstheme="majorBidi"/>
        </w:rPr>
      </w:pPr>
      <w:r w:rsidRPr="006A520E">
        <w:rPr>
          <w:rFonts w:asciiTheme="majorBidi" w:hAnsiTheme="majorBidi" w:cstheme="majorBidi"/>
        </w:rPr>
        <w:t xml:space="preserve">[6] El-Rashidy, M. A. (2021). </w:t>
      </w:r>
      <w:r w:rsidRPr="006A520E">
        <w:rPr>
          <w:rFonts w:asciiTheme="majorBidi" w:hAnsiTheme="majorBidi" w:cstheme="majorBidi"/>
          <w:b/>
          <w:bCs/>
        </w:rPr>
        <w:t>A novel system for fast and accurate decisions of gold–stock markets in the short-term prediction.</w:t>
      </w:r>
      <w:r w:rsidRPr="006A520E">
        <w:rPr>
          <w:rFonts w:asciiTheme="majorBidi" w:hAnsiTheme="majorBidi" w:cstheme="majorBidi"/>
        </w:rPr>
        <w:t xml:space="preserve"> </w:t>
      </w:r>
      <w:r w:rsidRPr="006A520E">
        <w:rPr>
          <w:rFonts w:asciiTheme="majorBidi" w:hAnsiTheme="majorBidi" w:cstheme="majorBidi"/>
          <w:i/>
          <w:iCs/>
        </w:rPr>
        <w:t>Neural Computing and Applications, 33</w:t>
      </w:r>
      <w:r w:rsidRPr="006A520E">
        <w:rPr>
          <w:rFonts w:asciiTheme="majorBidi" w:hAnsiTheme="majorBidi" w:cstheme="majorBidi"/>
        </w:rPr>
        <w:t>(1), 393–407. DOI: 10.1007/s00521-020-04887-z</w:t>
      </w:r>
    </w:p>
    <w:p w14:paraId="4B585F5A" w14:textId="77777777" w:rsidR="006A520E" w:rsidRPr="006A520E" w:rsidRDefault="006A520E" w:rsidP="006A520E">
      <w:pPr>
        <w:pStyle w:val="BodyText"/>
        <w:rPr>
          <w:rFonts w:asciiTheme="majorBidi" w:hAnsiTheme="majorBidi" w:cstheme="majorBidi"/>
        </w:rPr>
      </w:pPr>
      <w:r w:rsidRPr="006A520E">
        <w:rPr>
          <w:rFonts w:asciiTheme="majorBidi" w:hAnsiTheme="majorBidi" w:cstheme="majorBidi"/>
        </w:rPr>
        <w:t xml:space="preserve">[7] Erdoğdu, A. (2017). </w:t>
      </w:r>
      <w:r w:rsidRPr="006A520E">
        <w:rPr>
          <w:rFonts w:asciiTheme="majorBidi" w:hAnsiTheme="majorBidi" w:cstheme="majorBidi"/>
          <w:b/>
          <w:bCs/>
        </w:rPr>
        <w:t>The most significant factors influencing the price of gold: An empirical analysis of the US market.</w:t>
      </w:r>
      <w:r w:rsidRPr="006A520E">
        <w:rPr>
          <w:rFonts w:asciiTheme="majorBidi" w:hAnsiTheme="majorBidi" w:cstheme="majorBidi"/>
        </w:rPr>
        <w:t xml:space="preserve"> </w:t>
      </w:r>
      <w:r w:rsidRPr="006A520E">
        <w:rPr>
          <w:rFonts w:asciiTheme="majorBidi" w:hAnsiTheme="majorBidi" w:cstheme="majorBidi"/>
          <w:i/>
          <w:iCs/>
        </w:rPr>
        <w:t>Economics, 5</w:t>
      </w:r>
      <w:r w:rsidRPr="006A520E">
        <w:rPr>
          <w:rFonts w:asciiTheme="majorBidi" w:hAnsiTheme="majorBidi" w:cstheme="majorBidi"/>
        </w:rPr>
        <w:t>(5), 399–406. DOI: 10.1515/econ-2017-0029</w:t>
      </w:r>
    </w:p>
    <w:p w14:paraId="184ED33E" w14:textId="77777777" w:rsidR="006A520E" w:rsidRPr="006A520E" w:rsidRDefault="006A520E" w:rsidP="006A520E">
      <w:pPr>
        <w:pStyle w:val="BodyText"/>
        <w:rPr>
          <w:rFonts w:asciiTheme="majorBidi" w:hAnsiTheme="majorBidi" w:cstheme="majorBidi"/>
        </w:rPr>
      </w:pPr>
      <w:r w:rsidRPr="006A520E">
        <w:rPr>
          <w:rFonts w:asciiTheme="majorBidi" w:hAnsiTheme="majorBidi" w:cstheme="majorBidi"/>
        </w:rPr>
        <w:t xml:space="preserve">[8] Hajirahimi, Z., &amp; Khashei, M. (2019). </w:t>
      </w:r>
      <w:r w:rsidRPr="006A520E">
        <w:rPr>
          <w:rFonts w:asciiTheme="majorBidi" w:hAnsiTheme="majorBidi" w:cstheme="majorBidi"/>
          <w:b/>
          <w:bCs/>
        </w:rPr>
        <w:t>Hybrid structures in time series modeling and forecasting: A review.</w:t>
      </w:r>
      <w:r w:rsidRPr="006A520E">
        <w:rPr>
          <w:rFonts w:asciiTheme="majorBidi" w:hAnsiTheme="majorBidi" w:cstheme="majorBidi"/>
        </w:rPr>
        <w:t xml:space="preserve"> </w:t>
      </w:r>
      <w:r w:rsidRPr="006A520E">
        <w:rPr>
          <w:rFonts w:asciiTheme="majorBidi" w:hAnsiTheme="majorBidi" w:cstheme="majorBidi"/>
          <w:i/>
          <w:iCs/>
        </w:rPr>
        <w:t>Engineering Applications of Artificial Intelligence, 86</w:t>
      </w:r>
      <w:r w:rsidRPr="006A520E">
        <w:rPr>
          <w:rFonts w:asciiTheme="majorBidi" w:hAnsiTheme="majorBidi" w:cstheme="majorBidi"/>
        </w:rPr>
        <w:t>, 83–106. DOI: 10.1016/j.engappai.2019.07.002</w:t>
      </w:r>
    </w:p>
    <w:p w14:paraId="230AB94F" w14:textId="77777777" w:rsidR="006A520E" w:rsidRPr="006A520E" w:rsidRDefault="006A520E" w:rsidP="006A520E">
      <w:pPr>
        <w:pStyle w:val="BodyText"/>
        <w:rPr>
          <w:rFonts w:asciiTheme="majorBidi" w:hAnsiTheme="majorBidi" w:cstheme="majorBidi"/>
        </w:rPr>
      </w:pPr>
      <w:r w:rsidRPr="006A520E">
        <w:rPr>
          <w:rFonts w:asciiTheme="majorBidi" w:hAnsiTheme="majorBidi" w:cstheme="majorBidi"/>
        </w:rPr>
        <w:t xml:space="preserve">[9] Hochreiter, S., &amp; Schmidhuber, J. (1997). </w:t>
      </w:r>
      <w:r w:rsidRPr="006A520E">
        <w:rPr>
          <w:rFonts w:asciiTheme="majorBidi" w:hAnsiTheme="majorBidi" w:cstheme="majorBidi"/>
          <w:b/>
          <w:bCs/>
        </w:rPr>
        <w:t>Long short-term memory.</w:t>
      </w:r>
      <w:r w:rsidRPr="006A520E">
        <w:rPr>
          <w:rFonts w:asciiTheme="majorBidi" w:hAnsiTheme="majorBidi" w:cstheme="majorBidi"/>
        </w:rPr>
        <w:t xml:space="preserve"> </w:t>
      </w:r>
      <w:r w:rsidRPr="006A520E">
        <w:rPr>
          <w:rFonts w:asciiTheme="majorBidi" w:hAnsiTheme="majorBidi" w:cstheme="majorBidi"/>
          <w:i/>
          <w:iCs/>
        </w:rPr>
        <w:t>Neural Computation, 9</w:t>
      </w:r>
      <w:r w:rsidRPr="006A520E">
        <w:rPr>
          <w:rFonts w:asciiTheme="majorBidi" w:hAnsiTheme="majorBidi" w:cstheme="majorBidi"/>
        </w:rPr>
        <w:t>(8), 1735–1780. DOI: 10.1162/neco.1997.9.8.1735</w:t>
      </w:r>
    </w:p>
    <w:p w14:paraId="6D73BF9F" w14:textId="77777777" w:rsidR="006A520E" w:rsidRPr="006A520E" w:rsidRDefault="006A520E" w:rsidP="006A520E">
      <w:pPr>
        <w:pStyle w:val="BodyText"/>
        <w:rPr>
          <w:rFonts w:asciiTheme="majorBidi" w:hAnsiTheme="majorBidi" w:cstheme="majorBidi"/>
        </w:rPr>
      </w:pPr>
      <w:r w:rsidRPr="006A520E">
        <w:rPr>
          <w:rFonts w:asciiTheme="majorBidi" w:hAnsiTheme="majorBidi" w:cstheme="majorBidi"/>
        </w:rPr>
        <w:t xml:space="preserve">[10] Hyndman, R. J., &amp; Koehler, A. B. (2006). </w:t>
      </w:r>
      <w:r w:rsidRPr="006A520E">
        <w:rPr>
          <w:rFonts w:asciiTheme="majorBidi" w:hAnsiTheme="majorBidi" w:cstheme="majorBidi"/>
          <w:b/>
          <w:bCs/>
        </w:rPr>
        <w:t>Another look at measures of forecast accuracy.</w:t>
      </w:r>
      <w:r w:rsidRPr="006A520E">
        <w:rPr>
          <w:rFonts w:asciiTheme="majorBidi" w:hAnsiTheme="majorBidi" w:cstheme="majorBidi"/>
        </w:rPr>
        <w:t xml:space="preserve"> </w:t>
      </w:r>
      <w:r w:rsidRPr="006A520E">
        <w:rPr>
          <w:rFonts w:asciiTheme="majorBidi" w:hAnsiTheme="majorBidi" w:cstheme="majorBidi"/>
          <w:i/>
          <w:iCs/>
        </w:rPr>
        <w:t>International Journal of Forecasting, 22</w:t>
      </w:r>
      <w:r w:rsidRPr="006A520E">
        <w:rPr>
          <w:rFonts w:asciiTheme="majorBidi" w:hAnsiTheme="majorBidi" w:cstheme="majorBidi"/>
        </w:rPr>
        <w:t>(4), 679–688. DOI: 10.1016/j.ijforecast.2006.03.001</w:t>
      </w:r>
    </w:p>
    <w:p w14:paraId="0C8B323F" w14:textId="77777777" w:rsidR="006A520E" w:rsidRPr="006A520E" w:rsidRDefault="006A520E" w:rsidP="006A520E">
      <w:pPr>
        <w:pStyle w:val="BodyText"/>
        <w:rPr>
          <w:rFonts w:asciiTheme="majorBidi" w:hAnsiTheme="majorBidi" w:cstheme="majorBidi"/>
        </w:rPr>
      </w:pPr>
      <w:r w:rsidRPr="006A520E">
        <w:rPr>
          <w:rFonts w:asciiTheme="majorBidi" w:hAnsiTheme="majorBidi" w:cstheme="majorBidi"/>
        </w:rPr>
        <w:t xml:space="preserve">[11] Jabeur, S. B., Mefteh-Wali, S., &amp; Viviani, J. L. (2024). </w:t>
      </w:r>
      <w:r w:rsidRPr="006A520E">
        <w:rPr>
          <w:rFonts w:asciiTheme="majorBidi" w:hAnsiTheme="majorBidi" w:cstheme="majorBidi"/>
          <w:b/>
          <w:bCs/>
        </w:rPr>
        <w:t>Forecasting gold price with the XGBoost algorithm and SHAP interaction values.</w:t>
      </w:r>
      <w:r w:rsidRPr="006A520E">
        <w:rPr>
          <w:rFonts w:asciiTheme="majorBidi" w:hAnsiTheme="majorBidi" w:cstheme="majorBidi"/>
        </w:rPr>
        <w:t xml:space="preserve"> </w:t>
      </w:r>
      <w:r w:rsidRPr="006A520E">
        <w:rPr>
          <w:rFonts w:asciiTheme="majorBidi" w:hAnsiTheme="majorBidi" w:cstheme="majorBidi"/>
          <w:i/>
          <w:iCs/>
        </w:rPr>
        <w:t>Annals of Operations Research, 334</w:t>
      </w:r>
      <w:r w:rsidRPr="006A520E">
        <w:rPr>
          <w:rFonts w:asciiTheme="majorBidi" w:hAnsiTheme="majorBidi" w:cstheme="majorBidi"/>
        </w:rPr>
        <w:t>(1), 679–699. DOI: 10.1007/s10479-021-04187-w</w:t>
      </w:r>
    </w:p>
    <w:p w14:paraId="53135B8D" w14:textId="77777777" w:rsidR="006A520E" w:rsidRPr="006A520E" w:rsidRDefault="006A520E" w:rsidP="006A520E">
      <w:pPr>
        <w:pStyle w:val="BodyText"/>
        <w:rPr>
          <w:rFonts w:asciiTheme="majorBidi" w:hAnsiTheme="majorBidi" w:cstheme="majorBidi"/>
        </w:rPr>
      </w:pPr>
      <w:r w:rsidRPr="006A520E">
        <w:rPr>
          <w:rFonts w:asciiTheme="majorBidi" w:hAnsiTheme="majorBidi" w:cstheme="majorBidi"/>
        </w:rPr>
        <w:t xml:space="preserve">[12] Kristjanpoller, W., &amp; Minutolo, M. C. (2015). </w:t>
      </w:r>
      <w:r w:rsidRPr="006A520E">
        <w:rPr>
          <w:rFonts w:asciiTheme="majorBidi" w:hAnsiTheme="majorBidi" w:cstheme="majorBidi"/>
          <w:b/>
          <w:bCs/>
        </w:rPr>
        <w:t>Gold price volatility: A forecasting approach using the artificial neural network–GARCH model.</w:t>
      </w:r>
      <w:r w:rsidRPr="006A520E">
        <w:rPr>
          <w:rFonts w:asciiTheme="majorBidi" w:hAnsiTheme="majorBidi" w:cstheme="majorBidi"/>
        </w:rPr>
        <w:t xml:space="preserve"> </w:t>
      </w:r>
      <w:r w:rsidRPr="006A520E">
        <w:rPr>
          <w:rFonts w:asciiTheme="majorBidi" w:hAnsiTheme="majorBidi" w:cstheme="majorBidi"/>
          <w:i/>
          <w:iCs/>
        </w:rPr>
        <w:t>Expert Systems with Applications, 42</w:t>
      </w:r>
      <w:r w:rsidRPr="006A520E">
        <w:rPr>
          <w:rFonts w:asciiTheme="majorBidi" w:hAnsiTheme="majorBidi" w:cstheme="majorBidi"/>
        </w:rPr>
        <w:t>(20), 7245–7251. DOI: 10.1016/j.eswa.2015.04.058</w:t>
      </w:r>
    </w:p>
    <w:p w14:paraId="28AC00B3" w14:textId="77777777" w:rsidR="006A520E" w:rsidRPr="006A520E" w:rsidRDefault="006A520E" w:rsidP="006A520E">
      <w:pPr>
        <w:pStyle w:val="BodyText"/>
        <w:rPr>
          <w:rFonts w:asciiTheme="majorBidi" w:hAnsiTheme="majorBidi" w:cstheme="majorBidi"/>
        </w:rPr>
      </w:pPr>
      <w:r w:rsidRPr="006A520E">
        <w:rPr>
          <w:rFonts w:asciiTheme="majorBidi" w:hAnsiTheme="majorBidi" w:cstheme="majorBidi"/>
        </w:rPr>
        <w:t xml:space="preserve">[13] Liu, Y., Zhang, Y., &amp; Peng, X. (2024). </w:t>
      </w:r>
      <w:r w:rsidRPr="006A520E">
        <w:rPr>
          <w:rFonts w:asciiTheme="majorBidi" w:hAnsiTheme="majorBidi" w:cstheme="majorBidi"/>
          <w:b/>
          <w:bCs/>
        </w:rPr>
        <w:t>Textual analysis and gold futures price forecasting: Evidence from the Chinese market.</w:t>
      </w:r>
      <w:r w:rsidRPr="006A520E">
        <w:rPr>
          <w:rFonts w:asciiTheme="majorBidi" w:hAnsiTheme="majorBidi" w:cstheme="majorBidi"/>
        </w:rPr>
        <w:t xml:space="preserve"> </w:t>
      </w:r>
      <w:r w:rsidRPr="006A520E">
        <w:rPr>
          <w:rFonts w:asciiTheme="majorBidi" w:hAnsiTheme="majorBidi" w:cstheme="majorBidi"/>
          <w:i/>
          <w:iCs/>
        </w:rPr>
        <w:t>Finance Research Letters, 69</w:t>
      </w:r>
      <w:r w:rsidRPr="006A520E">
        <w:rPr>
          <w:rFonts w:asciiTheme="majorBidi" w:hAnsiTheme="majorBidi" w:cstheme="majorBidi"/>
        </w:rPr>
        <w:t>, 106116. DOI: 10.1016/j.frl.2024.106116</w:t>
      </w:r>
    </w:p>
    <w:p w14:paraId="69A389A6" w14:textId="77777777" w:rsidR="006A520E" w:rsidRPr="006A520E" w:rsidRDefault="006A520E" w:rsidP="006A520E">
      <w:pPr>
        <w:pStyle w:val="BodyText"/>
        <w:rPr>
          <w:rFonts w:asciiTheme="majorBidi" w:hAnsiTheme="majorBidi" w:cstheme="majorBidi"/>
        </w:rPr>
      </w:pPr>
      <w:r w:rsidRPr="006A520E">
        <w:rPr>
          <w:rFonts w:asciiTheme="majorBidi" w:hAnsiTheme="majorBidi" w:cstheme="majorBidi"/>
        </w:rPr>
        <w:lastRenderedPageBreak/>
        <w:t xml:space="preserve">[14] Lundberg, S. M., &amp; Lee, S.-I. (2017). </w:t>
      </w:r>
      <w:r w:rsidRPr="006A520E">
        <w:rPr>
          <w:rFonts w:asciiTheme="majorBidi" w:hAnsiTheme="majorBidi" w:cstheme="majorBidi"/>
          <w:b/>
          <w:bCs/>
        </w:rPr>
        <w:t>A unified approach to interpreting model predictions.</w:t>
      </w:r>
      <w:r w:rsidRPr="006A520E">
        <w:rPr>
          <w:rFonts w:asciiTheme="majorBidi" w:hAnsiTheme="majorBidi" w:cstheme="majorBidi"/>
        </w:rPr>
        <w:t xml:space="preserve"> In </w:t>
      </w:r>
      <w:r w:rsidRPr="006A520E">
        <w:rPr>
          <w:rFonts w:asciiTheme="majorBidi" w:hAnsiTheme="majorBidi" w:cstheme="majorBidi"/>
          <w:i/>
          <w:iCs/>
        </w:rPr>
        <w:t>Advances in Neural Information Processing Systems (NeurIPS 2017)</w:t>
      </w:r>
      <w:r w:rsidRPr="006A520E">
        <w:rPr>
          <w:rFonts w:asciiTheme="majorBidi" w:hAnsiTheme="majorBidi" w:cstheme="majorBidi"/>
        </w:rPr>
        <w:t xml:space="preserve"> (pp. 4765–4774). Curran Associates. DOI: 10.48550/arXiv.1705.07874</w:t>
      </w:r>
    </w:p>
    <w:p w14:paraId="41E48F1B" w14:textId="77777777" w:rsidR="006A520E" w:rsidRPr="006A520E" w:rsidRDefault="006A520E" w:rsidP="006A520E">
      <w:pPr>
        <w:pStyle w:val="BodyText"/>
        <w:rPr>
          <w:rFonts w:asciiTheme="majorBidi" w:hAnsiTheme="majorBidi" w:cstheme="majorBidi"/>
        </w:rPr>
      </w:pPr>
      <w:r w:rsidRPr="006A520E">
        <w:rPr>
          <w:rFonts w:asciiTheme="majorBidi" w:hAnsiTheme="majorBidi" w:cstheme="majorBidi"/>
        </w:rPr>
        <w:t xml:space="preserve">[15] Parisi, A., Parisi, F., &amp; Díaz, D. (2008). </w:t>
      </w:r>
      <w:r w:rsidRPr="006A520E">
        <w:rPr>
          <w:rFonts w:asciiTheme="majorBidi" w:hAnsiTheme="majorBidi" w:cstheme="majorBidi"/>
          <w:b/>
          <w:bCs/>
        </w:rPr>
        <w:t>Forecasting gold price changes: Rolling and recursive neural network models.</w:t>
      </w:r>
      <w:r w:rsidRPr="006A520E">
        <w:rPr>
          <w:rFonts w:asciiTheme="majorBidi" w:hAnsiTheme="majorBidi" w:cstheme="majorBidi"/>
        </w:rPr>
        <w:t xml:space="preserve"> </w:t>
      </w:r>
      <w:r w:rsidRPr="006A520E">
        <w:rPr>
          <w:rFonts w:asciiTheme="majorBidi" w:hAnsiTheme="majorBidi" w:cstheme="majorBidi"/>
          <w:i/>
          <w:iCs/>
        </w:rPr>
        <w:t>Journal of Multinational Financial Management, 18</w:t>
      </w:r>
      <w:r w:rsidRPr="006A520E">
        <w:rPr>
          <w:rFonts w:asciiTheme="majorBidi" w:hAnsiTheme="majorBidi" w:cstheme="majorBidi"/>
        </w:rPr>
        <w:t>(5), 477–487. DOI: 10.1016/j.mulfin.2007.12.002</w:t>
      </w:r>
    </w:p>
    <w:p w14:paraId="7852C490" w14:textId="77777777" w:rsidR="006A520E" w:rsidRPr="006A520E" w:rsidRDefault="006A520E" w:rsidP="006A520E">
      <w:pPr>
        <w:pStyle w:val="BodyText"/>
        <w:rPr>
          <w:rFonts w:asciiTheme="majorBidi" w:hAnsiTheme="majorBidi" w:cstheme="majorBidi"/>
        </w:rPr>
      </w:pPr>
      <w:r w:rsidRPr="006A520E">
        <w:rPr>
          <w:rFonts w:asciiTheme="majorBidi" w:hAnsiTheme="majorBidi" w:cstheme="majorBidi"/>
        </w:rPr>
        <w:t xml:space="preserve">[16] Qian, Y., Ralescu, D. A., &amp; Zhang, B. (2019). </w:t>
      </w:r>
      <w:r w:rsidRPr="006A520E">
        <w:rPr>
          <w:rFonts w:asciiTheme="majorBidi" w:hAnsiTheme="majorBidi" w:cstheme="majorBidi"/>
          <w:b/>
          <w:bCs/>
        </w:rPr>
        <w:t>The analysis of factors affecting global gold price.</w:t>
      </w:r>
      <w:r w:rsidRPr="006A520E">
        <w:rPr>
          <w:rFonts w:asciiTheme="majorBidi" w:hAnsiTheme="majorBidi" w:cstheme="majorBidi"/>
        </w:rPr>
        <w:t xml:space="preserve"> </w:t>
      </w:r>
      <w:r w:rsidRPr="006A520E">
        <w:rPr>
          <w:rFonts w:asciiTheme="majorBidi" w:hAnsiTheme="majorBidi" w:cstheme="majorBidi"/>
          <w:i/>
          <w:iCs/>
        </w:rPr>
        <w:t>Resources Policy, 64</w:t>
      </w:r>
      <w:r w:rsidRPr="006A520E">
        <w:rPr>
          <w:rFonts w:asciiTheme="majorBidi" w:hAnsiTheme="majorBidi" w:cstheme="majorBidi"/>
        </w:rPr>
        <w:t>, 101478. DOI: 10.1016/j.resourpol.2019.101478</w:t>
      </w:r>
    </w:p>
    <w:p w14:paraId="1A4BCCA3" w14:textId="77777777" w:rsidR="006A520E" w:rsidRPr="006A520E" w:rsidRDefault="006A520E" w:rsidP="006A520E">
      <w:pPr>
        <w:pStyle w:val="BodyText"/>
        <w:rPr>
          <w:rFonts w:asciiTheme="majorBidi" w:hAnsiTheme="majorBidi" w:cstheme="majorBidi"/>
        </w:rPr>
      </w:pPr>
      <w:r w:rsidRPr="006A520E">
        <w:rPr>
          <w:rFonts w:asciiTheme="majorBidi" w:hAnsiTheme="majorBidi" w:cstheme="majorBidi"/>
        </w:rPr>
        <w:t xml:space="preserve">[17] Sadorsky, P. (2021). </w:t>
      </w:r>
      <w:r w:rsidRPr="006A520E">
        <w:rPr>
          <w:rFonts w:asciiTheme="majorBidi" w:hAnsiTheme="majorBidi" w:cstheme="majorBidi"/>
          <w:b/>
          <w:bCs/>
        </w:rPr>
        <w:t>Predicting gold and silver price direction using tree-based classifiers.</w:t>
      </w:r>
      <w:r w:rsidRPr="006A520E">
        <w:rPr>
          <w:rFonts w:asciiTheme="majorBidi" w:hAnsiTheme="majorBidi" w:cstheme="majorBidi"/>
        </w:rPr>
        <w:t xml:space="preserve"> </w:t>
      </w:r>
      <w:r w:rsidRPr="006A520E">
        <w:rPr>
          <w:rFonts w:asciiTheme="majorBidi" w:hAnsiTheme="majorBidi" w:cstheme="majorBidi"/>
          <w:i/>
          <w:iCs/>
        </w:rPr>
        <w:t>Journal of Risk and Financial Management, 14</w:t>
      </w:r>
      <w:r w:rsidRPr="006A520E">
        <w:rPr>
          <w:rFonts w:asciiTheme="majorBidi" w:hAnsiTheme="majorBidi" w:cstheme="majorBidi"/>
        </w:rPr>
        <w:t>(5), 198. DOI: 10.3390/jrfm14050198</w:t>
      </w:r>
    </w:p>
    <w:p w14:paraId="68F65AA9" w14:textId="77777777" w:rsidR="006A520E" w:rsidRPr="006A520E" w:rsidRDefault="006A520E" w:rsidP="006A520E">
      <w:pPr>
        <w:pStyle w:val="BodyText"/>
        <w:rPr>
          <w:rFonts w:asciiTheme="majorBidi" w:hAnsiTheme="majorBidi" w:cstheme="majorBidi"/>
        </w:rPr>
      </w:pPr>
      <w:r w:rsidRPr="006A520E">
        <w:rPr>
          <w:rFonts w:asciiTheme="majorBidi" w:hAnsiTheme="majorBidi" w:cstheme="majorBidi"/>
        </w:rPr>
        <w:t xml:space="preserve">[18] Sezer, O. B., Gudelek, M. U., &amp; Ozbayoglu, A. M. (2020). </w:t>
      </w:r>
      <w:r w:rsidRPr="006A520E">
        <w:rPr>
          <w:rFonts w:asciiTheme="majorBidi" w:hAnsiTheme="majorBidi" w:cstheme="majorBidi"/>
          <w:b/>
          <w:bCs/>
        </w:rPr>
        <w:t>Financial time series forecasting with deep learning: A systematic literature review (2005–2019).</w:t>
      </w:r>
      <w:r w:rsidRPr="006A520E">
        <w:rPr>
          <w:rFonts w:asciiTheme="majorBidi" w:hAnsiTheme="majorBidi" w:cstheme="majorBidi"/>
        </w:rPr>
        <w:t xml:space="preserve"> </w:t>
      </w:r>
      <w:r w:rsidRPr="006A520E">
        <w:rPr>
          <w:rFonts w:asciiTheme="majorBidi" w:hAnsiTheme="majorBidi" w:cstheme="majorBidi"/>
          <w:i/>
          <w:iCs/>
        </w:rPr>
        <w:t>Applied Soft Computing, 90</w:t>
      </w:r>
      <w:r w:rsidRPr="006A520E">
        <w:rPr>
          <w:rFonts w:asciiTheme="majorBidi" w:hAnsiTheme="majorBidi" w:cstheme="majorBidi"/>
        </w:rPr>
        <w:t>, 106181. DOI: 10.1016/j.asoc.2020.106181</w:t>
      </w:r>
    </w:p>
    <w:p w14:paraId="4E00F03E" w14:textId="77777777" w:rsidR="006A520E" w:rsidRPr="006A520E" w:rsidRDefault="006A520E" w:rsidP="006A520E">
      <w:pPr>
        <w:pStyle w:val="BodyText"/>
        <w:rPr>
          <w:rFonts w:asciiTheme="majorBidi" w:hAnsiTheme="majorBidi" w:cstheme="majorBidi"/>
        </w:rPr>
      </w:pPr>
      <w:r w:rsidRPr="006A520E">
        <w:rPr>
          <w:rFonts w:asciiTheme="majorBidi" w:hAnsiTheme="majorBidi" w:cstheme="majorBidi"/>
        </w:rPr>
        <w:t xml:space="preserve">[19] Sina, L. B., Secco, C. A., Blazevic, M., &amp; Nazemi, K. (2023). </w:t>
      </w:r>
      <w:r w:rsidRPr="006A520E">
        <w:rPr>
          <w:rFonts w:asciiTheme="majorBidi" w:hAnsiTheme="majorBidi" w:cstheme="majorBidi"/>
          <w:b/>
          <w:bCs/>
        </w:rPr>
        <w:t>Hybrid forecasting methods—A systematic review.</w:t>
      </w:r>
      <w:r w:rsidRPr="006A520E">
        <w:rPr>
          <w:rFonts w:asciiTheme="majorBidi" w:hAnsiTheme="majorBidi" w:cstheme="majorBidi"/>
        </w:rPr>
        <w:t xml:space="preserve"> </w:t>
      </w:r>
      <w:r w:rsidRPr="006A520E">
        <w:rPr>
          <w:rFonts w:asciiTheme="majorBidi" w:hAnsiTheme="majorBidi" w:cstheme="majorBidi"/>
          <w:i/>
          <w:iCs/>
        </w:rPr>
        <w:t>Electronics, 12</w:t>
      </w:r>
      <w:r w:rsidRPr="006A520E">
        <w:rPr>
          <w:rFonts w:asciiTheme="majorBidi" w:hAnsiTheme="majorBidi" w:cstheme="majorBidi"/>
        </w:rPr>
        <w:t>(9), 2019. DOI: 10.3390/electronics12092019</w:t>
      </w:r>
    </w:p>
    <w:p w14:paraId="150D551D" w14:textId="77777777" w:rsidR="006A520E" w:rsidRPr="006A520E" w:rsidRDefault="006A520E" w:rsidP="006A520E">
      <w:pPr>
        <w:pStyle w:val="BodyText"/>
        <w:rPr>
          <w:rFonts w:asciiTheme="majorBidi" w:hAnsiTheme="majorBidi" w:cstheme="majorBidi"/>
        </w:rPr>
      </w:pPr>
      <w:r w:rsidRPr="006A520E">
        <w:rPr>
          <w:rFonts w:asciiTheme="majorBidi" w:hAnsiTheme="majorBidi" w:cstheme="majorBidi"/>
        </w:rPr>
        <w:t xml:space="preserve">[20] Varshini, A., Kayal, P., &amp; Maiti, M. (2024). </w:t>
      </w:r>
      <w:r w:rsidRPr="006A520E">
        <w:rPr>
          <w:rFonts w:asciiTheme="majorBidi" w:hAnsiTheme="majorBidi" w:cstheme="majorBidi"/>
          <w:b/>
          <w:bCs/>
        </w:rPr>
        <w:t>How good are different machine and deep learning models in forecasting the future price of metals? Full sample versus sub-sample.</w:t>
      </w:r>
      <w:r w:rsidRPr="006A520E">
        <w:rPr>
          <w:rFonts w:asciiTheme="majorBidi" w:hAnsiTheme="majorBidi" w:cstheme="majorBidi"/>
        </w:rPr>
        <w:t xml:space="preserve"> </w:t>
      </w:r>
      <w:r w:rsidRPr="006A520E">
        <w:rPr>
          <w:rFonts w:asciiTheme="majorBidi" w:hAnsiTheme="majorBidi" w:cstheme="majorBidi"/>
          <w:i/>
          <w:iCs/>
        </w:rPr>
        <w:t>Resources Policy, 92</w:t>
      </w:r>
      <w:r w:rsidRPr="006A520E">
        <w:rPr>
          <w:rFonts w:asciiTheme="majorBidi" w:hAnsiTheme="majorBidi" w:cstheme="majorBidi"/>
        </w:rPr>
        <w:t>, 105040. DOI: 10.1016/j.resourpol.2023.105040</w:t>
      </w:r>
    </w:p>
    <w:p w14:paraId="3B87042A" w14:textId="77777777" w:rsidR="006A520E" w:rsidRPr="006A520E" w:rsidRDefault="006A520E" w:rsidP="006A520E">
      <w:pPr>
        <w:pStyle w:val="BodyText"/>
        <w:rPr>
          <w:rFonts w:asciiTheme="majorBidi" w:hAnsiTheme="majorBidi" w:cstheme="majorBidi"/>
        </w:rPr>
      </w:pPr>
      <w:r w:rsidRPr="006A520E">
        <w:rPr>
          <w:rFonts w:asciiTheme="majorBidi" w:hAnsiTheme="majorBidi" w:cstheme="majorBidi"/>
        </w:rPr>
        <w:t xml:space="preserve">[21] Vidal, A., &amp; Kristjanpoller, W. (2020). </w:t>
      </w:r>
      <w:r w:rsidRPr="006A520E">
        <w:rPr>
          <w:rFonts w:asciiTheme="majorBidi" w:hAnsiTheme="majorBidi" w:cstheme="majorBidi"/>
          <w:b/>
          <w:bCs/>
        </w:rPr>
        <w:t>Gold volatility prediction using a CNN–LSTM approach.</w:t>
      </w:r>
      <w:r w:rsidRPr="006A520E">
        <w:rPr>
          <w:rFonts w:asciiTheme="majorBidi" w:hAnsiTheme="majorBidi" w:cstheme="majorBidi"/>
        </w:rPr>
        <w:t xml:space="preserve"> </w:t>
      </w:r>
      <w:r w:rsidRPr="006A520E">
        <w:rPr>
          <w:rFonts w:asciiTheme="majorBidi" w:hAnsiTheme="majorBidi" w:cstheme="majorBidi"/>
          <w:i/>
          <w:iCs/>
        </w:rPr>
        <w:t>Expert Systems with Applications, 157</w:t>
      </w:r>
      <w:r w:rsidRPr="006A520E">
        <w:rPr>
          <w:rFonts w:asciiTheme="majorBidi" w:hAnsiTheme="majorBidi" w:cstheme="majorBidi"/>
        </w:rPr>
        <w:t>, 113481. DOI: 10.1016/j.eswa.2020.113481</w:t>
      </w:r>
    </w:p>
    <w:p w14:paraId="45B795CD" w14:textId="77777777" w:rsidR="006A520E" w:rsidRPr="006A520E" w:rsidRDefault="006A520E" w:rsidP="006A520E">
      <w:pPr>
        <w:pStyle w:val="BodyText"/>
        <w:rPr>
          <w:rFonts w:asciiTheme="majorBidi" w:hAnsiTheme="majorBidi" w:cstheme="majorBidi"/>
        </w:rPr>
      </w:pPr>
      <w:r w:rsidRPr="006A520E">
        <w:rPr>
          <w:rFonts w:asciiTheme="majorBidi" w:hAnsiTheme="majorBidi" w:cstheme="majorBidi"/>
        </w:rPr>
        <w:t xml:space="preserve">[22] Weng, F., Chen, Y., Wang, Z., Hou, M., Luo, J., &amp; Tian, Z. (2020). </w:t>
      </w:r>
      <w:r w:rsidRPr="006A520E">
        <w:rPr>
          <w:rFonts w:asciiTheme="majorBidi" w:hAnsiTheme="majorBidi" w:cstheme="majorBidi"/>
          <w:b/>
          <w:bCs/>
        </w:rPr>
        <w:t>Gold price forecasting research based on an improved online extreme learning machine algorithm.</w:t>
      </w:r>
      <w:r w:rsidRPr="006A520E">
        <w:rPr>
          <w:rFonts w:asciiTheme="majorBidi" w:hAnsiTheme="majorBidi" w:cstheme="majorBidi"/>
        </w:rPr>
        <w:t xml:space="preserve"> </w:t>
      </w:r>
      <w:r w:rsidRPr="006A520E">
        <w:rPr>
          <w:rFonts w:asciiTheme="majorBidi" w:hAnsiTheme="majorBidi" w:cstheme="majorBidi"/>
          <w:i/>
          <w:iCs/>
        </w:rPr>
        <w:t>Journal of Ambient Intelligence and Humanized Computing, 11</w:t>
      </w:r>
      <w:r w:rsidRPr="006A520E">
        <w:rPr>
          <w:rFonts w:asciiTheme="majorBidi" w:hAnsiTheme="majorBidi" w:cstheme="majorBidi"/>
        </w:rPr>
        <w:t>, 4101–4111. DOI: 10.1007/s12652-019-01618-3</w:t>
      </w:r>
    </w:p>
    <w:p w14:paraId="2EFAAB72" w14:textId="77777777" w:rsidR="006A520E" w:rsidRPr="006A520E" w:rsidRDefault="006A520E" w:rsidP="006A520E">
      <w:pPr>
        <w:pStyle w:val="BodyText"/>
        <w:rPr>
          <w:rFonts w:asciiTheme="majorBidi" w:hAnsiTheme="majorBidi" w:cstheme="majorBidi"/>
        </w:rPr>
      </w:pPr>
      <w:r w:rsidRPr="006A520E">
        <w:rPr>
          <w:rFonts w:asciiTheme="majorBidi" w:hAnsiTheme="majorBidi" w:cstheme="majorBidi"/>
        </w:rPr>
        <w:t xml:space="preserve">[23] Yahoo Finance. (2023). </w:t>
      </w:r>
      <w:r w:rsidRPr="006A520E">
        <w:rPr>
          <w:rFonts w:asciiTheme="majorBidi" w:hAnsiTheme="majorBidi" w:cstheme="majorBidi"/>
          <w:b/>
          <w:bCs/>
        </w:rPr>
        <w:t>Gold price historical data</w:t>
      </w:r>
      <w:r w:rsidRPr="006A520E">
        <w:rPr>
          <w:rFonts w:asciiTheme="majorBidi" w:hAnsiTheme="majorBidi" w:cstheme="majorBidi"/>
        </w:rPr>
        <w:t xml:space="preserve"> [Data set]. Retrieved December 10, 2023, from https://finance.yahoo.com/quote/GC%3DF/history</w:t>
      </w:r>
    </w:p>
    <w:p w14:paraId="61900350" w14:textId="77777777" w:rsidR="006A520E" w:rsidRPr="006A520E" w:rsidRDefault="006A520E" w:rsidP="006A520E">
      <w:pPr>
        <w:pStyle w:val="BodyText"/>
        <w:rPr>
          <w:rFonts w:asciiTheme="majorBidi" w:hAnsiTheme="majorBidi" w:cstheme="majorBidi"/>
        </w:rPr>
      </w:pPr>
      <w:r w:rsidRPr="006A520E">
        <w:rPr>
          <w:rFonts w:asciiTheme="majorBidi" w:hAnsiTheme="majorBidi" w:cstheme="majorBidi"/>
        </w:rPr>
        <w:t xml:space="preserve">[24] Yurtsever, M. (2021). </w:t>
      </w:r>
      <w:r w:rsidRPr="006A520E">
        <w:rPr>
          <w:rFonts w:asciiTheme="majorBidi" w:hAnsiTheme="majorBidi" w:cstheme="majorBidi"/>
          <w:b/>
          <w:bCs/>
        </w:rPr>
        <w:t>Gold price forecasting using LSTM, Bi-LSTM and GRU.</w:t>
      </w:r>
      <w:r w:rsidRPr="006A520E">
        <w:rPr>
          <w:rFonts w:asciiTheme="majorBidi" w:hAnsiTheme="majorBidi" w:cstheme="majorBidi"/>
        </w:rPr>
        <w:t xml:space="preserve"> </w:t>
      </w:r>
      <w:r w:rsidRPr="006A520E">
        <w:rPr>
          <w:rFonts w:asciiTheme="majorBidi" w:hAnsiTheme="majorBidi" w:cstheme="majorBidi"/>
          <w:i/>
          <w:iCs/>
        </w:rPr>
        <w:t>European Journal of Science and Technology, 31</w:t>
      </w:r>
      <w:r w:rsidRPr="006A520E">
        <w:rPr>
          <w:rFonts w:asciiTheme="majorBidi" w:hAnsiTheme="majorBidi" w:cstheme="majorBidi"/>
        </w:rPr>
        <w:t>, 341–347. DOI: 10.31590/ejosat.959405</w:t>
      </w:r>
    </w:p>
    <w:p w14:paraId="6CDBF82A" w14:textId="77777777" w:rsidR="006A520E" w:rsidRPr="006A520E" w:rsidRDefault="006A520E" w:rsidP="006A520E">
      <w:pPr>
        <w:pStyle w:val="BodyText"/>
        <w:rPr>
          <w:rFonts w:asciiTheme="majorBidi" w:hAnsiTheme="majorBidi" w:cstheme="majorBidi"/>
        </w:rPr>
      </w:pPr>
      <w:r w:rsidRPr="006A520E">
        <w:rPr>
          <w:rFonts w:asciiTheme="majorBidi" w:hAnsiTheme="majorBidi" w:cstheme="majorBidi"/>
        </w:rPr>
        <w:t xml:space="preserve">[25] Zhang, P., &amp; Ci, B. (2020). </w:t>
      </w:r>
      <w:r w:rsidRPr="006A520E">
        <w:rPr>
          <w:rFonts w:asciiTheme="majorBidi" w:hAnsiTheme="majorBidi" w:cstheme="majorBidi"/>
          <w:b/>
          <w:bCs/>
        </w:rPr>
        <w:t>Deep belief network for gold price forecasting.</w:t>
      </w:r>
      <w:r w:rsidRPr="006A520E">
        <w:rPr>
          <w:rFonts w:asciiTheme="majorBidi" w:hAnsiTheme="majorBidi" w:cstheme="majorBidi"/>
        </w:rPr>
        <w:t xml:space="preserve"> </w:t>
      </w:r>
      <w:r w:rsidRPr="006A520E">
        <w:rPr>
          <w:rFonts w:asciiTheme="majorBidi" w:hAnsiTheme="majorBidi" w:cstheme="majorBidi"/>
          <w:i/>
          <w:iCs/>
        </w:rPr>
        <w:t>Resources Policy, 69</w:t>
      </w:r>
      <w:r w:rsidRPr="006A520E">
        <w:rPr>
          <w:rFonts w:asciiTheme="majorBidi" w:hAnsiTheme="majorBidi" w:cstheme="majorBidi"/>
        </w:rPr>
        <w:t>, 101806. DOI: 10.1016/j.resourpol.2020.101806</w:t>
      </w:r>
    </w:p>
    <w:p w14:paraId="0080584F" w14:textId="66606625" w:rsidR="0063039B" w:rsidRPr="006A520E" w:rsidRDefault="0063039B" w:rsidP="002A2BA4">
      <w:pPr>
        <w:rPr>
          <w:rFonts w:asciiTheme="majorBidi" w:eastAsia="Google Sans Text" w:hAnsiTheme="majorBidi" w:cstheme="majorBidi"/>
          <w:color w:val="444746"/>
          <w:sz w:val="32"/>
          <w:szCs w:val="32"/>
          <w:rtl/>
        </w:rPr>
      </w:pPr>
    </w:p>
    <w:sectPr w:rsidR="0063039B" w:rsidRPr="006A520E" w:rsidSect="0072522D">
      <w:headerReference w:type="even" r:id="rId14"/>
      <w:headerReference w:type="default" r:id="rId15"/>
      <w:headerReference w:type="first" r:id="rId16"/>
      <w:pgSz w:w="12240" w:h="15840"/>
      <w:pgMar w:top="1440" w:right="1440" w:bottom="1440" w:left="1440" w:header="0" w:footer="720" w:gutter="0"/>
      <w:pgBorders w:offsetFrom="page">
        <w:top w:val="single" w:sz="24" w:space="24" w:color="8DB3E2" w:themeColor="text2" w:themeTint="66"/>
        <w:left w:val="single" w:sz="24" w:space="24" w:color="8DB3E2" w:themeColor="text2" w:themeTint="66"/>
        <w:bottom w:val="single" w:sz="24" w:space="24" w:color="8DB3E2" w:themeColor="text2" w:themeTint="66"/>
        <w:right w:val="single" w:sz="24" w:space="24" w:color="8DB3E2" w:themeColor="text2" w:themeTint="66"/>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526BB1" w14:textId="77777777" w:rsidR="00EB2AEE" w:rsidRDefault="00EB2AEE" w:rsidP="00DD56ED">
      <w:r>
        <w:separator/>
      </w:r>
    </w:p>
  </w:endnote>
  <w:endnote w:type="continuationSeparator" w:id="0">
    <w:p w14:paraId="6B12233F" w14:textId="77777777" w:rsidR="00EB2AEE" w:rsidRDefault="00EB2AEE" w:rsidP="00DD56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oogle Sans Text">
    <w:altName w:val="Calibri"/>
    <w:charset w:val="00"/>
    <w:family w:val="auto"/>
    <w:pitch w:val="default"/>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Google Sans">
    <w:altName w:val="Calibri"/>
    <w:charset w:val="00"/>
    <w:family w:val="auto"/>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7D5960" w14:textId="77777777" w:rsidR="00EB2AEE" w:rsidRDefault="00EB2AEE" w:rsidP="00DD56ED">
      <w:r>
        <w:separator/>
      </w:r>
    </w:p>
  </w:footnote>
  <w:footnote w:type="continuationSeparator" w:id="0">
    <w:p w14:paraId="2682D448" w14:textId="77777777" w:rsidR="00EB2AEE" w:rsidRDefault="00EB2AEE" w:rsidP="00DD56E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015F91" w14:textId="66C43C45" w:rsidR="00DD56ED" w:rsidRDefault="00DD56ED">
    <w:pPr>
      <w:pStyle w:val="Header"/>
    </w:pPr>
    <w:r>
      <w:rPr>
        <w:noProof/>
      </w:rPr>
      <mc:AlternateContent>
        <mc:Choice Requires="wps">
          <w:drawing>
            <wp:anchor distT="0" distB="0" distL="0" distR="0" simplePos="0" relativeHeight="251659264" behindDoc="0" locked="0" layoutInCell="1" allowOverlap="1" wp14:anchorId="114903CD" wp14:editId="53D73A8F">
              <wp:simplePos x="635" y="635"/>
              <wp:positionH relativeFrom="page">
                <wp:align>center</wp:align>
              </wp:positionH>
              <wp:positionV relativeFrom="page">
                <wp:align>top</wp:align>
              </wp:positionV>
              <wp:extent cx="553085" cy="345440"/>
              <wp:effectExtent l="0" t="0" r="18415" b="16510"/>
              <wp:wrapNone/>
              <wp:docPr id="1202946805" name="Text Box 2" descr="Public - عام">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53085" cy="345440"/>
                      </a:xfrm>
                      <a:prstGeom prst="rect">
                        <a:avLst/>
                      </a:prstGeom>
                      <a:noFill/>
                      <a:ln>
                        <a:noFill/>
                      </a:ln>
                    </wps:spPr>
                    <wps:txbx>
                      <w:txbxContent>
                        <w:p w14:paraId="34D43EC9" w14:textId="4D79860D" w:rsidR="00DD56ED" w:rsidRPr="00DD56ED" w:rsidRDefault="00DD56ED" w:rsidP="00DD56ED">
                          <w:pPr>
                            <w:rPr>
                              <w:rFonts w:ascii="Calibri" w:eastAsia="Calibri" w:hAnsi="Calibri" w:cs="Calibri"/>
                              <w:noProof/>
                              <w:color w:val="008000"/>
                              <w:sz w:val="20"/>
                              <w:szCs w:val="20"/>
                            </w:rPr>
                          </w:pPr>
                          <w:r w:rsidRPr="00DD56ED">
                            <w:rPr>
                              <w:rFonts w:ascii="Calibri" w:eastAsia="Calibri" w:hAnsi="Calibri" w:cs="Calibri"/>
                              <w:noProof/>
                              <w:color w:val="008000"/>
                              <w:sz w:val="20"/>
                              <w:szCs w:val="20"/>
                            </w:rPr>
                            <w:t xml:space="preserve">Public - </w:t>
                          </w:r>
                          <w:r w:rsidRPr="00DD56ED">
                            <w:rPr>
                              <w:rFonts w:ascii="Calibri" w:eastAsia="Calibri" w:hAnsi="Calibri" w:cs="Calibri"/>
                              <w:noProof/>
                              <w:color w:val="008000"/>
                              <w:sz w:val="20"/>
                              <w:szCs w:val="20"/>
                              <w:rtl/>
                            </w:rPr>
                            <w:t>عام</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114903CD" id="_x0000_t202" coordsize="21600,21600" o:spt="202" path="m,l,21600r21600,l21600,xe">
              <v:stroke joinstyle="miter"/>
              <v:path gradientshapeok="t" o:connecttype="rect"/>
            </v:shapetype>
            <v:shape id="Text Box 2" o:spid="_x0000_s1026" type="#_x0000_t202" alt="Public - عام" style="position:absolute;margin-left:0;margin-top:0;width:43.55pt;height:27.2pt;z-index:251659264;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" filled="f" stroked="f">
              <v:textbox style="mso-fit-shape-to-text:t" inset="0,15pt,0,0">
                <w:txbxContent>
                  <w:p w14:paraId="34D43EC9" w14:textId="4D79860D" w:rsidR="00DD56ED" w:rsidRPr="00DD56ED" w:rsidRDefault="00DD56ED" w:rsidP="00DD56ED">
                    <w:pPr>
                      <w:rPr>
                        <w:rFonts w:ascii="Calibri" w:eastAsia="Calibri" w:hAnsi="Calibri" w:cs="Calibri"/>
                        <w:noProof/>
                        <w:color w:val="008000"/>
                        <w:sz w:val="20"/>
                        <w:szCs w:val="20"/>
                      </w:rPr>
                    </w:pPr>
                    <w:r w:rsidRPr="00DD56ED">
                      <w:rPr>
                        <w:rFonts w:ascii="Calibri" w:eastAsia="Calibri" w:hAnsi="Calibri" w:cs="Calibri"/>
                        <w:noProof/>
                        <w:color w:val="008000"/>
                        <w:sz w:val="20"/>
                        <w:szCs w:val="20"/>
                      </w:rPr>
                      <w:t xml:space="preserve">Public - </w:t>
                    </w:r>
                    <w:r w:rsidRPr="00DD56ED">
                      <w:rPr>
                        <w:rFonts w:ascii="Calibri" w:eastAsia="Calibri" w:hAnsi="Calibri" w:cs="Calibri"/>
                        <w:noProof/>
                        <w:color w:val="008000"/>
                        <w:sz w:val="20"/>
                        <w:szCs w:val="20"/>
                        <w:rtl/>
                      </w:rPr>
                      <w:t>عام</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68EE6B" w14:textId="0BCF5961" w:rsidR="00DD56ED" w:rsidRDefault="00DD56ED">
    <w:pPr>
      <w:pStyle w:val="Header"/>
    </w:pPr>
    <w:r>
      <w:rPr>
        <w:noProof/>
      </w:rPr>
      <mc:AlternateContent>
        <mc:Choice Requires="wps">
          <w:drawing>
            <wp:anchor distT="0" distB="0" distL="0" distR="0" simplePos="0" relativeHeight="251660288" behindDoc="0" locked="0" layoutInCell="1" allowOverlap="1" wp14:anchorId="2CA493BE" wp14:editId="6C8AECB2">
              <wp:simplePos x="914400" y="0"/>
              <wp:positionH relativeFrom="page">
                <wp:align>center</wp:align>
              </wp:positionH>
              <wp:positionV relativeFrom="page">
                <wp:align>top</wp:align>
              </wp:positionV>
              <wp:extent cx="553085" cy="345440"/>
              <wp:effectExtent l="0" t="0" r="18415" b="16510"/>
              <wp:wrapNone/>
              <wp:docPr id="1073371486" name="Text Box 3" descr="Public - عام">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53085" cy="345440"/>
                      </a:xfrm>
                      <a:prstGeom prst="rect">
                        <a:avLst/>
                      </a:prstGeom>
                      <a:noFill/>
                      <a:ln>
                        <a:noFill/>
                      </a:ln>
                    </wps:spPr>
                    <wps:txbx>
                      <w:txbxContent>
                        <w:p w14:paraId="7EC50CCA" w14:textId="68889E96" w:rsidR="00DD56ED" w:rsidRPr="00DD56ED" w:rsidRDefault="00DD56ED" w:rsidP="00DD56ED">
                          <w:pPr>
                            <w:rPr>
                              <w:rFonts w:ascii="Calibri" w:eastAsia="Calibri" w:hAnsi="Calibri" w:cs="Calibri"/>
                              <w:noProof/>
                              <w:color w:val="008000"/>
                              <w:sz w:val="20"/>
                              <w:szCs w:val="20"/>
                            </w:rPr>
                          </w:pPr>
                          <w:r w:rsidRPr="00DD56ED">
                            <w:rPr>
                              <w:rFonts w:ascii="Calibri" w:eastAsia="Calibri" w:hAnsi="Calibri" w:cs="Calibri"/>
                              <w:noProof/>
                              <w:color w:val="008000"/>
                              <w:sz w:val="20"/>
                              <w:szCs w:val="20"/>
                            </w:rPr>
                            <w:t xml:space="preserve">Public - </w:t>
                          </w:r>
                          <w:r w:rsidRPr="00DD56ED">
                            <w:rPr>
                              <w:rFonts w:ascii="Calibri" w:eastAsia="Calibri" w:hAnsi="Calibri" w:cs="Calibri"/>
                              <w:noProof/>
                              <w:color w:val="008000"/>
                              <w:sz w:val="20"/>
                              <w:szCs w:val="20"/>
                              <w:rtl/>
                            </w:rPr>
                            <w:t>عام</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2CA493BE" id="_x0000_t202" coordsize="21600,21600" o:spt="202" path="m,l,21600r21600,l21600,xe">
              <v:stroke joinstyle="miter"/>
              <v:path gradientshapeok="t" o:connecttype="rect"/>
            </v:shapetype>
            <v:shape id="Text Box 3" o:spid="_x0000_s1027" type="#_x0000_t202" alt="Public - عام" style="position:absolute;margin-left:0;margin-top:0;width:43.55pt;height:27.2pt;z-index:251660288;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" filled="f" stroked="f">
              <v:textbox style="mso-fit-shape-to-text:t" inset="0,15pt,0,0">
                <w:txbxContent>
                  <w:p w14:paraId="7EC50CCA" w14:textId="68889E96" w:rsidR="00DD56ED" w:rsidRPr="00DD56ED" w:rsidRDefault="00DD56ED" w:rsidP="00DD56ED">
                    <w:pPr>
                      <w:rPr>
                        <w:rFonts w:ascii="Calibri" w:eastAsia="Calibri" w:hAnsi="Calibri" w:cs="Calibri"/>
                        <w:noProof/>
                        <w:color w:val="008000"/>
                        <w:sz w:val="20"/>
                        <w:szCs w:val="20"/>
                      </w:rPr>
                    </w:pPr>
                    <w:r w:rsidRPr="00DD56ED">
                      <w:rPr>
                        <w:rFonts w:ascii="Calibri" w:eastAsia="Calibri" w:hAnsi="Calibri" w:cs="Calibri"/>
                        <w:noProof/>
                        <w:color w:val="008000"/>
                        <w:sz w:val="20"/>
                        <w:szCs w:val="20"/>
                      </w:rPr>
                      <w:t xml:space="preserve">Public - </w:t>
                    </w:r>
                    <w:r w:rsidRPr="00DD56ED">
                      <w:rPr>
                        <w:rFonts w:ascii="Calibri" w:eastAsia="Calibri" w:hAnsi="Calibri" w:cs="Calibri"/>
                        <w:noProof/>
                        <w:color w:val="008000"/>
                        <w:sz w:val="20"/>
                        <w:szCs w:val="20"/>
                        <w:rtl/>
                      </w:rPr>
                      <w:t>عام</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F260F4" w14:textId="5601FF2D" w:rsidR="00DD56ED" w:rsidRDefault="00DD56ED">
    <w:pPr>
      <w:pStyle w:val="Header"/>
    </w:pPr>
    <w:r>
      <w:rPr>
        <w:noProof/>
      </w:rPr>
      <mc:AlternateContent>
        <mc:Choice Requires="wps">
          <w:drawing>
            <wp:anchor distT="0" distB="0" distL="0" distR="0" simplePos="0" relativeHeight="251658240" behindDoc="0" locked="0" layoutInCell="1" allowOverlap="1" wp14:anchorId="25A735B8" wp14:editId="524A7FD1">
              <wp:simplePos x="635" y="635"/>
              <wp:positionH relativeFrom="page">
                <wp:align>center</wp:align>
              </wp:positionH>
              <wp:positionV relativeFrom="page">
                <wp:align>top</wp:align>
              </wp:positionV>
              <wp:extent cx="553085" cy="345440"/>
              <wp:effectExtent l="0" t="0" r="18415" b="16510"/>
              <wp:wrapNone/>
              <wp:docPr id="806549310" name="Text Box 1" descr="Public - عام">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53085" cy="345440"/>
                      </a:xfrm>
                      <a:prstGeom prst="rect">
                        <a:avLst/>
                      </a:prstGeom>
                      <a:noFill/>
                      <a:ln>
                        <a:noFill/>
                      </a:ln>
                    </wps:spPr>
                    <wps:txbx>
                      <w:txbxContent>
                        <w:p w14:paraId="507C04BC" w14:textId="40CE86F3" w:rsidR="00DD56ED" w:rsidRPr="00DD56ED" w:rsidRDefault="00DD56ED" w:rsidP="00DD56ED">
                          <w:pPr>
                            <w:rPr>
                              <w:rFonts w:ascii="Calibri" w:eastAsia="Calibri" w:hAnsi="Calibri" w:cs="Calibri"/>
                              <w:noProof/>
                              <w:color w:val="008000"/>
                              <w:sz w:val="20"/>
                              <w:szCs w:val="20"/>
                            </w:rPr>
                          </w:pPr>
                          <w:r w:rsidRPr="00DD56ED">
                            <w:rPr>
                              <w:rFonts w:ascii="Calibri" w:eastAsia="Calibri" w:hAnsi="Calibri" w:cs="Calibri"/>
                              <w:noProof/>
                              <w:color w:val="008000"/>
                              <w:sz w:val="20"/>
                              <w:szCs w:val="20"/>
                            </w:rPr>
                            <w:t xml:space="preserve">Public - </w:t>
                          </w:r>
                          <w:r w:rsidRPr="00DD56ED">
                            <w:rPr>
                              <w:rFonts w:ascii="Calibri" w:eastAsia="Calibri" w:hAnsi="Calibri" w:cs="Calibri"/>
                              <w:noProof/>
                              <w:color w:val="008000"/>
                              <w:sz w:val="20"/>
                              <w:szCs w:val="20"/>
                              <w:rtl/>
                            </w:rPr>
                            <w:t>عام</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25A735B8" id="_x0000_t202" coordsize="21600,21600" o:spt="202" path="m,l,21600r21600,l21600,xe">
              <v:stroke joinstyle="miter"/>
              <v:path gradientshapeok="t" o:connecttype="rect"/>
            </v:shapetype>
            <v:shape id="Text Box 1" o:spid="_x0000_s1028" type="#_x0000_t202" alt="Public - عام" style="position:absolute;margin-left:0;margin-top:0;width:43.55pt;height:27.2pt;z-index:251658240;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" filled="f" stroked="f">
              <v:textbox style="mso-fit-shape-to-text:t" inset="0,15pt,0,0">
                <w:txbxContent>
                  <w:p w14:paraId="507C04BC" w14:textId="40CE86F3" w:rsidR="00DD56ED" w:rsidRPr="00DD56ED" w:rsidRDefault="00DD56ED" w:rsidP="00DD56ED">
                    <w:pPr>
                      <w:rPr>
                        <w:rFonts w:ascii="Calibri" w:eastAsia="Calibri" w:hAnsi="Calibri" w:cs="Calibri"/>
                        <w:noProof/>
                        <w:color w:val="008000"/>
                        <w:sz w:val="20"/>
                        <w:szCs w:val="20"/>
                      </w:rPr>
                    </w:pPr>
                    <w:r w:rsidRPr="00DD56ED">
                      <w:rPr>
                        <w:rFonts w:ascii="Calibri" w:eastAsia="Calibri" w:hAnsi="Calibri" w:cs="Calibri"/>
                        <w:noProof/>
                        <w:color w:val="008000"/>
                        <w:sz w:val="20"/>
                        <w:szCs w:val="20"/>
                      </w:rPr>
                      <w:t xml:space="preserve">Public - </w:t>
                    </w:r>
                    <w:r w:rsidRPr="00DD56ED">
                      <w:rPr>
                        <w:rFonts w:ascii="Calibri" w:eastAsia="Calibri" w:hAnsi="Calibri" w:cs="Calibri"/>
                        <w:noProof/>
                        <w:color w:val="008000"/>
                        <w:sz w:val="20"/>
                        <w:szCs w:val="20"/>
                        <w:rtl/>
                      </w:rPr>
                      <w:t>عام</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3F1C11"/>
    <w:multiLevelType w:val="hybridMultilevel"/>
    <w:tmpl w:val="C6FEB9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6C97B4C"/>
    <w:multiLevelType w:val="multilevel"/>
    <w:tmpl w:val="E126050E"/>
    <w:lvl w:ilvl="0">
      <w:start w:val="1"/>
      <w:numFmt w:val="bullet"/>
      <w:lvlText w:val="●"/>
      <w:lvlJc w:val="left"/>
      <w:pPr>
        <w:ind w:left="465"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2" w15:restartNumberingAfterBreak="0">
    <w:nsid w:val="0C2F22F9"/>
    <w:multiLevelType w:val="multilevel"/>
    <w:tmpl w:val="D3AAA0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D2329B5"/>
    <w:multiLevelType w:val="multilevel"/>
    <w:tmpl w:val="5EE847C2"/>
    <w:lvl w:ilvl="0">
      <w:start w:val="1"/>
      <w:numFmt w:val="bullet"/>
      <w:lvlText w:val="●"/>
      <w:lvlJc w:val="left"/>
      <w:pPr>
        <w:ind w:left="465"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4" w15:restartNumberingAfterBreak="0">
    <w:nsid w:val="12894CBA"/>
    <w:multiLevelType w:val="multilevel"/>
    <w:tmpl w:val="9A4A6D66"/>
    <w:lvl w:ilvl="0">
      <w:start w:val="1"/>
      <w:numFmt w:val="bullet"/>
      <w:lvlText w:val="●"/>
      <w:lvlJc w:val="left"/>
      <w:pPr>
        <w:ind w:left="465"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5" w15:restartNumberingAfterBreak="0">
    <w:nsid w:val="17246414"/>
    <w:multiLevelType w:val="hybridMultilevel"/>
    <w:tmpl w:val="46A22BF6"/>
    <w:lvl w:ilvl="0" w:tplc="DAF20092">
      <w:start w:val="6"/>
      <w:numFmt w:val="bullet"/>
      <w:lvlText w:val=""/>
      <w:lvlJc w:val="left"/>
      <w:pPr>
        <w:ind w:left="1080" w:hanging="360"/>
      </w:pPr>
      <w:rPr>
        <w:rFonts w:ascii="Symbol" w:eastAsia="Google Sans Text" w:hAnsi="Symbol" w:cstheme="maj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24185BAE"/>
    <w:multiLevelType w:val="multilevel"/>
    <w:tmpl w:val="F14213EA"/>
    <w:lvl w:ilvl="0">
      <w:start w:val="1"/>
      <w:numFmt w:val="bullet"/>
      <w:lvlText w:val="●"/>
      <w:lvlJc w:val="left"/>
      <w:pPr>
        <w:ind w:left="465"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7" w15:restartNumberingAfterBreak="0">
    <w:nsid w:val="29C34E37"/>
    <w:multiLevelType w:val="multilevel"/>
    <w:tmpl w:val="C688DFF8"/>
    <w:lvl w:ilvl="0">
      <w:start w:val="1"/>
      <w:numFmt w:val="bullet"/>
      <w:lvlText w:val="●"/>
      <w:lvlJc w:val="left"/>
      <w:pPr>
        <w:ind w:left="465"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8" w15:restartNumberingAfterBreak="0">
    <w:nsid w:val="2BEB1EE9"/>
    <w:multiLevelType w:val="multilevel"/>
    <w:tmpl w:val="1464BB7A"/>
    <w:lvl w:ilvl="0">
      <w:start w:val="1"/>
      <w:numFmt w:val="decimal"/>
      <w:lvlText w:val="%1."/>
      <w:lvlJc w:val="left"/>
      <w:pPr>
        <w:ind w:left="48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9" w15:restartNumberingAfterBreak="0">
    <w:nsid w:val="2DD91D53"/>
    <w:multiLevelType w:val="multilevel"/>
    <w:tmpl w:val="7A429FF0"/>
    <w:lvl w:ilvl="0">
      <w:start w:val="1"/>
      <w:numFmt w:val="decimal"/>
      <w:lvlText w:val="%1."/>
      <w:lvlJc w:val="left"/>
      <w:pPr>
        <w:ind w:left="48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10" w15:restartNumberingAfterBreak="0">
    <w:nsid w:val="32C746BA"/>
    <w:multiLevelType w:val="multilevel"/>
    <w:tmpl w:val="39A60A00"/>
    <w:lvl w:ilvl="0">
      <w:start w:val="1"/>
      <w:numFmt w:val="decimal"/>
      <w:lvlText w:val="%1."/>
      <w:lvlJc w:val="left"/>
      <w:pPr>
        <w:ind w:left="48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11" w15:restartNumberingAfterBreak="0">
    <w:nsid w:val="344C1297"/>
    <w:multiLevelType w:val="multilevel"/>
    <w:tmpl w:val="D6F4E18E"/>
    <w:lvl w:ilvl="0">
      <w:start w:val="1"/>
      <w:numFmt w:val="decimal"/>
      <w:lvlText w:val="%1."/>
      <w:lvlJc w:val="left"/>
      <w:pPr>
        <w:ind w:left="48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12" w15:restartNumberingAfterBreak="0">
    <w:nsid w:val="34740D0E"/>
    <w:multiLevelType w:val="multilevel"/>
    <w:tmpl w:val="147C46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66E4B30"/>
    <w:multiLevelType w:val="multilevel"/>
    <w:tmpl w:val="73866C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C0B32E0"/>
    <w:multiLevelType w:val="multilevel"/>
    <w:tmpl w:val="F15AC898"/>
    <w:lvl w:ilvl="0">
      <w:start w:val="1"/>
      <w:numFmt w:val="bullet"/>
      <w:lvlText w:val="●"/>
      <w:lvlJc w:val="left"/>
      <w:pPr>
        <w:ind w:left="465"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15" w15:restartNumberingAfterBreak="0">
    <w:nsid w:val="423C3DEC"/>
    <w:multiLevelType w:val="multilevel"/>
    <w:tmpl w:val="7F0A49DC"/>
    <w:lvl w:ilvl="0">
      <w:start w:val="1"/>
      <w:numFmt w:val="decimal"/>
      <w:lvlText w:val="%1"/>
      <w:lvlJc w:val="left"/>
      <w:pPr>
        <w:ind w:left="450" w:hanging="450"/>
      </w:pPr>
      <w:rPr>
        <w:rFonts w:hint="default"/>
      </w:rPr>
    </w:lvl>
    <w:lvl w:ilvl="1">
      <w:start w:val="1"/>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6" w15:restartNumberingAfterBreak="0">
    <w:nsid w:val="42B60D1C"/>
    <w:multiLevelType w:val="hybridMultilevel"/>
    <w:tmpl w:val="10CA7FA8"/>
    <w:lvl w:ilvl="0" w:tplc="673E5256">
      <w:start w:val="1"/>
      <w:numFmt w:val="bullet"/>
      <w:lvlText w:val=""/>
      <w:lvlJc w:val="left"/>
      <w:pPr>
        <w:ind w:left="720" w:hanging="360"/>
      </w:pPr>
      <w:rPr>
        <w:rFonts w:ascii="Symbol" w:eastAsia="Google Sans Text" w:hAnsi="Symbol" w:cs="Google Sans Text"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9824215"/>
    <w:multiLevelType w:val="multilevel"/>
    <w:tmpl w:val="B8ECA9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5DB6D31"/>
    <w:multiLevelType w:val="hybridMultilevel"/>
    <w:tmpl w:val="521A4302"/>
    <w:lvl w:ilvl="0" w:tplc="7C2AB864">
      <w:start w:val="2"/>
      <w:numFmt w:val="bullet"/>
      <w:lvlText w:val=""/>
      <w:lvlJc w:val="left"/>
      <w:pPr>
        <w:ind w:left="825" w:hanging="360"/>
      </w:pPr>
      <w:rPr>
        <w:rFonts w:ascii="Symbol" w:eastAsia="Google Sans Text" w:hAnsi="Symbol" w:cs="Google Sans Text" w:hint="default"/>
        <w:b/>
        <w:color w:val="1B1C1D"/>
      </w:rPr>
    </w:lvl>
    <w:lvl w:ilvl="1" w:tplc="04090003" w:tentative="1">
      <w:start w:val="1"/>
      <w:numFmt w:val="bullet"/>
      <w:lvlText w:val="o"/>
      <w:lvlJc w:val="left"/>
      <w:pPr>
        <w:ind w:left="1545" w:hanging="360"/>
      </w:pPr>
      <w:rPr>
        <w:rFonts w:ascii="Courier New" w:hAnsi="Courier New" w:cs="Courier New" w:hint="default"/>
      </w:rPr>
    </w:lvl>
    <w:lvl w:ilvl="2" w:tplc="04090005" w:tentative="1">
      <w:start w:val="1"/>
      <w:numFmt w:val="bullet"/>
      <w:lvlText w:val=""/>
      <w:lvlJc w:val="left"/>
      <w:pPr>
        <w:ind w:left="2265" w:hanging="360"/>
      </w:pPr>
      <w:rPr>
        <w:rFonts w:ascii="Wingdings" w:hAnsi="Wingdings" w:hint="default"/>
      </w:rPr>
    </w:lvl>
    <w:lvl w:ilvl="3" w:tplc="04090001" w:tentative="1">
      <w:start w:val="1"/>
      <w:numFmt w:val="bullet"/>
      <w:lvlText w:val=""/>
      <w:lvlJc w:val="left"/>
      <w:pPr>
        <w:ind w:left="2985" w:hanging="360"/>
      </w:pPr>
      <w:rPr>
        <w:rFonts w:ascii="Symbol" w:hAnsi="Symbol" w:hint="default"/>
      </w:rPr>
    </w:lvl>
    <w:lvl w:ilvl="4" w:tplc="04090003" w:tentative="1">
      <w:start w:val="1"/>
      <w:numFmt w:val="bullet"/>
      <w:lvlText w:val="o"/>
      <w:lvlJc w:val="left"/>
      <w:pPr>
        <w:ind w:left="3705" w:hanging="360"/>
      </w:pPr>
      <w:rPr>
        <w:rFonts w:ascii="Courier New" w:hAnsi="Courier New" w:cs="Courier New" w:hint="default"/>
      </w:rPr>
    </w:lvl>
    <w:lvl w:ilvl="5" w:tplc="04090005" w:tentative="1">
      <w:start w:val="1"/>
      <w:numFmt w:val="bullet"/>
      <w:lvlText w:val=""/>
      <w:lvlJc w:val="left"/>
      <w:pPr>
        <w:ind w:left="4425" w:hanging="360"/>
      </w:pPr>
      <w:rPr>
        <w:rFonts w:ascii="Wingdings" w:hAnsi="Wingdings" w:hint="default"/>
      </w:rPr>
    </w:lvl>
    <w:lvl w:ilvl="6" w:tplc="04090001" w:tentative="1">
      <w:start w:val="1"/>
      <w:numFmt w:val="bullet"/>
      <w:lvlText w:val=""/>
      <w:lvlJc w:val="left"/>
      <w:pPr>
        <w:ind w:left="5145" w:hanging="360"/>
      </w:pPr>
      <w:rPr>
        <w:rFonts w:ascii="Symbol" w:hAnsi="Symbol" w:hint="default"/>
      </w:rPr>
    </w:lvl>
    <w:lvl w:ilvl="7" w:tplc="04090003" w:tentative="1">
      <w:start w:val="1"/>
      <w:numFmt w:val="bullet"/>
      <w:lvlText w:val="o"/>
      <w:lvlJc w:val="left"/>
      <w:pPr>
        <w:ind w:left="5865" w:hanging="360"/>
      </w:pPr>
      <w:rPr>
        <w:rFonts w:ascii="Courier New" w:hAnsi="Courier New" w:cs="Courier New" w:hint="default"/>
      </w:rPr>
    </w:lvl>
    <w:lvl w:ilvl="8" w:tplc="04090005" w:tentative="1">
      <w:start w:val="1"/>
      <w:numFmt w:val="bullet"/>
      <w:lvlText w:val=""/>
      <w:lvlJc w:val="left"/>
      <w:pPr>
        <w:ind w:left="6585" w:hanging="360"/>
      </w:pPr>
      <w:rPr>
        <w:rFonts w:ascii="Wingdings" w:hAnsi="Wingdings" w:hint="default"/>
      </w:rPr>
    </w:lvl>
  </w:abstractNum>
  <w:abstractNum w:abstractNumId="19" w15:restartNumberingAfterBreak="0">
    <w:nsid w:val="55DC190B"/>
    <w:multiLevelType w:val="hybridMultilevel"/>
    <w:tmpl w:val="39FE51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6460831"/>
    <w:multiLevelType w:val="multilevel"/>
    <w:tmpl w:val="DC1CB2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FC41DDC"/>
    <w:multiLevelType w:val="multilevel"/>
    <w:tmpl w:val="7F1E1B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180489D"/>
    <w:multiLevelType w:val="multilevel"/>
    <w:tmpl w:val="DEF01830"/>
    <w:lvl w:ilvl="0">
      <w:start w:val="1"/>
      <w:numFmt w:val="bullet"/>
      <w:lvlText w:val="●"/>
      <w:lvlJc w:val="left"/>
      <w:pPr>
        <w:ind w:left="465"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23" w15:restartNumberingAfterBreak="0">
    <w:nsid w:val="6FCA6630"/>
    <w:multiLevelType w:val="multilevel"/>
    <w:tmpl w:val="F51604A0"/>
    <w:lvl w:ilvl="0">
      <w:start w:val="1"/>
      <w:numFmt w:val="decimal"/>
      <w:lvlText w:val="%1."/>
      <w:lvlJc w:val="left"/>
      <w:pPr>
        <w:ind w:left="60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24" w15:restartNumberingAfterBreak="0">
    <w:nsid w:val="748C0331"/>
    <w:multiLevelType w:val="multilevel"/>
    <w:tmpl w:val="5192B7E2"/>
    <w:lvl w:ilvl="0">
      <w:start w:val="1"/>
      <w:numFmt w:val="bullet"/>
      <w:lvlText w:val="●"/>
      <w:lvlJc w:val="left"/>
      <w:pPr>
        <w:ind w:left="465"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25" w15:restartNumberingAfterBreak="0">
    <w:nsid w:val="775954A7"/>
    <w:multiLevelType w:val="multilevel"/>
    <w:tmpl w:val="B90EECA0"/>
    <w:lvl w:ilvl="0">
      <w:start w:val="1"/>
      <w:numFmt w:val="decimal"/>
      <w:lvlText w:val="%1."/>
      <w:lvlJc w:val="left"/>
      <w:pPr>
        <w:ind w:left="48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26" w15:restartNumberingAfterBreak="0">
    <w:nsid w:val="78565D93"/>
    <w:multiLevelType w:val="hybridMultilevel"/>
    <w:tmpl w:val="0FFCA79E"/>
    <w:lvl w:ilvl="0" w:tplc="04090001">
      <w:start w:val="1"/>
      <w:numFmt w:val="bullet"/>
      <w:lvlText w:val=""/>
      <w:lvlJc w:val="left"/>
      <w:pPr>
        <w:ind w:left="720" w:hanging="360"/>
      </w:pPr>
      <w:rPr>
        <w:rFonts w:ascii="Symbol" w:hAnsi="Symbol" w:hint="default"/>
      </w:rPr>
    </w:lvl>
    <w:lvl w:ilvl="1" w:tplc="D8C23D9A">
      <w:numFmt w:val="bullet"/>
      <w:lvlText w:val="•"/>
      <w:lvlJc w:val="left"/>
      <w:pPr>
        <w:ind w:left="1440" w:hanging="360"/>
      </w:pPr>
      <w:rPr>
        <w:rFonts w:ascii="Calibri" w:eastAsia="Google Sans Text" w:hAnsi="Calibri" w:cs="Calibri"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9272E77"/>
    <w:multiLevelType w:val="multilevel"/>
    <w:tmpl w:val="78D02364"/>
    <w:lvl w:ilvl="0">
      <w:start w:val="1"/>
      <w:numFmt w:val="decimal"/>
      <w:lvlText w:val="%1."/>
      <w:lvlJc w:val="left"/>
      <w:pPr>
        <w:ind w:left="48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num w:numId="1" w16cid:durableId="254943679">
    <w:abstractNumId w:val="1"/>
  </w:num>
  <w:num w:numId="2" w16cid:durableId="1237933654">
    <w:abstractNumId w:val="9"/>
  </w:num>
  <w:num w:numId="3" w16cid:durableId="1899365577">
    <w:abstractNumId w:val="11"/>
  </w:num>
  <w:num w:numId="4" w16cid:durableId="1556309165">
    <w:abstractNumId w:val="22"/>
  </w:num>
  <w:num w:numId="5" w16cid:durableId="203099431">
    <w:abstractNumId w:val="10"/>
  </w:num>
  <w:num w:numId="6" w16cid:durableId="1276525541">
    <w:abstractNumId w:val="4"/>
  </w:num>
  <w:num w:numId="7" w16cid:durableId="23605315">
    <w:abstractNumId w:val="6"/>
  </w:num>
  <w:num w:numId="8" w16cid:durableId="1573347333">
    <w:abstractNumId w:val="7"/>
  </w:num>
  <w:num w:numId="9" w16cid:durableId="342821774">
    <w:abstractNumId w:val="25"/>
  </w:num>
  <w:num w:numId="10" w16cid:durableId="589890054">
    <w:abstractNumId w:val="14"/>
  </w:num>
  <w:num w:numId="11" w16cid:durableId="894435377">
    <w:abstractNumId w:val="24"/>
  </w:num>
  <w:num w:numId="12" w16cid:durableId="20133873">
    <w:abstractNumId w:val="27"/>
  </w:num>
  <w:num w:numId="13" w16cid:durableId="1509250675">
    <w:abstractNumId w:val="3"/>
  </w:num>
  <w:num w:numId="14" w16cid:durableId="246430122">
    <w:abstractNumId w:val="8"/>
  </w:num>
  <w:num w:numId="15" w16cid:durableId="1755517124">
    <w:abstractNumId w:val="23"/>
  </w:num>
  <w:num w:numId="16" w16cid:durableId="557866481">
    <w:abstractNumId w:val="18"/>
  </w:num>
  <w:num w:numId="17" w16cid:durableId="105082304">
    <w:abstractNumId w:val="15"/>
  </w:num>
  <w:num w:numId="18" w16cid:durableId="12197383">
    <w:abstractNumId w:val="19"/>
  </w:num>
  <w:num w:numId="19" w16cid:durableId="1800342757">
    <w:abstractNumId w:val="13"/>
  </w:num>
  <w:num w:numId="20" w16cid:durableId="110049800">
    <w:abstractNumId w:val="26"/>
  </w:num>
  <w:num w:numId="21" w16cid:durableId="495875369">
    <w:abstractNumId w:val="0"/>
  </w:num>
  <w:num w:numId="22" w16cid:durableId="1980767249">
    <w:abstractNumId w:val="12"/>
  </w:num>
  <w:num w:numId="23" w16cid:durableId="2017801901">
    <w:abstractNumId w:val="17"/>
  </w:num>
  <w:num w:numId="24" w16cid:durableId="752165364">
    <w:abstractNumId w:val="16"/>
  </w:num>
  <w:num w:numId="25" w16cid:durableId="859777965">
    <w:abstractNumId w:val="21"/>
  </w:num>
  <w:num w:numId="26" w16cid:durableId="1715352436">
    <w:abstractNumId w:val="2"/>
  </w:num>
  <w:num w:numId="27" w16cid:durableId="1139148888">
    <w:abstractNumId w:val="20"/>
  </w:num>
  <w:num w:numId="28" w16cid:durableId="142595591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F03C9"/>
    <w:rsid w:val="00005F89"/>
    <w:rsid w:val="00007099"/>
    <w:rsid w:val="0003110E"/>
    <w:rsid w:val="00032AD9"/>
    <w:rsid w:val="000360AA"/>
    <w:rsid w:val="00044B06"/>
    <w:rsid w:val="000532FF"/>
    <w:rsid w:val="00061572"/>
    <w:rsid w:val="00066E03"/>
    <w:rsid w:val="00076F51"/>
    <w:rsid w:val="0008315A"/>
    <w:rsid w:val="00087E7E"/>
    <w:rsid w:val="000A4979"/>
    <w:rsid w:val="000A5542"/>
    <w:rsid w:val="000C78F0"/>
    <w:rsid w:val="000D06EE"/>
    <w:rsid w:val="000D3A6D"/>
    <w:rsid w:val="000E211A"/>
    <w:rsid w:val="00101E30"/>
    <w:rsid w:val="00101FA8"/>
    <w:rsid w:val="00105DF9"/>
    <w:rsid w:val="00116B6B"/>
    <w:rsid w:val="001372C2"/>
    <w:rsid w:val="0014091B"/>
    <w:rsid w:val="00144876"/>
    <w:rsid w:val="0016549F"/>
    <w:rsid w:val="001829B8"/>
    <w:rsid w:val="00194EE1"/>
    <w:rsid w:val="00197DE0"/>
    <w:rsid w:val="001B15B0"/>
    <w:rsid w:val="001B6285"/>
    <w:rsid w:val="001C1C56"/>
    <w:rsid w:val="001E312E"/>
    <w:rsid w:val="001F2068"/>
    <w:rsid w:val="001F4858"/>
    <w:rsid w:val="00203199"/>
    <w:rsid w:val="0021256E"/>
    <w:rsid w:val="0022168E"/>
    <w:rsid w:val="00230924"/>
    <w:rsid w:val="00242E96"/>
    <w:rsid w:val="002449BA"/>
    <w:rsid w:val="002649E5"/>
    <w:rsid w:val="00270C91"/>
    <w:rsid w:val="00285F6E"/>
    <w:rsid w:val="002A2BA4"/>
    <w:rsid w:val="002B3D17"/>
    <w:rsid w:val="002C0643"/>
    <w:rsid w:val="002F6D62"/>
    <w:rsid w:val="002F715B"/>
    <w:rsid w:val="002F798A"/>
    <w:rsid w:val="0030194C"/>
    <w:rsid w:val="00301A74"/>
    <w:rsid w:val="00316DB9"/>
    <w:rsid w:val="00352DEB"/>
    <w:rsid w:val="00366966"/>
    <w:rsid w:val="00383C94"/>
    <w:rsid w:val="00383FDC"/>
    <w:rsid w:val="00391D3F"/>
    <w:rsid w:val="00392736"/>
    <w:rsid w:val="003A4CB9"/>
    <w:rsid w:val="003A6B1A"/>
    <w:rsid w:val="003B11DB"/>
    <w:rsid w:val="003D25F4"/>
    <w:rsid w:val="003D48F4"/>
    <w:rsid w:val="003E516F"/>
    <w:rsid w:val="003F03C9"/>
    <w:rsid w:val="003F33A0"/>
    <w:rsid w:val="003F70C4"/>
    <w:rsid w:val="004322F0"/>
    <w:rsid w:val="00437F4B"/>
    <w:rsid w:val="00452F95"/>
    <w:rsid w:val="00454125"/>
    <w:rsid w:val="00455866"/>
    <w:rsid w:val="004711F1"/>
    <w:rsid w:val="0047480F"/>
    <w:rsid w:val="00481B29"/>
    <w:rsid w:val="004825E9"/>
    <w:rsid w:val="00482AD8"/>
    <w:rsid w:val="004B68AF"/>
    <w:rsid w:val="004C0A7F"/>
    <w:rsid w:val="004C4CBA"/>
    <w:rsid w:val="004E17A7"/>
    <w:rsid w:val="004E590A"/>
    <w:rsid w:val="0050594F"/>
    <w:rsid w:val="00506B5B"/>
    <w:rsid w:val="005155FE"/>
    <w:rsid w:val="00521E50"/>
    <w:rsid w:val="00523B2B"/>
    <w:rsid w:val="00532408"/>
    <w:rsid w:val="0054372B"/>
    <w:rsid w:val="00567D7E"/>
    <w:rsid w:val="005929CC"/>
    <w:rsid w:val="00596408"/>
    <w:rsid w:val="005B1500"/>
    <w:rsid w:val="005B6C63"/>
    <w:rsid w:val="005C487B"/>
    <w:rsid w:val="005C4ACA"/>
    <w:rsid w:val="005C66CA"/>
    <w:rsid w:val="005D22E0"/>
    <w:rsid w:val="005D781E"/>
    <w:rsid w:val="005E69A6"/>
    <w:rsid w:val="006055EF"/>
    <w:rsid w:val="00607316"/>
    <w:rsid w:val="00615C33"/>
    <w:rsid w:val="006203AF"/>
    <w:rsid w:val="00621FAF"/>
    <w:rsid w:val="00622884"/>
    <w:rsid w:val="006229BE"/>
    <w:rsid w:val="00624D6A"/>
    <w:rsid w:val="0063039B"/>
    <w:rsid w:val="0063681A"/>
    <w:rsid w:val="00640FD0"/>
    <w:rsid w:val="00656E8E"/>
    <w:rsid w:val="00664930"/>
    <w:rsid w:val="00670E8E"/>
    <w:rsid w:val="00675038"/>
    <w:rsid w:val="00675B97"/>
    <w:rsid w:val="00681FF3"/>
    <w:rsid w:val="00686E41"/>
    <w:rsid w:val="00687AFD"/>
    <w:rsid w:val="00694E2C"/>
    <w:rsid w:val="00696F16"/>
    <w:rsid w:val="00697DFD"/>
    <w:rsid w:val="006A3D23"/>
    <w:rsid w:val="006A520E"/>
    <w:rsid w:val="006B1E4D"/>
    <w:rsid w:val="006B5257"/>
    <w:rsid w:val="006C791D"/>
    <w:rsid w:val="006F24DB"/>
    <w:rsid w:val="007064DC"/>
    <w:rsid w:val="0072522D"/>
    <w:rsid w:val="0072699D"/>
    <w:rsid w:val="00735673"/>
    <w:rsid w:val="007471B9"/>
    <w:rsid w:val="00752E28"/>
    <w:rsid w:val="00765652"/>
    <w:rsid w:val="007808C9"/>
    <w:rsid w:val="00782015"/>
    <w:rsid w:val="007847CA"/>
    <w:rsid w:val="0079484B"/>
    <w:rsid w:val="00795A7A"/>
    <w:rsid w:val="007A29BA"/>
    <w:rsid w:val="007A3CF1"/>
    <w:rsid w:val="007A4536"/>
    <w:rsid w:val="007B6CA8"/>
    <w:rsid w:val="007C1109"/>
    <w:rsid w:val="007D20AF"/>
    <w:rsid w:val="007D3964"/>
    <w:rsid w:val="007D7260"/>
    <w:rsid w:val="007F3288"/>
    <w:rsid w:val="007F4062"/>
    <w:rsid w:val="0081624C"/>
    <w:rsid w:val="00831C8B"/>
    <w:rsid w:val="00846A70"/>
    <w:rsid w:val="00857078"/>
    <w:rsid w:val="0085728A"/>
    <w:rsid w:val="008577CF"/>
    <w:rsid w:val="00876CDC"/>
    <w:rsid w:val="00883863"/>
    <w:rsid w:val="00891323"/>
    <w:rsid w:val="00895147"/>
    <w:rsid w:val="008954E5"/>
    <w:rsid w:val="008A1F24"/>
    <w:rsid w:val="008B6CF9"/>
    <w:rsid w:val="008D7557"/>
    <w:rsid w:val="008D7793"/>
    <w:rsid w:val="008E20A3"/>
    <w:rsid w:val="008E5BCA"/>
    <w:rsid w:val="008E7974"/>
    <w:rsid w:val="00917E8E"/>
    <w:rsid w:val="00932989"/>
    <w:rsid w:val="009513E2"/>
    <w:rsid w:val="009636B1"/>
    <w:rsid w:val="00972315"/>
    <w:rsid w:val="0097283D"/>
    <w:rsid w:val="00976BD1"/>
    <w:rsid w:val="009929A3"/>
    <w:rsid w:val="00993319"/>
    <w:rsid w:val="009A5177"/>
    <w:rsid w:val="009B067A"/>
    <w:rsid w:val="009F2696"/>
    <w:rsid w:val="009F70D8"/>
    <w:rsid w:val="00A00F2A"/>
    <w:rsid w:val="00A03EAC"/>
    <w:rsid w:val="00A23FE5"/>
    <w:rsid w:val="00A46AC9"/>
    <w:rsid w:val="00A52B57"/>
    <w:rsid w:val="00A741D0"/>
    <w:rsid w:val="00A757D0"/>
    <w:rsid w:val="00A94CA1"/>
    <w:rsid w:val="00AA5181"/>
    <w:rsid w:val="00AA57C1"/>
    <w:rsid w:val="00AC1F73"/>
    <w:rsid w:val="00AD5EB5"/>
    <w:rsid w:val="00AD6033"/>
    <w:rsid w:val="00AE1F4C"/>
    <w:rsid w:val="00AE2A35"/>
    <w:rsid w:val="00AF4E82"/>
    <w:rsid w:val="00B03A5E"/>
    <w:rsid w:val="00B43FE1"/>
    <w:rsid w:val="00B509AB"/>
    <w:rsid w:val="00B64392"/>
    <w:rsid w:val="00B738B0"/>
    <w:rsid w:val="00B836D4"/>
    <w:rsid w:val="00B973B6"/>
    <w:rsid w:val="00BA2980"/>
    <w:rsid w:val="00BB5E58"/>
    <w:rsid w:val="00BB7FD0"/>
    <w:rsid w:val="00BC64D2"/>
    <w:rsid w:val="00BC698C"/>
    <w:rsid w:val="00BD47B4"/>
    <w:rsid w:val="00BE333E"/>
    <w:rsid w:val="00BE4674"/>
    <w:rsid w:val="00BF10B3"/>
    <w:rsid w:val="00C108CC"/>
    <w:rsid w:val="00C1483A"/>
    <w:rsid w:val="00C2513F"/>
    <w:rsid w:val="00C42E84"/>
    <w:rsid w:val="00C44EEC"/>
    <w:rsid w:val="00C461CE"/>
    <w:rsid w:val="00C531F8"/>
    <w:rsid w:val="00C82E5F"/>
    <w:rsid w:val="00C91AD4"/>
    <w:rsid w:val="00C94BB1"/>
    <w:rsid w:val="00C95FAA"/>
    <w:rsid w:val="00CA0EBC"/>
    <w:rsid w:val="00CA3ECF"/>
    <w:rsid w:val="00CA738E"/>
    <w:rsid w:val="00CC7B22"/>
    <w:rsid w:val="00CE4E2F"/>
    <w:rsid w:val="00CE6C38"/>
    <w:rsid w:val="00D23A4B"/>
    <w:rsid w:val="00D27945"/>
    <w:rsid w:val="00D3019E"/>
    <w:rsid w:val="00D33CC8"/>
    <w:rsid w:val="00D40398"/>
    <w:rsid w:val="00D45CBE"/>
    <w:rsid w:val="00D50B98"/>
    <w:rsid w:val="00D53AA9"/>
    <w:rsid w:val="00D5643B"/>
    <w:rsid w:val="00D56A2D"/>
    <w:rsid w:val="00D97904"/>
    <w:rsid w:val="00DA741B"/>
    <w:rsid w:val="00DB2CAD"/>
    <w:rsid w:val="00DD152E"/>
    <w:rsid w:val="00DD56ED"/>
    <w:rsid w:val="00DF720E"/>
    <w:rsid w:val="00E02C95"/>
    <w:rsid w:val="00E05503"/>
    <w:rsid w:val="00E258D8"/>
    <w:rsid w:val="00E353B4"/>
    <w:rsid w:val="00E42B83"/>
    <w:rsid w:val="00E46F3D"/>
    <w:rsid w:val="00E523DA"/>
    <w:rsid w:val="00E607B0"/>
    <w:rsid w:val="00E63A27"/>
    <w:rsid w:val="00E66084"/>
    <w:rsid w:val="00E70D4C"/>
    <w:rsid w:val="00E73116"/>
    <w:rsid w:val="00E76890"/>
    <w:rsid w:val="00E9001C"/>
    <w:rsid w:val="00E91FE1"/>
    <w:rsid w:val="00E93827"/>
    <w:rsid w:val="00E95F24"/>
    <w:rsid w:val="00EA1141"/>
    <w:rsid w:val="00EA597F"/>
    <w:rsid w:val="00EB2AEE"/>
    <w:rsid w:val="00EC3BF3"/>
    <w:rsid w:val="00ED2D72"/>
    <w:rsid w:val="00ED7052"/>
    <w:rsid w:val="00F207A6"/>
    <w:rsid w:val="00F223D2"/>
    <w:rsid w:val="00F22FFA"/>
    <w:rsid w:val="00F25F2D"/>
    <w:rsid w:val="00F52DDD"/>
    <w:rsid w:val="00F64D91"/>
    <w:rsid w:val="00F764AB"/>
    <w:rsid w:val="00F9539B"/>
    <w:rsid w:val="00F95FEC"/>
    <w:rsid w:val="00FB3598"/>
    <w:rsid w:val="00FC10A0"/>
    <w:rsid w:val="00FF628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A76871"/>
  <w15:docId w15:val="{D6A6EAAE-E660-4FAD-8095-4A460ED745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US" w:eastAsia="en-US"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65652"/>
  </w:style>
  <w:style w:type="paragraph" w:styleId="Heading1">
    <w:name w:val="heading 1"/>
    <w:basedOn w:val="Normal"/>
    <w:next w:val="Normal"/>
    <w:link w:val="Heading1Char"/>
    <w:uiPriority w:val="9"/>
    <w:qFormat/>
    <w:pPr>
      <w:pBdr>
        <w:top w:val="nil"/>
        <w:left w:val="nil"/>
        <w:bottom w:val="nil"/>
        <w:right w:val="nil"/>
        <w:between w:val="nil"/>
      </w:pBdr>
      <w:spacing w:before="240" w:after="240"/>
      <w:outlineLvl w:val="0"/>
    </w:pPr>
    <w:rPr>
      <w:b/>
      <w:sz w:val="48"/>
      <w:szCs w:val="48"/>
    </w:rPr>
  </w:style>
  <w:style w:type="paragraph" w:styleId="Heading2">
    <w:name w:val="heading 2"/>
    <w:basedOn w:val="Normal"/>
    <w:next w:val="Normal"/>
    <w:uiPriority w:val="9"/>
    <w:unhideWhenUsed/>
    <w:qFormat/>
    <w:pPr>
      <w:pBdr>
        <w:top w:val="nil"/>
        <w:left w:val="nil"/>
        <w:bottom w:val="nil"/>
        <w:right w:val="nil"/>
        <w:between w:val="nil"/>
      </w:pBdr>
      <w:spacing w:before="225" w:after="225"/>
      <w:outlineLvl w:val="1"/>
    </w:pPr>
    <w:rPr>
      <w:b/>
      <w:sz w:val="36"/>
      <w:szCs w:val="36"/>
    </w:rPr>
  </w:style>
  <w:style w:type="paragraph" w:styleId="Heading3">
    <w:name w:val="heading 3"/>
    <w:basedOn w:val="Normal"/>
    <w:next w:val="Normal"/>
    <w:link w:val="Heading3Char"/>
    <w:uiPriority w:val="9"/>
    <w:unhideWhenUsed/>
    <w:qFormat/>
    <w:pPr>
      <w:pBdr>
        <w:top w:val="nil"/>
        <w:left w:val="nil"/>
        <w:bottom w:val="nil"/>
        <w:right w:val="nil"/>
        <w:between w:val="nil"/>
      </w:pBdr>
      <w:spacing w:before="240" w:after="240"/>
      <w:outlineLvl w:val="2"/>
    </w:pPr>
    <w:rPr>
      <w:b/>
      <w:sz w:val="28"/>
      <w:szCs w:val="28"/>
    </w:rPr>
  </w:style>
  <w:style w:type="paragraph" w:styleId="Heading4">
    <w:name w:val="heading 4"/>
    <w:basedOn w:val="Normal"/>
    <w:next w:val="Normal"/>
    <w:uiPriority w:val="9"/>
    <w:unhideWhenUsed/>
    <w:qFormat/>
    <w:pPr>
      <w:pBdr>
        <w:top w:val="nil"/>
        <w:left w:val="nil"/>
        <w:bottom w:val="nil"/>
        <w:right w:val="nil"/>
        <w:between w:val="nil"/>
      </w:pBdr>
      <w:spacing w:before="255" w:after="255"/>
      <w:outlineLvl w:val="3"/>
    </w:pPr>
    <w:rPr>
      <w:b/>
      <w:sz w:val="24"/>
      <w:szCs w:val="24"/>
    </w:rPr>
  </w:style>
  <w:style w:type="paragraph" w:styleId="Heading5">
    <w:name w:val="heading 5"/>
    <w:basedOn w:val="Normal"/>
    <w:next w:val="Normal"/>
    <w:uiPriority w:val="9"/>
    <w:semiHidden/>
    <w:unhideWhenUsed/>
    <w:qFormat/>
    <w:pPr>
      <w:pBdr>
        <w:top w:val="nil"/>
        <w:left w:val="nil"/>
        <w:bottom w:val="nil"/>
        <w:right w:val="nil"/>
        <w:between w:val="nil"/>
      </w:pBdr>
      <w:spacing w:before="255" w:after="255"/>
      <w:outlineLvl w:val="4"/>
    </w:pPr>
    <w:rPr>
      <w:b/>
      <w:sz w:val="18"/>
      <w:szCs w:val="18"/>
    </w:rPr>
  </w:style>
  <w:style w:type="paragraph" w:styleId="Heading6">
    <w:name w:val="heading 6"/>
    <w:basedOn w:val="Normal"/>
    <w:next w:val="Normal"/>
    <w:uiPriority w:val="9"/>
    <w:semiHidden/>
    <w:unhideWhenUsed/>
    <w:qFormat/>
    <w:pPr>
      <w:pBdr>
        <w:top w:val="nil"/>
        <w:left w:val="nil"/>
        <w:bottom w:val="nil"/>
        <w:right w:val="nil"/>
        <w:between w:val="nil"/>
      </w:pBdr>
      <w:spacing w:before="360" w:after="360"/>
      <w:outlineLvl w:val="5"/>
    </w:pPr>
    <w:rPr>
      <w:b/>
      <w:sz w:val="16"/>
      <w:szCs w:val="1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0"/>
    <w:tblPr>
      <w:tblStyleRowBandSize w:val="1"/>
      <w:tblStyleColBandSize w:val="1"/>
    </w:tblPr>
  </w:style>
  <w:style w:type="table" w:customStyle="1" w:styleId="a0">
    <w:basedOn w:val="TableNormal0"/>
    <w:tblPr>
      <w:tblStyleRowBandSize w:val="1"/>
      <w:tblStyleColBandSize w:val="1"/>
    </w:tblPr>
  </w:style>
  <w:style w:type="table" w:customStyle="1" w:styleId="a1">
    <w:basedOn w:val="TableNormal0"/>
    <w:tblPr>
      <w:tblStyleRowBandSize w:val="1"/>
      <w:tblStyleColBandSize w:val="1"/>
    </w:tblPr>
  </w:style>
  <w:style w:type="table" w:customStyle="1" w:styleId="a2">
    <w:basedOn w:val="TableNormal0"/>
    <w:tblPr>
      <w:tblStyleRowBandSize w:val="1"/>
      <w:tblStyleColBandSize w:val="1"/>
    </w:tblPr>
  </w:style>
  <w:style w:type="table" w:customStyle="1" w:styleId="a3">
    <w:basedOn w:val="TableNormal0"/>
    <w:tblPr>
      <w:tblStyleRowBandSize w:val="1"/>
      <w:tblStyleColBandSize w:val="1"/>
    </w:tblPr>
  </w:style>
  <w:style w:type="table" w:customStyle="1" w:styleId="a4">
    <w:basedOn w:val="TableNormal0"/>
    <w:tblPr>
      <w:tblStyleRowBandSize w:val="1"/>
      <w:tblStyleColBandSize w:val="1"/>
    </w:tblPr>
  </w:style>
  <w:style w:type="paragraph" w:styleId="NormalWeb">
    <w:name w:val="Normal (Web)"/>
    <w:basedOn w:val="Normal"/>
    <w:uiPriority w:val="99"/>
    <w:unhideWhenUsed/>
    <w:rsid w:val="008D7557"/>
    <w:pPr>
      <w:widowControl/>
      <w:spacing w:before="100" w:beforeAutospacing="1" w:after="100" w:afterAutospacing="1"/>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DD56ED"/>
    <w:pPr>
      <w:tabs>
        <w:tab w:val="center" w:pos="4680"/>
        <w:tab w:val="right" w:pos="9360"/>
      </w:tabs>
    </w:pPr>
  </w:style>
  <w:style w:type="character" w:customStyle="1" w:styleId="HeaderChar">
    <w:name w:val="Header Char"/>
    <w:basedOn w:val="DefaultParagraphFont"/>
    <w:link w:val="Header"/>
    <w:uiPriority w:val="99"/>
    <w:rsid w:val="00DD56ED"/>
  </w:style>
  <w:style w:type="paragraph" w:styleId="ListParagraph">
    <w:name w:val="List Paragraph"/>
    <w:basedOn w:val="Normal"/>
    <w:uiPriority w:val="34"/>
    <w:qFormat/>
    <w:rsid w:val="000532FF"/>
    <w:pPr>
      <w:ind w:left="720"/>
      <w:contextualSpacing/>
    </w:pPr>
  </w:style>
  <w:style w:type="character" w:customStyle="1" w:styleId="Heading1Char">
    <w:name w:val="Heading 1 Char"/>
    <w:link w:val="Heading1"/>
    <w:uiPriority w:val="9"/>
    <w:rsid w:val="00E76890"/>
    <w:rPr>
      <w:b/>
      <w:sz w:val="48"/>
      <w:szCs w:val="48"/>
    </w:rPr>
  </w:style>
  <w:style w:type="character" w:styleId="Hyperlink">
    <w:name w:val="Hyperlink"/>
    <w:basedOn w:val="DefaultParagraphFont"/>
    <w:uiPriority w:val="99"/>
    <w:unhideWhenUsed/>
    <w:rsid w:val="00E76890"/>
    <w:rPr>
      <w:color w:val="0000FF" w:themeColor="hyperlink"/>
      <w:u w:val="single"/>
    </w:rPr>
  </w:style>
  <w:style w:type="character" w:styleId="UnresolvedMention">
    <w:name w:val="Unresolved Mention"/>
    <w:basedOn w:val="DefaultParagraphFont"/>
    <w:uiPriority w:val="99"/>
    <w:semiHidden/>
    <w:unhideWhenUsed/>
    <w:rsid w:val="00E76890"/>
    <w:rPr>
      <w:color w:val="605E5C"/>
      <w:shd w:val="clear" w:color="auto" w:fill="E1DFDD"/>
    </w:rPr>
  </w:style>
  <w:style w:type="character" w:styleId="Emphasis">
    <w:name w:val="Emphasis"/>
    <w:basedOn w:val="DefaultParagraphFont"/>
    <w:uiPriority w:val="20"/>
    <w:qFormat/>
    <w:rsid w:val="00EA1141"/>
    <w:rPr>
      <w:i/>
      <w:iCs/>
    </w:rPr>
  </w:style>
  <w:style w:type="character" w:customStyle="1" w:styleId="ms-1">
    <w:name w:val="ms-1"/>
    <w:basedOn w:val="DefaultParagraphFont"/>
    <w:rsid w:val="00EA1141"/>
  </w:style>
  <w:style w:type="character" w:customStyle="1" w:styleId="max-w-15ch">
    <w:name w:val="max-w-[15ch]"/>
    <w:basedOn w:val="DefaultParagraphFont"/>
    <w:rsid w:val="00EA1141"/>
  </w:style>
  <w:style w:type="character" w:customStyle="1" w:styleId="-me-1">
    <w:name w:val="-me-1"/>
    <w:basedOn w:val="DefaultParagraphFont"/>
    <w:rsid w:val="00EA1141"/>
  </w:style>
  <w:style w:type="character" w:customStyle="1" w:styleId="katex-mathml">
    <w:name w:val="katex-mathml"/>
    <w:basedOn w:val="DefaultParagraphFont"/>
    <w:rsid w:val="007C1109"/>
  </w:style>
  <w:style w:type="character" w:customStyle="1" w:styleId="mord">
    <w:name w:val="mord"/>
    <w:basedOn w:val="DefaultParagraphFont"/>
    <w:rsid w:val="007C1109"/>
  </w:style>
  <w:style w:type="table" w:styleId="TableGrid">
    <w:name w:val="Table Grid"/>
    <w:basedOn w:val="TableNormal"/>
    <w:uiPriority w:val="59"/>
    <w:rsid w:val="00AD6033"/>
    <w:pPr>
      <w:widowControl/>
    </w:pPr>
    <w:rPr>
      <w:rFonts w:asciiTheme="minorHAnsi" w:eastAsiaTheme="minorEastAsia" w:hAnsi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link w:val="Heading3"/>
    <w:uiPriority w:val="9"/>
    <w:rsid w:val="00752E28"/>
    <w:rPr>
      <w:b/>
      <w:sz w:val="28"/>
      <w:szCs w:val="28"/>
    </w:rPr>
  </w:style>
  <w:style w:type="paragraph" w:styleId="BodyText">
    <w:name w:val="Body Text"/>
    <w:basedOn w:val="Normal"/>
    <w:link w:val="BodyTextChar"/>
    <w:qFormat/>
    <w:rsid w:val="006A520E"/>
    <w:pPr>
      <w:widowControl/>
      <w:spacing w:before="180" w:after="180"/>
    </w:pPr>
    <w:rPr>
      <w:rFonts w:asciiTheme="minorHAnsi" w:eastAsiaTheme="minorHAnsi" w:hAnsiTheme="minorHAnsi" w:cstheme="minorBidi"/>
      <w:sz w:val="24"/>
      <w:szCs w:val="24"/>
      <w:lang w:val="en"/>
    </w:rPr>
  </w:style>
  <w:style w:type="character" w:customStyle="1" w:styleId="BodyTextChar">
    <w:name w:val="Body Text Char"/>
    <w:basedOn w:val="DefaultParagraphFont"/>
    <w:link w:val="BodyText"/>
    <w:rsid w:val="006A520E"/>
    <w:rPr>
      <w:rFonts w:asciiTheme="minorHAnsi" w:eastAsiaTheme="minorHAnsi" w:hAnsiTheme="minorHAnsi" w:cstheme="minorBidi"/>
      <w:sz w:val="24"/>
      <w:szCs w:val="24"/>
      <w:lang w:val="en"/>
    </w:rPr>
  </w:style>
  <w:style w:type="paragraph" w:customStyle="1" w:styleId="FirstParagraph">
    <w:name w:val="First Paragraph"/>
    <w:basedOn w:val="BodyText"/>
    <w:next w:val="BodyText"/>
    <w:qFormat/>
    <w:rsid w:val="006A520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232207">
      <w:bodyDiv w:val="1"/>
      <w:marLeft w:val="0"/>
      <w:marRight w:val="0"/>
      <w:marTop w:val="0"/>
      <w:marBottom w:val="0"/>
      <w:divBdr>
        <w:top w:val="none" w:sz="0" w:space="0" w:color="auto"/>
        <w:left w:val="none" w:sz="0" w:space="0" w:color="auto"/>
        <w:bottom w:val="none" w:sz="0" w:space="0" w:color="auto"/>
        <w:right w:val="none" w:sz="0" w:space="0" w:color="auto"/>
      </w:divBdr>
    </w:div>
    <w:div w:id="23139600">
      <w:bodyDiv w:val="1"/>
      <w:marLeft w:val="0"/>
      <w:marRight w:val="0"/>
      <w:marTop w:val="0"/>
      <w:marBottom w:val="0"/>
      <w:divBdr>
        <w:top w:val="none" w:sz="0" w:space="0" w:color="auto"/>
        <w:left w:val="none" w:sz="0" w:space="0" w:color="auto"/>
        <w:bottom w:val="none" w:sz="0" w:space="0" w:color="auto"/>
        <w:right w:val="none" w:sz="0" w:space="0" w:color="auto"/>
      </w:divBdr>
    </w:div>
    <w:div w:id="38289569">
      <w:bodyDiv w:val="1"/>
      <w:marLeft w:val="0"/>
      <w:marRight w:val="0"/>
      <w:marTop w:val="0"/>
      <w:marBottom w:val="0"/>
      <w:divBdr>
        <w:top w:val="none" w:sz="0" w:space="0" w:color="auto"/>
        <w:left w:val="none" w:sz="0" w:space="0" w:color="auto"/>
        <w:bottom w:val="none" w:sz="0" w:space="0" w:color="auto"/>
        <w:right w:val="none" w:sz="0" w:space="0" w:color="auto"/>
      </w:divBdr>
    </w:div>
    <w:div w:id="38632348">
      <w:bodyDiv w:val="1"/>
      <w:marLeft w:val="0"/>
      <w:marRight w:val="0"/>
      <w:marTop w:val="0"/>
      <w:marBottom w:val="0"/>
      <w:divBdr>
        <w:top w:val="none" w:sz="0" w:space="0" w:color="auto"/>
        <w:left w:val="none" w:sz="0" w:space="0" w:color="auto"/>
        <w:bottom w:val="none" w:sz="0" w:space="0" w:color="auto"/>
        <w:right w:val="none" w:sz="0" w:space="0" w:color="auto"/>
      </w:divBdr>
    </w:div>
    <w:div w:id="44136784">
      <w:bodyDiv w:val="1"/>
      <w:marLeft w:val="0"/>
      <w:marRight w:val="0"/>
      <w:marTop w:val="0"/>
      <w:marBottom w:val="0"/>
      <w:divBdr>
        <w:top w:val="none" w:sz="0" w:space="0" w:color="auto"/>
        <w:left w:val="none" w:sz="0" w:space="0" w:color="auto"/>
        <w:bottom w:val="none" w:sz="0" w:space="0" w:color="auto"/>
        <w:right w:val="none" w:sz="0" w:space="0" w:color="auto"/>
      </w:divBdr>
    </w:div>
    <w:div w:id="46995322">
      <w:bodyDiv w:val="1"/>
      <w:marLeft w:val="0"/>
      <w:marRight w:val="0"/>
      <w:marTop w:val="0"/>
      <w:marBottom w:val="0"/>
      <w:divBdr>
        <w:top w:val="none" w:sz="0" w:space="0" w:color="auto"/>
        <w:left w:val="none" w:sz="0" w:space="0" w:color="auto"/>
        <w:bottom w:val="none" w:sz="0" w:space="0" w:color="auto"/>
        <w:right w:val="none" w:sz="0" w:space="0" w:color="auto"/>
      </w:divBdr>
    </w:div>
    <w:div w:id="54669589">
      <w:bodyDiv w:val="1"/>
      <w:marLeft w:val="0"/>
      <w:marRight w:val="0"/>
      <w:marTop w:val="0"/>
      <w:marBottom w:val="0"/>
      <w:divBdr>
        <w:top w:val="none" w:sz="0" w:space="0" w:color="auto"/>
        <w:left w:val="none" w:sz="0" w:space="0" w:color="auto"/>
        <w:bottom w:val="none" w:sz="0" w:space="0" w:color="auto"/>
        <w:right w:val="none" w:sz="0" w:space="0" w:color="auto"/>
      </w:divBdr>
    </w:div>
    <w:div w:id="57168153">
      <w:bodyDiv w:val="1"/>
      <w:marLeft w:val="0"/>
      <w:marRight w:val="0"/>
      <w:marTop w:val="0"/>
      <w:marBottom w:val="0"/>
      <w:divBdr>
        <w:top w:val="none" w:sz="0" w:space="0" w:color="auto"/>
        <w:left w:val="none" w:sz="0" w:space="0" w:color="auto"/>
        <w:bottom w:val="none" w:sz="0" w:space="0" w:color="auto"/>
        <w:right w:val="none" w:sz="0" w:space="0" w:color="auto"/>
      </w:divBdr>
    </w:div>
    <w:div w:id="62417915">
      <w:bodyDiv w:val="1"/>
      <w:marLeft w:val="0"/>
      <w:marRight w:val="0"/>
      <w:marTop w:val="0"/>
      <w:marBottom w:val="0"/>
      <w:divBdr>
        <w:top w:val="none" w:sz="0" w:space="0" w:color="auto"/>
        <w:left w:val="none" w:sz="0" w:space="0" w:color="auto"/>
        <w:bottom w:val="none" w:sz="0" w:space="0" w:color="auto"/>
        <w:right w:val="none" w:sz="0" w:space="0" w:color="auto"/>
      </w:divBdr>
    </w:div>
    <w:div w:id="68233969">
      <w:bodyDiv w:val="1"/>
      <w:marLeft w:val="0"/>
      <w:marRight w:val="0"/>
      <w:marTop w:val="0"/>
      <w:marBottom w:val="0"/>
      <w:divBdr>
        <w:top w:val="none" w:sz="0" w:space="0" w:color="auto"/>
        <w:left w:val="none" w:sz="0" w:space="0" w:color="auto"/>
        <w:bottom w:val="none" w:sz="0" w:space="0" w:color="auto"/>
        <w:right w:val="none" w:sz="0" w:space="0" w:color="auto"/>
      </w:divBdr>
    </w:div>
    <w:div w:id="82847174">
      <w:bodyDiv w:val="1"/>
      <w:marLeft w:val="0"/>
      <w:marRight w:val="0"/>
      <w:marTop w:val="0"/>
      <w:marBottom w:val="0"/>
      <w:divBdr>
        <w:top w:val="none" w:sz="0" w:space="0" w:color="auto"/>
        <w:left w:val="none" w:sz="0" w:space="0" w:color="auto"/>
        <w:bottom w:val="none" w:sz="0" w:space="0" w:color="auto"/>
        <w:right w:val="none" w:sz="0" w:space="0" w:color="auto"/>
      </w:divBdr>
      <w:divsChild>
        <w:div w:id="120456230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3378673">
      <w:bodyDiv w:val="1"/>
      <w:marLeft w:val="0"/>
      <w:marRight w:val="0"/>
      <w:marTop w:val="0"/>
      <w:marBottom w:val="0"/>
      <w:divBdr>
        <w:top w:val="none" w:sz="0" w:space="0" w:color="auto"/>
        <w:left w:val="none" w:sz="0" w:space="0" w:color="auto"/>
        <w:bottom w:val="none" w:sz="0" w:space="0" w:color="auto"/>
        <w:right w:val="none" w:sz="0" w:space="0" w:color="auto"/>
      </w:divBdr>
    </w:div>
    <w:div w:id="116607534">
      <w:bodyDiv w:val="1"/>
      <w:marLeft w:val="0"/>
      <w:marRight w:val="0"/>
      <w:marTop w:val="0"/>
      <w:marBottom w:val="0"/>
      <w:divBdr>
        <w:top w:val="none" w:sz="0" w:space="0" w:color="auto"/>
        <w:left w:val="none" w:sz="0" w:space="0" w:color="auto"/>
        <w:bottom w:val="none" w:sz="0" w:space="0" w:color="auto"/>
        <w:right w:val="none" w:sz="0" w:space="0" w:color="auto"/>
      </w:divBdr>
    </w:div>
    <w:div w:id="118189146">
      <w:bodyDiv w:val="1"/>
      <w:marLeft w:val="0"/>
      <w:marRight w:val="0"/>
      <w:marTop w:val="0"/>
      <w:marBottom w:val="0"/>
      <w:divBdr>
        <w:top w:val="none" w:sz="0" w:space="0" w:color="auto"/>
        <w:left w:val="none" w:sz="0" w:space="0" w:color="auto"/>
        <w:bottom w:val="none" w:sz="0" w:space="0" w:color="auto"/>
        <w:right w:val="none" w:sz="0" w:space="0" w:color="auto"/>
      </w:divBdr>
    </w:div>
    <w:div w:id="130095923">
      <w:bodyDiv w:val="1"/>
      <w:marLeft w:val="0"/>
      <w:marRight w:val="0"/>
      <w:marTop w:val="0"/>
      <w:marBottom w:val="0"/>
      <w:divBdr>
        <w:top w:val="none" w:sz="0" w:space="0" w:color="auto"/>
        <w:left w:val="none" w:sz="0" w:space="0" w:color="auto"/>
        <w:bottom w:val="none" w:sz="0" w:space="0" w:color="auto"/>
        <w:right w:val="none" w:sz="0" w:space="0" w:color="auto"/>
      </w:divBdr>
    </w:div>
    <w:div w:id="140539017">
      <w:bodyDiv w:val="1"/>
      <w:marLeft w:val="0"/>
      <w:marRight w:val="0"/>
      <w:marTop w:val="0"/>
      <w:marBottom w:val="0"/>
      <w:divBdr>
        <w:top w:val="none" w:sz="0" w:space="0" w:color="auto"/>
        <w:left w:val="none" w:sz="0" w:space="0" w:color="auto"/>
        <w:bottom w:val="none" w:sz="0" w:space="0" w:color="auto"/>
        <w:right w:val="none" w:sz="0" w:space="0" w:color="auto"/>
      </w:divBdr>
    </w:div>
    <w:div w:id="141579158">
      <w:bodyDiv w:val="1"/>
      <w:marLeft w:val="0"/>
      <w:marRight w:val="0"/>
      <w:marTop w:val="0"/>
      <w:marBottom w:val="0"/>
      <w:divBdr>
        <w:top w:val="none" w:sz="0" w:space="0" w:color="auto"/>
        <w:left w:val="none" w:sz="0" w:space="0" w:color="auto"/>
        <w:bottom w:val="none" w:sz="0" w:space="0" w:color="auto"/>
        <w:right w:val="none" w:sz="0" w:space="0" w:color="auto"/>
      </w:divBdr>
    </w:div>
    <w:div w:id="145971534">
      <w:bodyDiv w:val="1"/>
      <w:marLeft w:val="0"/>
      <w:marRight w:val="0"/>
      <w:marTop w:val="0"/>
      <w:marBottom w:val="0"/>
      <w:divBdr>
        <w:top w:val="none" w:sz="0" w:space="0" w:color="auto"/>
        <w:left w:val="none" w:sz="0" w:space="0" w:color="auto"/>
        <w:bottom w:val="none" w:sz="0" w:space="0" w:color="auto"/>
        <w:right w:val="none" w:sz="0" w:space="0" w:color="auto"/>
      </w:divBdr>
    </w:div>
    <w:div w:id="152987136">
      <w:bodyDiv w:val="1"/>
      <w:marLeft w:val="0"/>
      <w:marRight w:val="0"/>
      <w:marTop w:val="0"/>
      <w:marBottom w:val="0"/>
      <w:divBdr>
        <w:top w:val="none" w:sz="0" w:space="0" w:color="auto"/>
        <w:left w:val="none" w:sz="0" w:space="0" w:color="auto"/>
        <w:bottom w:val="none" w:sz="0" w:space="0" w:color="auto"/>
        <w:right w:val="none" w:sz="0" w:space="0" w:color="auto"/>
      </w:divBdr>
    </w:div>
    <w:div w:id="161048888">
      <w:bodyDiv w:val="1"/>
      <w:marLeft w:val="0"/>
      <w:marRight w:val="0"/>
      <w:marTop w:val="0"/>
      <w:marBottom w:val="0"/>
      <w:divBdr>
        <w:top w:val="none" w:sz="0" w:space="0" w:color="auto"/>
        <w:left w:val="none" w:sz="0" w:space="0" w:color="auto"/>
        <w:bottom w:val="none" w:sz="0" w:space="0" w:color="auto"/>
        <w:right w:val="none" w:sz="0" w:space="0" w:color="auto"/>
      </w:divBdr>
    </w:div>
    <w:div w:id="179127848">
      <w:bodyDiv w:val="1"/>
      <w:marLeft w:val="0"/>
      <w:marRight w:val="0"/>
      <w:marTop w:val="0"/>
      <w:marBottom w:val="0"/>
      <w:divBdr>
        <w:top w:val="none" w:sz="0" w:space="0" w:color="auto"/>
        <w:left w:val="none" w:sz="0" w:space="0" w:color="auto"/>
        <w:bottom w:val="none" w:sz="0" w:space="0" w:color="auto"/>
        <w:right w:val="none" w:sz="0" w:space="0" w:color="auto"/>
      </w:divBdr>
      <w:divsChild>
        <w:div w:id="115083064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0998210">
      <w:bodyDiv w:val="1"/>
      <w:marLeft w:val="0"/>
      <w:marRight w:val="0"/>
      <w:marTop w:val="0"/>
      <w:marBottom w:val="0"/>
      <w:divBdr>
        <w:top w:val="none" w:sz="0" w:space="0" w:color="auto"/>
        <w:left w:val="none" w:sz="0" w:space="0" w:color="auto"/>
        <w:bottom w:val="none" w:sz="0" w:space="0" w:color="auto"/>
        <w:right w:val="none" w:sz="0" w:space="0" w:color="auto"/>
      </w:divBdr>
    </w:div>
    <w:div w:id="195510687">
      <w:bodyDiv w:val="1"/>
      <w:marLeft w:val="0"/>
      <w:marRight w:val="0"/>
      <w:marTop w:val="0"/>
      <w:marBottom w:val="0"/>
      <w:divBdr>
        <w:top w:val="none" w:sz="0" w:space="0" w:color="auto"/>
        <w:left w:val="none" w:sz="0" w:space="0" w:color="auto"/>
        <w:bottom w:val="none" w:sz="0" w:space="0" w:color="auto"/>
        <w:right w:val="none" w:sz="0" w:space="0" w:color="auto"/>
      </w:divBdr>
    </w:div>
    <w:div w:id="200825536">
      <w:bodyDiv w:val="1"/>
      <w:marLeft w:val="0"/>
      <w:marRight w:val="0"/>
      <w:marTop w:val="0"/>
      <w:marBottom w:val="0"/>
      <w:divBdr>
        <w:top w:val="none" w:sz="0" w:space="0" w:color="auto"/>
        <w:left w:val="none" w:sz="0" w:space="0" w:color="auto"/>
        <w:bottom w:val="none" w:sz="0" w:space="0" w:color="auto"/>
        <w:right w:val="none" w:sz="0" w:space="0" w:color="auto"/>
      </w:divBdr>
    </w:div>
    <w:div w:id="206141291">
      <w:bodyDiv w:val="1"/>
      <w:marLeft w:val="0"/>
      <w:marRight w:val="0"/>
      <w:marTop w:val="0"/>
      <w:marBottom w:val="0"/>
      <w:divBdr>
        <w:top w:val="none" w:sz="0" w:space="0" w:color="auto"/>
        <w:left w:val="none" w:sz="0" w:space="0" w:color="auto"/>
        <w:bottom w:val="none" w:sz="0" w:space="0" w:color="auto"/>
        <w:right w:val="none" w:sz="0" w:space="0" w:color="auto"/>
      </w:divBdr>
    </w:div>
    <w:div w:id="211963157">
      <w:bodyDiv w:val="1"/>
      <w:marLeft w:val="0"/>
      <w:marRight w:val="0"/>
      <w:marTop w:val="0"/>
      <w:marBottom w:val="0"/>
      <w:divBdr>
        <w:top w:val="none" w:sz="0" w:space="0" w:color="auto"/>
        <w:left w:val="none" w:sz="0" w:space="0" w:color="auto"/>
        <w:bottom w:val="none" w:sz="0" w:space="0" w:color="auto"/>
        <w:right w:val="none" w:sz="0" w:space="0" w:color="auto"/>
      </w:divBdr>
    </w:div>
    <w:div w:id="227887220">
      <w:bodyDiv w:val="1"/>
      <w:marLeft w:val="0"/>
      <w:marRight w:val="0"/>
      <w:marTop w:val="0"/>
      <w:marBottom w:val="0"/>
      <w:divBdr>
        <w:top w:val="none" w:sz="0" w:space="0" w:color="auto"/>
        <w:left w:val="none" w:sz="0" w:space="0" w:color="auto"/>
        <w:bottom w:val="none" w:sz="0" w:space="0" w:color="auto"/>
        <w:right w:val="none" w:sz="0" w:space="0" w:color="auto"/>
      </w:divBdr>
    </w:div>
    <w:div w:id="230623052">
      <w:bodyDiv w:val="1"/>
      <w:marLeft w:val="0"/>
      <w:marRight w:val="0"/>
      <w:marTop w:val="0"/>
      <w:marBottom w:val="0"/>
      <w:divBdr>
        <w:top w:val="none" w:sz="0" w:space="0" w:color="auto"/>
        <w:left w:val="none" w:sz="0" w:space="0" w:color="auto"/>
        <w:bottom w:val="none" w:sz="0" w:space="0" w:color="auto"/>
        <w:right w:val="none" w:sz="0" w:space="0" w:color="auto"/>
      </w:divBdr>
    </w:div>
    <w:div w:id="231702302">
      <w:bodyDiv w:val="1"/>
      <w:marLeft w:val="0"/>
      <w:marRight w:val="0"/>
      <w:marTop w:val="0"/>
      <w:marBottom w:val="0"/>
      <w:divBdr>
        <w:top w:val="none" w:sz="0" w:space="0" w:color="auto"/>
        <w:left w:val="none" w:sz="0" w:space="0" w:color="auto"/>
        <w:bottom w:val="none" w:sz="0" w:space="0" w:color="auto"/>
        <w:right w:val="none" w:sz="0" w:space="0" w:color="auto"/>
      </w:divBdr>
    </w:div>
    <w:div w:id="242565996">
      <w:bodyDiv w:val="1"/>
      <w:marLeft w:val="0"/>
      <w:marRight w:val="0"/>
      <w:marTop w:val="0"/>
      <w:marBottom w:val="0"/>
      <w:divBdr>
        <w:top w:val="none" w:sz="0" w:space="0" w:color="auto"/>
        <w:left w:val="none" w:sz="0" w:space="0" w:color="auto"/>
        <w:bottom w:val="none" w:sz="0" w:space="0" w:color="auto"/>
        <w:right w:val="none" w:sz="0" w:space="0" w:color="auto"/>
      </w:divBdr>
    </w:div>
    <w:div w:id="244808815">
      <w:bodyDiv w:val="1"/>
      <w:marLeft w:val="0"/>
      <w:marRight w:val="0"/>
      <w:marTop w:val="0"/>
      <w:marBottom w:val="0"/>
      <w:divBdr>
        <w:top w:val="none" w:sz="0" w:space="0" w:color="auto"/>
        <w:left w:val="none" w:sz="0" w:space="0" w:color="auto"/>
        <w:bottom w:val="none" w:sz="0" w:space="0" w:color="auto"/>
        <w:right w:val="none" w:sz="0" w:space="0" w:color="auto"/>
      </w:divBdr>
    </w:div>
    <w:div w:id="252052034">
      <w:bodyDiv w:val="1"/>
      <w:marLeft w:val="0"/>
      <w:marRight w:val="0"/>
      <w:marTop w:val="0"/>
      <w:marBottom w:val="0"/>
      <w:divBdr>
        <w:top w:val="none" w:sz="0" w:space="0" w:color="auto"/>
        <w:left w:val="none" w:sz="0" w:space="0" w:color="auto"/>
        <w:bottom w:val="none" w:sz="0" w:space="0" w:color="auto"/>
        <w:right w:val="none" w:sz="0" w:space="0" w:color="auto"/>
      </w:divBdr>
    </w:div>
    <w:div w:id="271284061">
      <w:bodyDiv w:val="1"/>
      <w:marLeft w:val="0"/>
      <w:marRight w:val="0"/>
      <w:marTop w:val="0"/>
      <w:marBottom w:val="0"/>
      <w:divBdr>
        <w:top w:val="none" w:sz="0" w:space="0" w:color="auto"/>
        <w:left w:val="none" w:sz="0" w:space="0" w:color="auto"/>
        <w:bottom w:val="none" w:sz="0" w:space="0" w:color="auto"/>
        <w:right w:val="none" w:sz="0" w:space="0" w:color="auto"/>
      </w:divBdr>
    </w:div>
    <w:div w:id="275646201">
      <w:bodyDiv w:val="1"/>
      <w:marLeft w:val="0"/>
      <w:marRight w:val="0"/>
      <w:marTop w:val="0"/>
      <w:marBottom w:val="0"/>
      <w:divBdr>
        <w:top w:val="none" w:sz="0" w:space="0" w:color="auto"/>
        <w:left w:val="none" w:sz="0" w:space="0" w:color="auto"/>
        <w:bottom w:val="none" w:sz="0" w:space="0" w:color="auto"/>
        <w:right w:val="none" w:sz="0" w:space="0" w:color="auto"/>
      </w:divBdr>
    </w:div>
    <w:div w:id="283780508">
      <w:bodyDiv w:val="1"/>
      <w:marLeft w:val="0"/>
      <w:marRight w:val="0"/>
      <w:marTop w:val="0"/>
      <w:marBottom w:val="0"/>
      <w:divBdr>
        <w:top w:val="none" w:sz="0" w:space="0" w:color="auto"/>
        <w:left w:val="none" w:sz="0" w:space="0" w:color="auto"/>
        <w:bottom w:val="none" w:sz="0" w:space="0" w:color="auto"/>
        <w:right w:val="none" w:sz="0" w:space="0" w:color="auto"/>
      </w:divBdr>
    </w:div>
    <w:div w:id="284504733">
      <w:bodyDiv w:val="1"/>
      <w:marLeft w:val="0"/>
      <w:marRight w:val="0"/>
      <w:marTop w:val="0"/>
      <w:marBottom w:val="0"/>
      <w:divBdr>
        <w:top w:val="none" w:sz="0" w:space="0" w:color="auto"/>
        <w:left w:val="none" w:sz="0" w:space="0" w:color="auto"/>
        <w:bottom w:val="none" w:sz="0" w:space="0" w:color="auto"/>
        <w:right w:val="none" w:sz="0" w:space="0" w:color="auto"/>
      </w:divBdr>
    </w:div>
    <w:div w:id="294485739">
      <w:bodyDiv w:val="1"/>
      <w:marLeft w:val="0"/>
      <w:marRight w:val="0"/>
      <w:marTop w:val="0"/>
      <w:marBottom w:val="0"/>
      <w:divBdr>
        <w:top w:val="none" w:sz="0" w:space="0" w:color="auto"/>
        <w:left w:val="none" w:sz="0" w:space="0" w:color="auto"/>
        <w:bottom w:val="none" w:sz="0" w:space="0" w:color="auto"/>
        <w:right w:val="none" w:sz="0" w:space="0" w:color="auto"/>
      </w:divBdr>
    </w:div>
    <w:div w:id="315955018">
      <w:bodyDiv w:val="1"/>
      <w:marLeft w:val="0"/>
      <w:marRight w:val="0"/>
      <w:marTop w:val="0"/>
      <w:marBottom w:val="0"/>
      <w:divBdr>
        <w:top w:val="none" w:sz="0" w:space="0" w:color="auto"/>
        <w:left w:val="none" w:sz="0" w:space="0" w:color="auto"/>
        <w:bottom w:val="none" w:sz="0" w:space="0" w:color="auto"/>
        <w:right w:val="none" w:sz="0" w:space="0" w:color="auto"/>
      </w:divBdr>
    </w:div>
    <w:div w:id="320088121">
      <w:bodyDiv w:val="1"/>
      <w:marLeft w:val="0"/>
      <w:marRight w:val="0"/>
      <w:marTop w:val="0"/>
      <w:marBottom w:val="0"/>
      <w:divBdr>
        <w:top w:val="none" w:sz="0" w:space="0" w:color="auto"/>
        <w:left w:val="none" w:sz="0" w:space="0" w:color="auto"/>
        <w:bottom w:val="none" w:sz="0" w:space="0" w:color="auto"/>
        <w:right w:val="none" w:sz="0" w:space="0" w:color="auto"/>
      </w:divBdr>
    </w:div>
    <w:div w:id="334456425">
      <w:bodyDiv w:val="1"/>
      <w:marLeft w:val="0"/>
      <w:marRight w:val="0"/>
      <w:marTop w:val="0"/>
      <w:marBottom w:val="0"/>
      <w:divBdr>
        <w:top w:val="none" w:sz="0" w:space="0" w:color="auto"/>
        <w:left w:val="none" w:sz="0" w:space="0" w:color="auto"/>
        <w:bottom w:val="none" w:sz="0" w:space="0" w:color="auto"/>
        <w:right w:val="none" w:sz="0" w:space="0" w:color="auto"/>
      </w:divBdr>
    </w:div>
    <w:div w:id="378751724">
      <w:bodyDiv w:val="1"/>
      <w:marLeft w:val="0"/>
      <w:marRight w:val="0"/>
      <w:marTop w:val="0"/>
      <w:marBottom w:val="0"/>
      <w:divBdr>
        <w:top w:val="none" w:sz="0" w:space="0" w:color="auto"/>
        <w:left w:val="none" w:sz="0" w:space="0" w:color="auto"/>
        <w:bottom w:val="none" w:sz="0" w:space="0" w:color="auto"/>
        <w:right w:val="none" w:sz="0" w:space="0" w:color="auto"/>
      </w:divBdr>
    </w:div>
    <w:div w:id="382801012">
      <w:bodyDiv w:val="1"/>
      <w:marLeft w:val="0"/>
      <w:marRight w:val="0"/>
      <w:marTop w:val="0"/>
      <w:marBottom w:val="0"/>
      <w:divBdr>
        <w:top w:val="none" w:sz="0" w:space="0" w:color="auto"/>
        <w:left w:val="none" w:sz="0" w:space="0" w:color="auto"/>
        <w:bottom w:val="none" w:sz="0" w:space="0" w:color="auto"/>
        <w:right w:val="none" w:sz="0" w:space="0" w:color="auto"/>
      </w:divBdr>
      <w:divsChild>
        <w:div w:id="193635450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85186971">
      <w:bodyDiv w:val="1"/>
      <w:marLeft w:val="0"/>
      <w:marRight w:val="0"/>
      <w:marTop w:val="0"/>
      <w:marBottom w:val="0"/>
      <w:divBdr>
        <w:top w:val="none" w:sz="0" w:space="0" w:color="auto"/>
        <w:left w:val="none" w:sz="0" w:space="0" w:color="auto"/>
        <w:bottom w:val="none" w:sz="0" w:space="0" w:color="auto"/>
        <w:right w:val="none" w:sz="0" w:space="0" w:color="auto"/>
      </w:divBdr>
    </w:div>
    <w:div w:id="389429110">
      <w:bodyDiv w:val="1"/>
      <w:marLeft w:val="0"/>
      <w:marRight w:val="0"/>
      <w:marTop w:val="0"/>
      <w:marBottom w:val="0"/>
      <w:divBdr>
        <w:top w:val="none" w:sz="0" w:space="0" w:color="auto"/>
        <w:left w:val="none" w:sz="0" w:space="0" w:color="auto"/>
        <w:bottom w:val="none" w:sz="0" w:space="0" w:color="auto"/>
        <w:right w:val="none" w:sz="0" w:space="0" w:color="auto"/>
      </w:divBdr>
    </w:div>
    <w:div w:id="389767274">
      <w:bodyDiv w:val="1"/>
      <w:marLeft w:val="0"/>
      <w:marRight w:val="0"/>
      <w:marTop w:val="0"/>
      <w:marBottom w:val="0"/>
      <w:divBdr>
        <w:top w:val="none" w:sz="0" w:space="0" w:color="auto"/>
        <w:left w:val="none" w:sz="0" w:space="0" w:color="auto"/>
        <w:bottom w:val="none" w:sz="0" w:space="0" w:color="auto"/>
        <w:right w:val="none" w:sz="0" w:space="0" w:color="auto"/>
      </w:divBdr>
    </w:div>
    <w:div w:id="413742465">
      <w:bodyDiv w:val="1"/>
      <w:marLeft w:val="0"/>
      <w:marRight w:val="0"/>
      <w:marTop w:val="0"/>
      <w:marBottom w:val="0"/>
      <w:divBdr>
        <w:top w:val="none" w:sz="0" w:space="0" w:color="auto"/>
        <w:left w:val="none" w:sz="0" w:space="0" w:color="auto"/>
        <w:bottom w:val="none" w:sz="0" w:space="0" w:color="auto"/>
        <w:right w:val="none" w:sz="0" w:space="0" w:color="auto"/>
      </w:divBdr>
    </w:div>
    <w:div w:id="414278652">
      <w:bodyDiv w:val="1"/>
      <w:marLeft w:val="0"/>
      <w:marRight w:val="0"/>
      <w:marTop w:val="0"/>
      <w:marBottom w:val="0"/>
      <w:divBdr>
        <w:top w:val="none" w:sz="0" w:space="0" w:color="auto"/>
        <w:left w:val="none" w:sz="0" w:space="0" w:color="auto"/>
        <w:bottom w:val="none" w:sz="0" w:space="0" w:color="auto"/>
        <w:right w:val="none" w:sz="0" w:space="0" w:color="auto"/>
      </w:divBdr>
    </w:div>
    <w:div w:id="417867442">
      <w:bodyDiv w:val="1"/>
      <w:marLeft w:val="0"/>
      <w:marRight w:val="0"/>
      <w:marTop w:val="0"/>
      <w:marBottom w:val="0"/>
      <w:divBdr>
        <w:top w:val="none" w:sz="0" w:space="0" w:color="auto"/>
        <w:left w:val="none" w:sz="0" w:space="0" w:color="auto"/>
        <w:bottom w:val="none" w:sz="0" w:space="0" w:color="auto"/>
        <w:right w:val="none" w:sz="0" w:space="0" w:color="auto"/>
      </w:divBdr>
    </w:div>
    <w:div w:id="423112566">
      <w:bodyDiv w:val="1"/>
      <w:marLeft w:val="0"/>
      <w:marRight w:val="0"/>
      <w:marTop w:val="0"/>
      <w:marBottom w:val="0"/>
      <w:divBdr>
        <w:top w:val="none" w:sz="0" w:space="0" w:color="auto"/>
        <w:left w:val="none" w:sz="0" w:space="0" w:color="auto"/>
        <w:bottom w:val="none" w:sz="0" w:space="0" w:color="auto"/>
        <w:right w:val="none" w:sz="0" w:space="0" w:color="auto"/>
      </w:divBdr>
    </w:div>
    <w:div w:id="446318683">
      <w:bodyDiv w:val="1"/>
      <w:marLeft w:val="0"/>
      <w:marRight w:val="0"/>
      <w:marTop w:val="0"/>
      <w:marBottom w:val="0"/>
      <w:divBdr>
        <w:top w:val="none" w:sz="0" w:space="0" w:color="auto"/>
        <w:left w:val="none" w:sz="0" w:space="0" w:color="auto"/>
        <w:bottom w:val="none" w:sz="0" w:space="0" w:color="auto"/>
        <w:right w:val="none" w:sz="0" w:space="0" w:color="auto"/>
      </w:divBdr>
    </w:div>
    <w:div w:id="449710703">
      <w:bodyDiv w:val="1"/>
      <w:marLeft w:val="0"/>
      <w:marRight w:val="0"/>
      <w:marTop w:val="0"/>
      <w:marBottom w:val="0"/>
      <w:divBdr>
        <w:top w:val="none" w:sz="0" w:space="0" w:color="auto"/>
        <w:left w:val="none" w:sz="0" w:space="0" w:color="auto"/>
        <w:bottom w:val="none" w:sz="0" w:space="0" w:color="auto"/>
        <w:right w:val="none" w:sz="0" w:space="0" w:color="auto"/>
      </w:divBdr>
    </w:div>
    <w:div w:id="450126439">
      <w:bodyDiv w:val="1"/>
      <w:marLeft w:val="0"/>
      <w:marRight w:val="0"/>
      <w:marTop w:val="0"/>
      <w:marBottom w:val="0"/>
      <w:divBdr>
        <w:top w:val="none" w:sz="0" w:space="0" w:color="auto"/>
        <w:left w:val="none" w:sz="0" w:space="0" w:color="auto"/>
        <w:bottom w:val="none" w:sz="0" w:space="0" w:color="auto"/>
        <w:right w:val="none" w:sz="0" w:space="0" w:color="auto"/>
      </w:divBdr>
    </w:div>
    <w:div w:id="474644217">
      <w:bodyDiv w:val="1"/>
      <w:marLeft w:val="0"/>
      <w:marRight w:val="0"/>
      <w:marTop w:val="0"/>
      <w:marBottom w:val="0"/>
      <w:divBdr>
        <w:top w:val="none" w:sz="0" w:space="0" w:color="auto"/>
        <w:left w:val="none" w:sz="0" w:space="0" w:color="auto"/>
        <w:bottom w:val="none" w:sz="0" w:space="0" w:color="auto"/>
        <w:right w:val="none" w:sz="0" w:space="0" w:color="auto"/>
      </w:divBdr>
    </w:div>
    <w:div w:id="479269335">
      <w:bodyDiv w:val="1"/>
      <w:marLeft w:val="0"/>
      <w:marRight w:val="0"/>
      <w:marTop w:val="0"/>
      <w:marBottom w:val="0"/>
      <w:divBdr>
        <w:top w:val="none" w:sz="0" w:space="0" w:color="auto"/>
        <w:left w:val="none" w:sz="0" w:space="0" w:color="auto"/>
        <w:bottom w:val="none" w:sz="0" w:space="0" w:color="auto"/>
        <w:right w:val="none" w:sz="0" w:space="0" w:color="auto"/>
      </w:divBdr>
    </w:div>
    <w:div w:id="490341148">
      <w:bodyDiv w:val="1"/>
      <w:marLeft w:val="0"/>
      <w:marRight w:val="0"/>
      <w:marTop w:val="0"/>
      <w:marBottom w:val="0"/>
      <w:divBdr>
        <w:top w:val="none" w:sz="0" w:space="0" w:color="auto"/>
        <w:left w:val="none" w:sz="0" w:space="0" w:color="auto"/>
        <w:bottom w:val="none" w:sz="0" w:space="0" w:color="auto"/>
        <w:right w:val="none" w:sz="0" w:space="0" w:color="auto"/>
      </w:divBdr>
    </w:div>
    <w:div w:id="491868635">
      <w:bodyDiv w:val="1"/>
      <w:marLeft w:val="0"/>
      <w:marRight w:val="0"/>
      <w:marTop w:val="0"/>
      <w:marBottom w:val="0"/>
      <w:divBdr>
        <w:top w:val="none" w:sz="0" w:space="0" w:color="auto"/>
        <w:left w:val="none" w:sz="0" w:space="0" w:color="auto"/>
        <w:bottom w:val="none" w:sz="0" w:space="0" w:color="auto"/>
        <w:right w:val="none" w:sz="0" w:space="0" w:color="auto"/>
      </w:divBdr>
    </w:div>
    <w:div w:id="525800542">
      <w:bodyDiv w:val="1"/>
      <w:marLeft w:val="0"/>
      <w:marRight w:val="0"/>
      <w:marTop w:val="0"/>
      <w:marBottom w:val="0"/>
      <w:divBdr>
        <w:top w:val="none" w:sz="0" w:space="0" w:color="auto"/>
        <w:left w:val="none" w:sz="0" w:space="0" w:color="auto"/>
        <w:bottom w:val="none" w:sz="0" w:space="0" w:color="auto"/>
        <w:right w:val="none" w:sz="0" w:space="0" w:color="auto"/>
      </w:divBdr>
    </w:div>
    <w:div w:id="527984771">
      <w:bodyDiv w:val="1"/>
      <w:marLeft w:val="0"/>
      <w:marRight w:val="0"/>
      <w:marTop w:val="0"/>
      <w:marBottom w:val="0"/>
      <w:divBdr>
        <w:top w:val="none" w:sz="0" w:space="0" w:color="auto"/>
        <w:left w:val="none" w:sz="0" w:space="0" w:color="auto"/>
        <w:bottom w:val="none" w:sz="0" w:space="0" w:color="auto"/>
        <w:right w:val="none" w:sz="0" w:space="0" w:color="auto"/>
      </w:divBdr>
    </w:div>
    <w:div w:id="535392384">
      <w:bodyDiv w:val="1"/>
      <w:marLeft w:val="0"/>
      <w:marRight w:val="0"/>
      <w:marTop w:val="0"/>
      <w:marBottom w:val="0"/>
      <w:divBdr>
        <w:top w:val="none" w:sz="0" w:space="0" w:color="auto"/>
        <w:left w:val="none" w:sz="0" w:space="0" w:color="auto"/>
        <w:bottom w:val="none" w:sz="0" w:space="0" w:color="auto"/>
        <w:right w:val="none" w:sz="0" w:space="0" w:color="auto"/>
      </w:divBdr>
    </w:div>
    <w:div w:id="542793210">
      <w:bodyDiv w:val="1"/>
      <w:marLeft w:val="0"/>
      <w:marRight w:val="0"/>
      <w:marTop w:val="0"/>
      <w:marBottom w:val="0"/>
      <w:divBdr>
        <w:top w:val="none" w:sz="0" w:space="0" w:color="auto"/>
        <w:left w:val="none" w:sz="0" w:space="0" w:color="auto"/>
        <w:bottom w:val="none" w:sz="0" w:space="0" w:color="auto"/>
        <w:right w:val="none" w:sz="0" w:space="0" w:color="auto"/>
      </w:divBdr>
    </w:div>
    <w:div w:id="558396374">
      <w:bodyDiv w:val="1"/>
      <w:marLeft w:val="0"/>
      <w:marRight w:val="0"/>
      <w:marTop w:val="0"/>
      <w:marBottom w:val="0"/>
      <w:divBdr>
        <w:top w:val="none" w:sz="0" w:space="0" w:color="auto"/>
        <w:left w:val="none" w:sz="0" w:space="0" w:color="auto"/>
        <w:bottom w:val="none" w:sz="0" w:space="0" w:color="auto"/>
        <w:right w:val="none" w:sz="0" w:space="0" w:color="auto"/>
      </w:divBdr>
    </w:div>
    <w:div w:id="562567344">
      <w:bodyDiv w:val="1"/>
      <w:marLeft w:val="0"/>
      <w:marRight w:val="0"/>
      <w:marTop w:val="0"/>
      <w:marBottom w:val="0"/>
      <w:divBdr>
        <w:top w:val="none" w:sz="0" w:space="0" w:color="auto"/>
        <w:left w:val="none" w:sz="0" w:space="0" w:color="auto"/>
        <w:bottom w:val="none" w:sz="0" w:space="0" w:color="auto"/>
        <w:right w:val="none" w:sz="0" w:space="0" w:color="auto"/>
      </w:divBdr>
    </w:div>
    <w:div w:id="563222382">
      <w:bodyDiv w:val="1"/>
      <w:marLeft w:val="0"/>
      <w:marRight w:val="0"/>
      <w:marTop w:val="0"/>
      <w:marBottom w:val="0"/>
      <w:divBdr>
        <w:top w:val="none" w:sz="0" w:space="0" w:color="auto"/>
        <w:left w:val="none" w:sz="0" w:space="0" w:color="auto"/>
        <w:bottom w:val="none" w:sz="0" w:space="0" w:color="auto"/>
        <w:right w:val="none" w:sz="0" w:space="0" w:color="auto"/>
      </w:divBdr>
    </w:div>
    <w:div w:id="574436935">
      <w:bodyDiv w:val="1"/>
      <w:marLeft w:val="0"/>
      <w:marRight w:val="0"/>
      <w:marTop w:val="0"/>
      <w:marBottom w:val="0"/>
      <w:divBdr>
        <w:top w:val="none" w:sz="0" w:space="0" w:color="auto"/>
        <w:left w:val="none" w:sz="0" w:space="0" w:color="auto"/>
        <w:bottom w:val="none" w:sz="0" w:space="0" w:color="auto"/>
        <w:right w:val="none" w:sz="0" w:space="0" w:color="auto"/>
      </w:divBdr>
    </w:div>
    <w:div w:id="576742615">
      <w:bodyDiv w:val="1"/>
      <w:marLeft w:val="0"/>
      <w:marRight w:val="0"/>
      <w:marTop w:val="0"/>
      <w:marBottom w:val="0"/>
      <w:divBdr>
        <w:top w:val="none" w:sz="0" w:space="0" w:color="auto"/>
        <w:left w:val="none" w:sz="0" w:space="0" w:color="auto"/>
        <w:bottom w:val="none" w:sz="0" w:space="0" w:color="auto"/>
        <w:right w:val="none" w:sz="0" w:space="0" w:color="auto"/>
      </w:divBdr>
    </w:div>
    <w:div w:id="584534169">
      <w:bodyDiv w:val="1"/>
      <w:marLeft w:val="0"/>
      <w:marRight w:val="0"/>
      <w:marTop w:val="0"/>
      <w:marBottom w:val="0"/>
      <w:divBdr>
        <w:top w:val="none" w:sz="0" w:space="0" w:color="auto"/>
        <w:left w:val="none" w:sz="0" w:space="0" w:color="auto"/>
        <w:bottom w:val="none" w:sz="0" w:space="0" w:color="auto"/>
        <w:right w:val="none" w:sz="0" w:space="0" w:color="auto"/>
      </w:divBdr>
    </w:div>
    <w:div w:id="589774171">
      <w:bodyDiv w:val="1"/>
      <w:marLeft w:val="0"/>
      <w:marRight w:val="0"/>
      <w:marTop w:val="0"/>
      <w:marBottom w:val="0"/>
      <w:divBdr>
        <w:top w:val="none" w:sz="0" w:space="0" w:color="auto"/>
        <w:left w:val="none" w:sz="0" w:space="0" w:color="auto"/>
        <w:bottom w:val="none" w:sz="0" w:space="0" w:color="auto"/>
        <w:right w:val="none" w:sz="0" w:space="0" w:color="auto"/>
      </w:divBdr>
    </w:div>
    <w:div w:id="593055798">
      <w:bodyDiv w:val="1"/>
      <w:marLeft w:val="0"/>
      <w:marRight w:val="0"/>
      <w:marTop w:val="0"/>
      <w:marBottom w:val="0"/>
      <w:divBdr>
        <w:top w:val="none" w:sz="0" w:space="0" w:color="auto"/>
        <w:left w:val="none" w:sz="0" w:space="0" w:color="auto"/>
        <w:bottom w:val="none" w:sz="0" w:space="0" w:color="auto"/>
        <w:right w:val="none" w:sz="0" w:space="0" w:color="auto"/>
      </w:divBdr>
    </w:div>
    <w:div w:id="617024931">
      <w:bodyDiv w:val="1"/>
      <w:marLeft w:val="0"/>
      <w:marRight w:val="0"/>
      <w:marTop w:val="0"/>
      <w:marBottom w:val="0"/>
      <w:divBdr>
        <w:top w:val="none" w:sz="0" w:space="0" w:color="auto"/>
        <w:left w:val="none" w:sz="0" w:space="0" w:color="auto"/>
        <w:bottom w:val="none" w:sz="0" w:space="0" w:color="auto"/>
        <w:right w:val="none" w:sz="0" w:space="0" w:color="auto"/>
      </w:divBdr>
    </w:div>
    <w:div w:id="640379212">
      <w:bodyDiv w:val="1"/>
      <w:marLeft w:val="0"/>
      <w:marRight w:val="0"/>
      <w:marTop w:val="0"/>
      <w:marBottom w:val="0"/>
      <w:divBdr>
        <w:top w:val="none" w:sz="0" w:space="0" w:color="auto"/>
        <w:left w:val="none" w:sz="0" w:space="0" w:color="auto"/>
        <w:bottom w:val="none" w:sz="0" w:space="0" w:color="auto"/>
        <w:right w:val="none" w:sz="0" w:space="0" w:color="auto"/>
      </w:divBdr>
    </w:div>
    <w:div w:id="668409223">
      <w:bodyDiv w:val="1"/>
      <w:marLeft w:val="0"/>
      <w:marRight w:val="0"/>
      <w:marTop w:val="0"/>
      <w:marBottom w:val="0"/>
      <w:divBdr>
        <w:top w:val="none" w:sz="0" w:space="0" w:color="auto"/>
        <w:left w:val="none" w:sz="0" w:space="0" w:color="auto"/>
        <w:bottom w:val="none" w:sz="0" w:space="0" w:color="auto"/>
        <w:right w:val="none" w:sz="0" w:space="0" w:color="auto"/>
      </w:divBdr>
    </w:div>
    <w:div w:id="670989130">
      <w:bodyDiv w:val="1"/>
      <w:marLeft w:val="0"/>
      <w:marRight w:val="0"/>
      <w:marTop w:val="0"/>
      <w:marBottom w:val="0"/>
      <w:divBdr>
        <w:top w:val="none" w:sz="0" w:space="0" w:color="auto"/>
        <w:left w:val="none" w:sz="0" w:space="0" w:color="auto"/>
        <w:bottom w:val="none" w:sz="0" w:space="0" w:color="auto"/>
        <w:right w:val="none" w:sz="0" w:space="0" w:color="auto"/>
      </w:divBdr>
    </w:div>
    <w:div w:id="696273710">
      <w:bodyDiv w:val="1"/>
      <w:marLeft w:val="0"/>
      <w:marRight w:val="0"/>
      <w:marTop w:val="0"/>
      <w:marBottom w:val="0"/>
      <w:divBdr>
        <w:top w:val="none" w:sz="0" w:space="0" w:color="auto"/>
        <w:left w:val="none" w:sz="0" w:space="0" w:color="auto"/>
        <w:bottom w:val="none" w:sz="0" w:space="0" w:color="auto"/>
        <w:right w:val="none" w:sz="0" w:space="0" w:color="auto"/>
      </w:divBdr>
      <w:divsChild>
        <w:div w:id="137350645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01370037">
      <w:bodyDiv w:val="1"/>
      <w:marLeft w:val="0"/>
      <w:marRight w:val="0"/>
      <w:marTop w:val="0"/>
      <w:marBottom w:val="0"/>
      <w:divBdr>
        <w:top w:val="none" w:sz="0" w:space="0" w:color="auto"/>
        <w:left w:val="none" w:sz="0" w:space="0" w:color="auto"/>
        <w:bottom w:val="none" w:sz="0" w:space="0" w:color="auto"/>
        <w:right w:val="none" w:sz="0" w:space="0" w:color="auto"/>
      </w:divBdr>
    </w:div>
    <w:div w:id="702022800">
      <w:bodyDiv w:val="1"/>
      <w:marLeft w:val="0"/>
      <w:marRight w:val="0"/>
      <w:marTop w:val="0"/>
      <w:marBottom w:val="0"/>
      <w:divBdr>
        <w:top w:val="none" w:sz="0" w:space="0" w:color="auto"/>
        <w:left w:val="none" w:sz="0" w:space="0" w:color="auto"/>
        <w:bottom w:val="none" w:sz="0" w:space="0" w:color="auto"/>
        <w:right w:val="none" w:sz="0" w:space="0" w:color="auto"/>
      </w:divBdr>
    </w:div>
    <w:div w:id="714812868">
      <w:bodyDiv w:val="1"/>
      <w:marLeft w:val="0"/>
      <w:marRight w:val="0"/>
      <w:marTop w:val="0"/>
      <w:marBottom w:val="0"/>
      <w:divBdr>
        <w:top w:val="none" w:sz="0" w:space="0" w:color="auto"/>
        <w:left w:val="none" w:sz="0" w:space="0" w:color="auto"/>
        <w:bottom w:val="none" w:sz="0" w:space="0" w:color="auto"/>
        <w:right w:val="none" w:sz="0" w:space="0" w:color="auto"/>
      </w:divBdr>
    </w:div>
    <w:div w:id="716659627">
      <w:bodyDiv w:val="1"/>
      <w:marLeft w:val="0"/>
      <w:marRight w:val="0"/>
      <w:marTop w:val="0"/>
      <w:marBottom w:val="0"/>
      <w:divBdr>
        <w:top w:val="none" w:sz="0" w:space="0" w:color="auto"/>
        <w:left w:val="none" w:sz="0" w:space="0" w:color="auto"/>
        <w:bottom w:val="none" w:sz="0" w:space="0" w:color="auto"/>
        <w:right w:val="none" w:sz="0" w:space="0" w:color="auto"/>
      </w:divBdr>
    </w:div>
    <w:div w:id="726225229">
      <w:bodyDiv w:val="1"/>
      <w:marLeft w:val="0"/>
      <w:marRight w:val="0"/>
      <w:marTop w:val="0"/>
      <w:marBottom w:val="0"/>
      <w:divBdr>
        <w:top w:val="none" w:sz="0" w:space="0" w:color="auto"/>
        <w:left w:val="none" w:sz="0" w:space="0" w:color="auto"/>
        <w:bottom w:val="none" w:sz="0" w:space="0" w:color="auto"/>
        <w:right w:val="none" w:sz="0" w:space="0" w:color="auto"/>
      </w:divBdr>
    </w:div>
    <w:div w:id="740717013">
      <w:bodyDiv w:val="1"/>
      <w:marLeft w:val="0"/>
      <w:marRight w:val="0"/>
      <w:marTop w:val="0"/>
      <w:marBottom w:val="0"/>
      <w:divBdr>
        <w:top w:val="none" w:sz="0" w:space="0" w:color="auto"/>
        <w:left w:val="none" w:sz="0" w:space="0" w:color="auto"/>
        <w:bottom w:val="none" w:sz="0" w:space="0" w:color="auto"/>
        <w:right w:val="none" w:sz="0" w:space="0" w:color="auto"/>
      </w:divBdr>
    </w:div>
    <w:div w:id="744498250">
      <w:bodyDiv w:val="1"/>
      <w:marLeft w:val="0"/>
      <w:marRight w:val="0"/>
      <w:marTop w:val="0"/>
      <w:marBottom w:val="0"/>
      <w:divBdr>
        <w:top w:val="none" w:sz="0" w:space="0" w:color="auto"/>
        <w:left w:val="none" w:sz="0" w:space="0" w:color="auto"/>
        <w:bottom w:val="none" w:sz="0" w:space="0" w:color="auto"/>
        <w:right w:val="none" w:sz="0" w:space="0" w:color="auto"/>
      </w:divBdr>
    </w:div>
    <w:div w:id="750274794">
      <w:bodyDiv w:val="1"/>
      <w:marLeft w:val="0"/>
      <w:marRight w:val="0"/>
      <w:marTop w:val="0"/>
      <w:marBottom w:val="0"/>
      <w:divBdr>
        <w:top w:val="none" w:sz="0" w:space="0" w:color="auto"/>
        <w:left w:val="none" w:sz="0" w:space="0" w:color="auto"/>
        <w:bottom w:val="none" w:sz="0" w:space="0" w:color="auto"/>
        <w:right w:val="none" w:sz="0" w:space="0" w:color="auto"/>
      </w:divBdr>
    </w:div>
    <w:div w:id="758332141">
      <w:bodyDiv w:val="1"/>
      <w:marLeft w:val="0"/>
      <w:marRight w:val="0"/>
      <w:marTop w:val="0"/>
      <w:marBottom w:val="0"/>
      <w:divBdr>
        <w:top w:val="none" w:sz="0" w:space="0" w:color="auto"/>
        <w:left w:val="none" w:sz="0" w:space="0" w:color="auto"/>
        <w:bottom w:val="none" w:sz="0" w:space="0" w:color="auto"/>
        <w:right w:val="none" w:sz="0" w:space="0" w:color="auto"/>
      </w:divBdr>
    </w:div>
    <w:div w:id="791022867">
      <w:bodyDiv w:val="1"/>
      <w:marLeft w:val="0"/>
      <w:marRight w:val="0"/>
      <w:marTop w:val="0"/>
      <w:marBottom w:val="0"/>
      <w:divBdr>
        <w:top w:val="none" w:sz="0" w:space="0" w:color="auto"/>
        <w:left w:val="none" w:sz="0" w:space="0" w:color="auto"/>
        <w:bottom w:val="none" w:sz="0" w:space="0" w:color="auto"/>
        <w:right w:val="none" w:sz="0" w:space="0" w:color="auto"/>
      </w:divBdr>
    </w:div>
    <w:div w:id="793910049">
      <w:bodyDiv w:val="1"/>
      <w:marLeft w:val="0"/>
      <w:marRight w:val="0"/>
      <w:marTop w:val="0"/>
      <w:marBottom w:val="0"/>
      <w:divBdr>
        <w:top w:val="none" w:sz="0" w:space="0" w:color="auto"/>
        <w:left w:val="none" w:sz="0" w:space="0" w:color="auto"/>
        <w:bottom w:val="none" w:sz="0" w:space="0" w:color="auto"/>
        <w:right w:val="none" w:sz="0" w:space="0" w:color="auto"/>
      </w:divBdr>
      <w:divsChild>
        <w:div w:id="146646181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16147691">
      <w:bodyDiv w:val="1"/>
      <w:marLeft w:val="0"/>
      <w:marRight w:val="0"/>
      <w:marTop w:val="0"/>
      <w:marBottom w:val="0"/>
      <w:divBdr>
        <w:top w:val="none" w:sz="0" w:space="0" w:color="auto"/>
        <w:left w:val="none" w:sz="0" w:space="0" w:color="auto"/>
        <w:bottom w:val="none" w:sz="0" w:space="0" w:color="auto"/>
        <w:right w:val="none" w:sz="0" w:space="0" w:color="auto"/>
      </w:divBdr>
    </w:div>
    <w:div w:id="820925653">
      <w:bodyDiv w:val="1"/>
      <w:marLeft w:val="0"/>
      <w:marRight w:val="0"/>
      <w:marTop w:val="0"/>
      <w:marBottom w:val="0"/>
      <w:divBdr>
        <w:top w:val="none" w:sz="0" w:space="0" w:color="auto"/>
        <w:left w:val="none" w:sz="0" w:space="0" w:color="auto"/>
        <w:bottom w:val="none" w:sz="0" w:space="0" w:color="auto"/>
        <w:right w:val="none" w:sz="0" w:space="0" w:color="auto"/>
      </w:divBdr>
    </w:div>
    <w:div w:id="828835951">
      <w:bodyDiv w:val="1"/>
      <w:marLeft w:val="0"/>
      <w:marRight w:val="0"/>
      <w:marTop w:val="0"/>
      <w:marBottom w:val="0"/>
      <w:divBdr>
        <w:top w:val="none" w:sz="0" w:space="0" w:color="auto"/>
        <w:left w:val="none" w:sz="0" w:space="0" w:color="auto"/>
        <w:bottom w:val="none" w:sz="0" w:space="0" w:color="auto"/>
        <w:right w:val="none" w:sz="0" w:space="0" w:color="auto"/>
      </w:divBdr>
    </w:div>
    <w:div w:id="833110498">
      <w:bodyDiv w:val="1"/>
      <w:marLeft w:val="0"/>
      <w:marRight w:val="0"/>
      <w:marTop w:val="0"/>
      <w:marBottom w:val="0"/>
      <w:divBdr>
        <w:top w:val="none" w:sz="0" w:space="0" w:color="auto"/>
        <w:left w:val="none" w:sz="0" w:space="0" w:color="auto"/>
        <w:bottom w:val="none" w:sz="0" w:space="0" w:color="auto"/>
        <w:right w:val="none" w:sz="0" w:space="0" w:color="auto"/>
      </w:divBdr>
    </w:div>
    <w:div w:id="834339865">
      <w:bodyDiv w:val="1"/>
      <w:marLeft w:val="0"/>
      <w:marRight w:val="0"/>
      <w:marTop w:val="0"/>
      <w:marBottom w:val="0"/>
      <w:divBdr>
        <w:top w:val="none" w:sz="0" w:space="0" w:color="auto"/>
        <w:left w:val="none" w:sz="0" w:space="0" w:color="auto"/>
        <w:bottom w:val="none" w:sz="0" w:space="0" w:color="auto"/>
        <w:right w:val="none" w:sz="0" w:space="0" w:color="auto"/>
      </w:divBdr>
    </w:div>
    <w:div w:id="834491181">
      <w:bodyDiv w:val="1"/>
      <w:marLeft w:val="0"/>
      <w:marRight w:val="0"/>
      <w:marTop w:val="0"/>
      <w:marBottom w:val="0"/>
      <w:divBdr>
        <w:top w:val="none" w:sz="0" w:space="0" w:color="auto"/>
        <w:left w:val="none" w:sz="0" w:space="0" w:color="auto"/>
        <w:bottom w:val="none" w:sz="0" w:space="0" w:color="auto"/>
        <w:right w:val="none" w:sz="0" w:space="0" w:color="auto"/>
      </w:divBdr>
      <w:divsChild>
        <w:div w:id="180750298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56430813">
      <w:bodyDiv w:val="1"/>
      <w:marLeft w:val="0"/>
      <w:marRight w:val="0"/>
      <w:marTop w:val="0"/>
      <w:marBottom w:val="0"/>
      <w:divBdr>
        <w:top w:val="none" w:sz="0" w:space="0" w:color="auto"/>
        <w:left w:val="none" w:sz="0" w:space="0" w:color="auto"/>
        <w:bottom w:val="none" w:sz="0" w:space="0" w:color="auto"/>
        <w:right w:val="none" w:sz="0" w:space="0" w:color="auto"/>
      </w:divBdr>
    </w:div>
    <w:div w:id="865678567">
      <w:bodyDiv w:val="1"/>
      <w:marLeft w:val="0"/>
      <w:marRight w:val="0"/>
      <w:marTop w:val="0"/>
      <w:marBottom w:val="0"/>
      <w:divBdr>
        <w:top w:val="none" w:sz="0" w:space="0" w:color="auto"/>
        <w:left w:val="none" w:sz="0" w:space="0" w:color="auto"/>
        <w:bottom w:val="none" w:sz="0" w:space="0" w:color="auto"/>
        <w:right w:val="none" w:sz="0" w:space="0" w:color="auto"/>
      </w:divBdr>
    </w:div>
    <w:div w:id="883449302">
      <w:bodyDiv w:val="1"/>
      <w:marLeft w:val="0"/>
      <w:marRight w:val="0"/>
      <w:marTop w:val="0"/>
      <w:marBottom w:val="0"/>
      <w:divBdr>
        <w:top w:val="none" w:sz="0" w:space="0" w:color="auto"/>
        <w:left w:val="none" w:sz="0" w:space="0" w:color="auto"/>
        <w:bottom w:val="none" w:sz="0" w:space="0" w:color="auto"/>
        <w:right w:val="none" w:sz="0" w:space="0" w:color="auto"/>
      </w:divBdr>
    </w:div>
    <w:div w:id="884099770">
      <w:bodyDiv w:val="1"/>
      <w:marLeft w:val="0"/>
      <w:marRight w:val="0"/>
      <w:marTop w:val="0"/>
      <w:marBottom w:val="0"/>
      <w:divBdr>
        <w:top w:val="none" w:sz="0" w:space="0" w:color="auto"/>
        <w:left w:val="none" w:sz="0" w:space="0" w:color="auto"/>
        <w:bottom w:val="none" w:sz="0" w:space="0" w:color="auto"/>
        <w:right w:val="none" w:sz="0" w:space="0" w:color="auto"/>
      </w:divBdr>
    </w:div>
    <w:div w:id="884833866">
      <w:bodyDiv w:val="1"/>
      <w:marLeft w:val="0"/>
      <w:marRight w:val="0"/>
      <w:marTop w:val="0"/>
      <w:marBottom w:val="0"/>
      <w:divBdr>
        <w:top w:val="none" w:sz="0" w:space="0" w:color="auto"/>
        <w:left w:val="none" w:sz="0" w:space="0" w:color="auto"/>
        <w:bottom w:val="none" w:sz="0" w:space="0" w:color="auto"/>
        <w:right w:val="none" w:sz="0" w:space="0" w:color="auto"/>
      </w:divBdr>
    </w:div>
    <w:div w:id="909079826">
      <w:bodyDiv w:val="1"/>
      <w:marLeft w:val="0"/>
      <w:marRight w:val="0"/>
      <w:marTop w:val="0"/>
      <w:marBottom w:val="0"/>
      <w:divBdr>
        <w:top w:val="none" w:sz="0" w:space="0" w:color="auto"/>
        <w:left w:val="none" w:sz="0" w:space="0" w:color="auto"/>
        <w:bottom w:val="none" w:sz="0" w:space="0" w:color="auto"/>
        <w:right w:val="none" w:sz="0" w:space="0" w:color="auto"/>
      </w:divBdr>
    </w:div>
    <w:div w:id="917058054">
      <w:bodyDiv w:val="1"/>
      <w:marLeft w:val="0"/>
      <w:marRight w:val="0"/>
      <w:marTop w:val="0"/>
      <w:marBottom w:val="0"/>
      <w:divBdr>
        <w:top w:val="none" w:sz="0" w:space="0" w:color="auto"/>
        <w:left w:val="none" w:sz="0" w:space="0" w:color="auto"/>
        <w:bottom w:val="none" w:sz="0" w:space="0" w:color="auto"/>
        <w:right w:val="none" w:sz="0" w:space="0" w:color="auto"/>
      </w:divBdr>
    </w:div>
    <w:div w:id="917907771">
      <w:bodyDiv w:val="1"/>
      <w:marLeft w:val="0"/>
      <w:marRight w:val="0"/>
      <w:marTop w:val="0"/>
      <w:marBottom w:val="0"/>
      <w:divBdr>
        <w:top w:val="none" w:sz="0" w:space="0" w:color="auto"/>
        <w:left w:val="none" w:sz="0" w:space="0" w:color="auto"/>
        <w:bottom w:val="none" w:sz="0" w:space="0" w:color="auto"/>
        <w:right w:val="none" w:sz="0" w:space="0" w:color="auto"/>
      </w:divBdr>
    </w:div>
    <w:div w:id="945386064">
      <w:bodyDiv w:val="1"/>
      <w:marLeft w:val="0"/>
      <w:marRight w:val="0"/>
      <w:marTop w:val="0"/>
      <w:marBottom w:val="0"/>
      <w:divBdr>
        <w:top w:val="none" w:sz="0" w:space="0" w:color="auto"/>
        <w:left w:val="none" w:sz="0" w:space="0" w:color="auto"/>
        <w:bottom w:val="none" w:sz="0" w:space="0" w:color="auto"/>
        <w:right w:val="none" w:sz="0" w:space="0" w:color="auto"/>
      </w:divBdr>
      <w:divsChild>
        <w:div w:id="313223336">
          <w:blockQuote w:val="1"/>
          <w:marLeft w:val="720"/>
          <w:marRight w:val="720"/>
          <w:marTop w:val="100"/>
          <w:marBottom w:val="100"/>
          <w:divBdr>
            <w:top w:val="none" w:sz="0" w:space="0" w:color="auto"/>
            <w:left w:val="none" w:sz="0" w:space="0" w:color="auto"/>
            <w:bottom w:val="none" w:sz="0" w:space="0" w:color="auto"/>
            <w:right w:val="none" w:sz="0" w:space="0" w:color="auto"/>
          </w:divBdr>
        </w:div>
        <w:div w:id="62831653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48198548">
      <w:bodyDiv w:val="1"/>
      <w:marLeft w:val="0"/>
      <w:marRight w:val="0"/>
      <w:marTop w:val="0"/>
      <w:marBottom w:val="0"/>
      <w:divBdr>
        <w:top w:val="none" w:sz="0" w:space="0" w:color="auto"/>
        <w:left w:val="none" w:sz="0" w:space="0" w:color="auto"/>
        <w:bottom w:val="none" w:sz="0" w:space="0" w:color="auto"/>
        <w:right w:val="none" w:sz="0" w:space="0" w:color="auto"/>
      </w:divBdr>
    </w:div>
    <w:div w:id="952126877">
      <w:bodyDiv w:val="1"/>
      <w:marLeft w:val="0"/>
      <w:marRight w:val="0"/>
      <w:marTop w:val="0"/>
      <w:marBottom w:val="0"/>
      <w:divBdr>
        <w:top w:val="none" w:sz="0" w:space="0" w:color="auto"/>
        <w:left w:val="none" w:sz="0" w:space="0" w:color="auto"/>
        <w:bottom w:val="none" w:sz="0" w:space="0" w:color="auto"/>
        <w:right w:val="none" w:sz="0" w:space="0" w:color="auto"/>
      </w:divBdr>
    </w:div>
    <w:div w:id="956763389">
      <w:bodyDiv w:val="1"/>
      <w:marLeft w:val="0"/>
      <w:marRight w:val="0"/>
      <w:marTop w:val="0"/>
      <w:marBottom w:val="0"/>
      <w:divBdr>
        <w:top w:val="none" w:sz="0" w:space="0" w:color="auto"/>
        <w:left w:val="none" w:sz="0" w:space="0" w:color="auto"/>
        <w:bottom w:val="none" w:sz="0" w:space="0" w:color="auto"/>
        <w:right w:val="none" w:sz="0" w:space="0" w:color="auto"/>
      </w:divBdr>
      <w:divsChild>
        <w:div w:id="103982233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57755188">
      <w:bodyDiv w:val="1"/>
      <w:marLeft w:val="0"/>
      <w:marRight w:val="0"/>
      <w:marTop w:val="0"/>
      <w:marBottom w:val="0"/>
      <w:divBdr>
        <w:top w:val="none" w:sz="0" w:space="0" w:color="auto"/>
        <w:left w:val="none" w:sz="0" w:space="0" w:color="auto"/>
        <w:bottom w:val="none" w:sz="0" w:space="0" w:color="auto"/>
        <w:right w:val="none" w:sz="0" w:space="0" w:color="auto"/>
      </w:divBdr>
    </w:div>
    <w:div w:id="963271791">
      <w:bodyDiv w:val="1"/>
      <w:marLeft w:val="0"/>
      <w:marRight w:val="0"/>
      <w:marTop w:val="0"/>
      <w:marBottom w:val="0"/>
      <w:divBdr>
        <w:top w:val="none" w:sz="0" w:space="0" w:color="auto"/>
        <w:left w:val="none" w:sz="0" w:space="0" w:color="auto"/>
        <w:bottom w:val="none" w:sz="0" w:space="0" w:color="auto"/>
        <w:right w:val="none" w:sz="0" w:space="0" w:color="auto"/>
      </w:divBdr>
    </w:div>
    <w:div w:id="979572510">
      <w:bodyDiv w:val="1"/>
      <w:marLeft w:val="0"/>
      <w:marRight w:val="0"/>
      <w:marTop w:val="0"/>
      <w:marBottom w:val="0"/>
      <w:divBdr>
        <w:top w:val="none" w:sz="0" w:space="0" w:color="auto"/>
        <w:left w:val="none" w:sz="0" w:space="0" w:color="auto"/>
        <w:bottom w:val="none" w:sz="0" w:space="0" w:color="auto"/>
        <w:right w:val="none" w:sz="0" w:space="0" w:color="auto"/>
      </w:divBdr>
      <w:divsChild>
        <w:div w:id="957533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80577315">
      <w:bodyDiv w:val="1"/>
      <w:marLeft w:val="0"/>
      <w:marRight w:val="0"/>
      <w:marTop w:val="0"/>
      <w:marBottom w:val="0"/>
      <w:divBdr>
        <w:top w:val="none" w:sz="0" w:space="0" w:color="auto"/>
        <w:left w:val="none" w:sz="0" w:space="0" w:color="auto"/>
        <w:bottom w:val="none" w:sz="0" w:space="0" w:color="auto"/>
        <w:right w:val="none" w:sz="0" w:space="0" w:color="auto"/>
      </w:divBdr>
    </w:div>
    <w:div w:id="990862560">
      <w:bodyDiv w:val="1"/>
      <w:marLeft w:val="0"/>
      <w:marRight w:val="0"/>
      <w:marTop w:val="0"/>
      <w:marBottom w:val="0"/>
      <w:divBdr>
        <w:top w:val="none" w:sz="0" w:space="0" w:color="auto"/>
        <w:left w:val="none" w:sz="0" w:space="0" w:color="auto"/>
        <w:bottom w:val="none" w:sz="0" w:space="0" w:color="auto"/>
        <w:right w:val="none" w:sz="0" w:space="0" w:color="auto"/>
      </w:divBdr>
    </w:div>
    <w:div w:id="1007517537">
      <w:bodyDiv w:val="1"/>
      <w:marLeft w:val="0"/>
      <w:marRight w:val="0"/>
      <w:marTop w:val="0"/>
      <w:marBottom w:val="0"/>
      <w:divBdr>
        <w:top w:val="none" w:sz="0" w:space="0" w:color="auto"/>
        <w:left w:val="none" w:sz="0" w:space="0" w:color="auto"/>
        <w:bottom w:val="none" w:sz="0" w:space="0" w:color="auto"/>
        <w:right w:val="none" w:sz="0" w:space="0" w:color="auto"/>
      </w:divBdr>
    </w:div>
    <w:div w:id="1010181557">
      <w:bodyDiv w:val="1"/>
      <w:marLeft w:val="0"/>
      <w:marRight w:val="0"/>
      <w:marTop w:val="0"/>
      <w:marBottom w:val="0"/>
      <w:divBdr>
        <w:top w:val="none" w:sz="0" w:space="0" w:color="auto"/>
        <w:left w:val="none" w:sz="0" w:space="0" w:color="auto"/>
        <w:bottom w:val="none" w:sz="0" w:space="0" w:color="auto"/>
        <w:right w:val="none" w:sz="0" w:space="0" w:color="auto"/>
      </w:divBdr>
    </w:div>
    <w:div w:id="1013998280">
      <w:bodyDiv w:val="1"/>
      <w:marLeft w:val="0"/>
      <w:marRight w:val="0"/>
      <w:marTop w:val="0"/>
      <w:marBottom w:val="0"/>
      <w:divBdr>
        <w:top w:val="none" w:sz="0" w:space="0" w:color="auto"/>
        <w:left w:val="none" w:sz="0" w:space="0" w:color="auto"/>
        <w:bottom w:val="none" w:sz="0" w:space="0" w:color="auto"/>
        <w:right w:val="none" w:sz="0" w:space="0" w:color="auto"/>
      </w:divBdr>
    </w:div>
    <w:div w:id="1016691221">
      <w:bodyDiv w:val="1"/>
      <w:marLeft w:val="0"/>
      <w:marRight w:val="0"/>
      <w:marTop w:val="0"/>
      <w:marBottom w:val="0"/>
      <w:divBdr>
        <w:top w:val="none" w:sz="0" w:space="0" w:color="auto"/>
        <w:left w:val="none" w:sz="0" w:space="0" w:color="auto"/>
        <w:bottom w:val="none" w:sz="0" w:space="0" w:color="auto"/>
        <w:right w:val="none" w:sz="0" w:space="0" w:color="auto"/>
      </w:divBdr>
    </w:div>
    <w:div w:id="1018313813">
      <w:bodyDiv w:val="1"/>
      <w:marLeft w:val="0"/>
      <w:marRight w:val="0"/>
      <w:marTop w:val="0"/>
      <w:marBottom w:val="0"/>
      <w:divBdr>
        <w:top w:val="none" w:sz="0" w:space="0" w:color="auto"/>
        <w:left w:val="none" w:sz="0" w:space="0" w:color="auto"/>
        <w:bottom w:val="none" w:sz="0" w:space="0" w:color="auto"/>
        <w:right w:val="none" w:sz="0" w:space="0" w:color="auto"/>
      </w:divBdr>
    </w:div>
    <w:div w:id="1020006379">
      <w:bodyDiv w:val="1"/>
      <w:marLeft w:val="0"/>
      <w:marRight w:val="0"/>
      <w:marTop w:val="0"/>
      <w:marBottom w:val="0"/>
      <w:divBdr>
        <w:top w:val="none" w:sz="0" w:space="0" w:color="auto"/>
        <w:left w:val="none" w:sz="0" w:space="0" w:color="auto"/>
        <w:bottom w:val="none" w:sz="0" w:space="0" w:color="auto"/>
        <w:right w:val="none" w:sz="0" w:space="0" w:color="auto"/>
      </w:divBdr>
    </w:div>
    <w:div w:id="1042367370">
      <w:bodyDiv w:val="1"/>
      <w:marLeft w:val="0"/>
      <w:marRight w:val="0"/>
      <w:marTop w:val="0"/>
      <w:marBottom w:val="0"/>
      <w:divBdr>
        <w:top w:val="none" w:sz="0" w:space="0" w:color="auto"/>
        <w:left w:val="none" w:sz="0" w:space="0" w:color="auto"/>
        <w:bottom w:val="none" w:sz="0" w:space="0" w:color="auto"/>
        <w:right w:val="none" w:sz="0" w:space="0" w:color="auto"/>
      </w:divBdr>
    </w:div>
    <w:div w:id="1047948324">
      <w:bodyDiv w:val="1"/>
      <w:marLeft w:val="0"/>
      <w:marRight w:val="0"/>
      <w:marTop w:val="0"/>
      <w:marBottom w:val="0"/>
      <w:divBdr>
        <w:top w:val="none" w:sz="0" w:space="0" w:color="auto"/>
        <w:left w:val="none" w:sz="0" w:space="0" w:color="auto"/>
        <w:bottom w:val="none" w:sz="0" w:space="0" w:color="auto"/>
        <w:right w:val="none" w:sz="0" w:space="0" w:color="auto"/>
      </w:divBdr>
      <w:divsChild>
        <w:div w:id="205673810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67462167">
      <w:bodyDiv w:val="1"/>
      <w:marLeft w:val="0"/>
      <w:marRight w:val="0"/>
      <w:marTop w:val="0"/>
      <w:marBottom w:val="0"/>
      <w:divBdr>
        <w:top w:val="none" w:sz="0" w:space="0" w:color="auto"/>
        <w:left w:val="none" w:sz="0" w:space="0" w:color="auto"/>
        <w:bottom w:val="none" w:sz="0" w:space="0" w:color="auto"/>
        <w:right w:val="none" w:sz="0" w:space="0" w:color="auto"/>
      </w:divBdr>
    </w:div>
    <w:div w:id="1085884513">
      <w:bodyDiv w:val="1"/>
      <w:marLeft w:val="0"/>
      <w:marRight w:val="0"/>
      <w:marTop w:val="0"/>
      <w:marBottom w:val="0"/>
      <w:divBdr>
        <w:top w:val="none" w:sz="0" w:space="0" w:color="auto"/>
        <w:left w:val="none" w:sz="0" w:space="0" w:color="auto"/>
        <w:bottom w:val="none" w:sz="0" w:space="0" w:color="auto"/>
        <w:right w:val="none" w:sz="0" w:space="0" w:color="auto"/>
      </w:divBdr>
    </w:div>
    <w:div w:id="1095780638">
      <w:bodyDiv w:val="1"/>
      <w:marLeft w:val="0"/>
      <w:marRight w:val="0"/>
      <w:marTop w:val="0"/>
      <w:marBottom w:val="0"/>
      <w:divBdr>
        <w:top w:val="none" w:sz="0" w:space="0" w:color="auto"/>
        <w:left w:val="none" w:sz="0" w:space="0" w:color="auto"/>
        <w:bottom w:val="none" w:sz="0" w:space="0" w:color="auto"/>
        <w:right w:val="none" w:sz="0" w:space="0" w:color="auto"/>
      </w:divBdr>
    </w:div>
    <w:div w:id="1125539654">
      <w:bodyDiv w:val="1"/>
      <w:marLeft w:val="0"/>
      <w:marRight w:val="0"/>
      <w:marTop w:val="0"/>
      <w:marBottom w:val="0"/>
      <w:divBdr>
        <w:top w:val="none" w:sz="0" w:space="0" w:color="auto"/>
        <w:left w:val="none" w:sz="0" w:space="0" w:color="auto"/>
        <w:bottom w:val="none" w:sz="0" w:space="0" w:color="auto"/>
        <w:right w:val="none" w:sz="0" w:space="0" w:color="auto"/>
      </w:divBdr>
    </w:div>
    <w:div w:id="1145659164">
      <w:bodyDiv w:val="1"/>
      <w:marLeft w:val="0"/>
      <w:marRight w:val="0"/>
      <w:marTop w:val="0"/>
      <w:marBottom w:val="0"/>
      <w:divBdr>
        <w:top w:val="none" w:sz="0" w:space="0" w:color="auto"/>
        <w:left w:val="none" w:sz="0" w:space="0" w:color="auto"/>
        <w:bottom w:val="none" w:sz="0" w:space="0" w:color="auto"/>
        <w:right w:val="none" w:sz="0" w:space="0" w:color="auto"/>
      </w:divBdr>
    </w:div>
    <w:div w:id="1181117522">
      <w:bodyDiv w:val="1"/>
      <w:marLeft w:val="0"/>
      <w:marRight w:val="0"/>
      <w:marTop w:val="0"/>
      <w:marBottom w:val="0"/>
      <w:divBdr>
        <w:top w:val="none" w:sz="0" w:space="0" w:color="auto"/>
        <w:left w:val="none" w:sz="0" w:space="0" w:color="auto"/>
        <w:bottom w:val="none" w:sz="0" w:space="0" w:color="auto"/>
        <w:right w:val="none" w:sz="0" w:space="0" w:color="auto"/>
      </w:divBdr>
    </w:div>
    <w:div w:id="1213925039">
      <w:bodyDiv w:val="1"/>
      <w:marLeft w:val="0"/>
      <w:marRight w:val="0"/>
      <w:marTop w:val="0"/>
      <w:marBottom w:val="0"/>
      <w:divBdr>
        <w:top w:val="none" w:sz="0" w:space="0" w:color="auto"/>
        <w:left w:val="none" w:sz="0" w:space="0" w:color="auto"/>
        <w:bottom w:val="none" w:sz="0" w:space="0" w:color="auto"/>
        <w:right w:val="none" w:sz="0" w:space="0" w:color="auto"/>
      </w:divBdr>
    </w:div>
    <w:div w:id="1217202638">
      <w:bodyDiv w:val="1"/>
      <w:marLeft w:val="0"/>
      <w:marRight w:val="0"/>
      <w:marTop w:val="0"/>
      <w:marBottom w:val="0"/>
      <w:divBdr>
        <w:top w:val="none" w:sz="0" w:space="0" w:color="auto"/>
        <w:left w:val="none" w:sz="0" w:space="0" w:color="auto"/>
        <w:bottom w:val="none" w:sz="0" w:space="0" w:color="auto"/>
        <w:right w:val="none" w:sz="0" w:space="0" w:color="auto"/>
      </w:divBdr>
    </w:div>
    <w:div w:id="1235815122">
      <w:bodyDiv w:val="1"/>
      <w:marLeft w:val="0"/>
      <w:marRight w:val="0"/>
      <w:marTop w:val="0"/>
      <w:marBottom w:val="0"/>
      <w:divBdr>
        <w:top w:val="none" w:sz="0" w:space="0" w:color="auto"/>
        <w:left w:val="none" w:sz="0" w:space="0" w:color="auto"/>
        <w:bottom w:val="none" w:sz="0" w:space="0" w:color="auto"/>
        <w:right w:val="none" w:sz="0" w:space="0" w:color="auto"/>
      </w:divBdr>
    </w:div>
    <w:div w:id="1237784847">
      <w:bodyDiv w:val="1"/>
      <w:marLeft w:val="0"/>
      <w:marRight w:val="0"/>
      <w:marTop w:val="0"/>
      <w:marBottom w:val="0"/>
      <w:divBdr>
        <w:top w:val="none" w:sz="0" w:space="0" w:color="auto"/>
        <w:left w:val="none" w:sz="0" w:space="0" w:color="auto"/>
        <w:bottom w:val="none" w:sz="0" w:space="0" w:color="auto"/>
        <w:right w:val="none" w:sz="0" w:space="0" w:color="auto"/>
      </w:divBdr>
    </w:div>
    <w:div w:id="1257977433">
      <w:bodyDiv w:val="1"/>
      <w:marLeft w:val="0"/>
      <w:marRight w:val="0"/>
      <w:marTop w:val="0"/>
      <w:marBottom w:val="0"/>
      <w:divBdr>
        <w:top w:val="none" w:sz="0" w:space="0" w:color="auto"/>
        <w:left w:val="none" w:sz="0" w:space="0" w:color="auto"/>
        <w:bottom w:val="none" w:sz="0" w:space="0" w:color="auto"/>
        <w:right w:val="none" w:sz="0" w:space="0" w:color="auto"/>
      </w:divBdr>
    </w:div>
    <w:div w:id="1257978444">
      <w:bodyDiv w:val="1"/>
      <w:marLeft w:val="0"/>
      <w:marRight w:val="0"/>
      <w:marTop w:val="0"/>
      <w:marBottom w:val="0"/>
      <w:divBdr>
        <w:top w:val="none" w:sz="0" w:space="0" w:color="auto"/>
        <w:left w:val="none" w:sz="0" w:space="0" w:color="auto"/>
        <w:bottom w:val="none" w:sz="0" w:space="0" w:color="auto"/>
        <w:right w:val="none" w:sz="0" w:space="0" w:color="auto"/>
      </w:divBdr>
    </w:div>
    <w:div w:id="1261912304">
      <w:bodyDiv w:val="1"/>
      <w:marLeft w:val="0"/>
      <w:marRight w:val="0"/>
      <w:marTop w:val="0"/>
      <w:marBottom w:val="0"/>
      <w:divBdr>
        <w:top w:val="none" w:sz="0" w:space="0" w:color="auto"/>
        <w:left w:val="none" w:sz="0" w:space="0" w:color="auto"/>
        <w:bottom w:val="none" w:sz="0" w:space="0" w:color="auto"/>
        <w:right w:val="none" w:sz="0" w:space="0" w:color="auto"/>
      </w:divBdr>
    </w:div>
    <w:div w:id="1264143379">
      <w:bodyDiv w:val="1"/>
      <w:marLeft w:val="0"/>
      <w:marRight w:val="0"/>
      <w:marTop w:val="0"/>
      <w:marBottom w:val="0"/>
      <w:divBdr>
        <w:top w:val="none" w:sz="0" w:space="0" w:color="auto"/>
        <w:left w:val="none" w:sz="0" w:space="0" w:color="auto"/>
        <w:bottom w:val="none" w:sz="0" w:space="0" w:color="auto"/>
        <w:right w:val="none" w:sz="0" w:space="0" w:color="auto"/>
      </w:divBdr>
    </w:div>
    <w:div w:id="1268002602">
      <w:bodyDiv w:val="1"/>
      <w:marLeft w:val="0"/>
      <w:marRight w:val="0"/>
      <w:marTop w:val="0"/>
      <w:marBottom w:val="0"/>
      <w:divBdr>
        <w:top w:val="none" w:sz="0" w:space="0" w:color="auto"/>
        <w:left w:val="none" w:sz="0" w:space="0" w:color="auto"/>
        <w:bottom w:val="none" w:sz="0" w:space="0" w:color="auto"/>
        <w:right w:val="none" w:sz="0" w:space="0" w:color="auto"/>
      </w:divBdr>
    </w:div>
    <w:div w:id="1280409426">
      <w:bodyDiv w:val="1"/>
      <w:marLeft w:val="0"/>
      <w:marRight w:val="0"/>
      <w:marTop w:val="0"/>
      <w:marBottom w:val="0"/>
      <w:divBdr>
        <w:top w:val="none" w:sz="0" w:space="0" w:color="auto"/>
        <w:left w:val="none" w:sz="0" w:space="0" w:color="auto"/>
        <w:bottom w:val="none" w:sz="0" w:space="0" w:color="auto"/>
        <w:right w:val="none" w:sz="0" w:space="0" w:color="auto"/>
      </w:divBdr>
    </w:div>
    <w:div w:id="1305433816">
      <w:bodyDiv w:val="1"/>
      <w:marLeft w:val="0"/>
      <w:marRight w:val="0"/>
      <w:marTop w:val="0"/>
      <w:marBottom w:val="0"/>
      <w:divBdr>
        <w:top w:val="none" w:sz="0" w:space="0" w:color="auto"/>
        <w:left w:val="none" w:sz="0" w:space="0" w:color="auto"/>
        <w:bottom w:val="none" w:sz="0" w:space="0" w:color="auto"/>
        <w:right w:val="none" w:sz="0" w:space="0" w:color="auto"/>
      </w:divBdr>
    </w:div>
    <w:div w:id="1314944576">
      <w:bodyDiv w:val="1"/>
      <w:marLeft w:val="0"/>
      <w:marRight w:val="0"/>
      <w:marTop w:val="0"/>
      <w:marBottom w:val="0"/>
      <w:divBdr>
        <w:top w:val="none" w:sz="0" w:space="0" w:color="auto"/>
        <w:left w:val="none" w:sz="0" w:space="0" w:color="auto"/>
        <w:bottom w:val="none" w:sz="0" w:space="0" w:color="auto"/>
        <w:right w:val="none" w:sz="0" w:space="0" w:color="auto"/>
      </w:divBdr>
    </w:div>
    <w:div w:id="1324774549">
      <w:bodyDiv w:val="1"/>
      <w:marLeft w:val="0"/>
      <w:marRight w:val="0"/>
      <w:marTop w:val="0"/>
      <w:marBottom w:val="0"/>
      <w:divBdr>
        <w:top w:val="none" w:sz="0" w:space="0" w:color="auto"/>
        <w:left w:val="none" w:sz="0" w:space="0" w:color="auto"/>
        <w:bottom w:val="none" w:sz="0" w:space="0" w:color="auto"/>
        <w:right w:val="none" w:sz="0" w:space="0" w:color="auto"/>
      </w:divBdr>
    </w:div>
    <w:div w:id="1326130102">
      <w:bodyDiv w:val="1"/>
      <w:marLeft w:val="0"/>
      <w:marRight w:val="0"/>
      <w:marTop w:val="0"/>
      <w:marBottom w:val="0"/>
      <w:divBdr>
        <w:top w:val="none" w:sz="0" w:space="0" w:color="auto"/>
        <w:left w:val="none" w:sz="0" w:space="0" w:color="auto"/>
        <w:bottom w:val="none" w:sz="0" w:space="0" w:color="auto"/>
        <w:right w:val="none" w:sz="0" w:space="0" w:color="auto"/>
      </w:divBdr>
    </w:div>
    <w:div w:id="1330332382">
      <w:bodyDiv w:val="1"/>
      <w:marLeft w:val="0"/>
      <w:marRight w:val="0"/>
      <w:marTop w:val="0"/>
      <w:marBottom w:val="0"/>
      <w:divBdr>
        <w:top w:val="none" w:sz="0" w:space="0" w:color="auto"/>
        <w:left w:val="none" w:sz="0" w:space="0" w:color="auto"/>
        <w:bottom w:val="none" w:sz="0" w:space="0" w:color="auto"/>
        <w:right w:val="none" w:sz="0" w:space="0" w:color="auto"/>
      </w:divBdr>
    </w:div>
    <w:div w:id="1333921524">
      <w:bodyDiv w:val="1"/>
      <w:marLeft w:val="0"/>
      <w:marRight w:val="0"/>
      <w:marTop w:val="0"/>
      <w:marBottom w:val="0"/>
      <w:divBdr>
        <w:top w:val="none" w:sz="0" w:space="0" w:color="auto"/>
        <w:left w:val="none" w:sz="0" w:space="0" w:color="auto"/>
        <w:bottom w:val="none" w:sz="0" w:space="0" w:color="auto"/>
        <w:right w:val="none" w:sz="0" w:space="0" w:color="auto"/>
      </w:divBdr>
    </w:div>
    <w:div w:id="1334648784">
      <w:bodyDiv w:val="1"/>
      <w:marLeft w:val="0"/>
      <w:marRight w:val="0"/>
      <w:marTop w:val="0"/>
      <w:marBottom w:val="0"/>
      <w:divBdr>
        <w:top w:val="none" w:sz="0" w:space="0" w:color="auto"/>
        <w:left w:val="none" w:sz="0" w:space="0" w:color="auto"/>
        <w:bottom w:val="none" w:sz="0" w:space="0" w:color="auto"/>
        <w:right w:val="none" w:sz="0" w:space="0" w:color="auto"/>
      </w:divBdr>
    </w:div>
    <w:div w:id="1355840167">
      <w:bodyDiv w:val="1"/>
      <w:marLeft w:val="0"/>
      <w:marRight w:val="0"/>
      <w:marTop w:val="0"/>
      <w:marBottom w:val="0"/>
      <w:divBdr>
        <w:top w:val="none" w:sz="0" w:space="0" w:color="auto"/>
        <w:left w:val="none" w:sz="0" w:space="0" w:color="auto"/>
        <w:bottom w:val="none" w:sz="0" w:space="0" w:color="auto"/>
        <w:right w:val="none" w:sz="0" w:space="0" w:color="auto"/>
      </w:divBdr>
      <w:divsChild>
        <w:div w:id="210726200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56736942">
      <w:bodyDiv w:val="1"/>
      <w:marLeft w:val="0"/>
      <w:marRight w:val="0"/>
      <w:marTop w:val="0"/>
      <w:marBottom w:val="0"/>
      <w:divBdr>
        <w:top w:val="none" w:sz="0" w:space="0" w:color="auto"/>
        <w:left w:val="none" w:sz="0" w:space="0" w:color="auto"/>
        <w:bottom w:val="none" w:sz="0" w:space="0" w:color="auto"/>
        <w:right w:val="none" w:sz="0" w:space="0" w:color="auto"/>
      </w:divBdr>
    </w:div>
    <w:div w:id="1371028448">
      <w:bodyDiv w:val="1"/>
      <w:marLeft w:val="0"/>
      <w:marRight w:val="0"/>
      <w:marTop w:val="0"/>
      <w:marBottom w:val="0"/>
      <w:divBdr>
        <w:top w:val="none" w:sz="0" w:space="0" w:color="auto"/>
        <w:left w:val="none" w:sz="0" w:space="0" w:color="auto"/>
        <w:bottom w:val="none" w:sz="0" w:space="0" w:color="auto"/>
        <w:right w:val="none" w:sz="0" w:space="0" w:color="auto"/>
      </w:divBdr>
    </w:div>
    <w:div w:id="1379159331">
      <w:bodyDiv w:val="1"/>
      <w:marLeft w:val="0"/>
      <w:marRight w:val="0"/>
      <w:marTop w:val="0"/>
      <w:marBottom w:val="0"/>
      <w:divBdr>
        <w:top w:val="none" w:sz="0" w:space="0" w:color="auto"/>
        <w:left w:val="none" w:sz="0" w:space="0" w:color="auto"/>
        <w:bottom w:val="none" w:sz="0" w:space="0" w:color="auto"/>
        <w:right w:val="none" w:sz="0" w:space="0" w:color="auto"/>
      </w:divBdr>
    </w:div>
    <w:div w:id="1393426716">
      <w:bodyDiv w:val="1"/>
      <w:marLeft w:val="0"/>
      <w:marRight w:val="0"/>
      <w:marTop w:val="0"/>
      <w:marBottom w:val="0"/>
      <w:divBdr>
        <w:top w:val="none" w:sz="0" w:space="0" w:color="auto"/>
        <w:left w:val="none" w:sz="0" w:space="0" w:color="auto"/>
        <w:bottom w:val="none" w:sz="0" w:space="0" w:color="auto"/>
        <w:right w:val="none" w:sz="0" w:space="0" w:color="auto"/>
      </w:divBdr>
    </w:div>
    <w:div w:id="1397320879">
      <w:bodyDiv w:val="1"/>
      <w:marLeft w:val="0"/>
      <w:marRight w:val="0"/>
      <w:marTop w:val="0"/>
      <w:marBottom w:val="0"/>
      <w:divBdr>
        <w:top w:val="none" w:sz="0" w:space="0" w:color="auto"/>
        <w:left w:val="none" w:sz="0" w:space="0" w:color="auto"/>
        <w:bottom w:val="none" w:sz="0" w:space="0" w:color="auto"/>
        <w:right w:val="none" w:sz="0" w:space="0" w:color="auto"/>
      </w:divBdr>
    </w:div>
    <w:div w:id="1399666069">
      <w:bodyDiv w:val="1"/>
      <w:marLeft w:val="0"/>
      <w:marRight w:val="0"/>
      <w:marTop w:val="0"/>
      <w:marBottom w:val="0"/>
      <w:divBdr>
        <w:top w:val="none" w:sz="0" w:space="0" w:color="auto"/>
        <w:left w:val="none" w:sz="0" w:space="0" w:color="auto"/>
        <w:bottom w:val="none" w:sz="0" w:space="0" w:color="auto"/>
        <w:right w:val="none" w:sz="0" w:space="0" w:color="auto"/>
      </w:divBdr>
    </w:div>
    <w:div w:id="1404445127">
      <w:bodyDiv w:val="1"/>
      <w:marLeft w:val="0"/>
      <w:marRight w:val="0"/>
      <w:marTop w:val="0"/>
      <w:marBottom w:val="0"/>
      <w:divBdr>
        <w:top w:val="none" w:sz="0" w:space="0" w:color="auto"/>
        <w:left w:val="none" w:sz="0" w:space="0" w:color="auto"/>
        <w:bottom w:val="none" w:sz="0" w:space="0" w:color="auto"/>
        <w:right w:val="none" w:sz="0" w:space="0" w:color="auto"/>
      </w:divBdr>
    </w:div>
    <w:div w:id="1435396214">
      <w:bodyDiv w:val="1"/>
      <w:marLeft w:val="0"/>
      <w:marRight w:val="0"/>
      <w:marTop w:val="0"/>
      <w:marBottom w:val="0"/>
      <w:divBdr>
        <w:top w:val="none" w:sz="0" w:space="0" w:color="auto"/>
        <w:left w:val="none" w:sz="0" w:space="0" w:color="auto"/>
        <w:bottom w:val="none" w:sz="0" w:space="0" w:color="auto"/>
        <w:right w:val="none" w:sz="0" w:space="0" w:color="auto"/>
      </w:divBdr>
    </w:div>
    <w:div w:id="1438452212">
      <w:bodyDiv w:val="1"/>
      <w:marLeft w:val="0"/>
      <w:marRight w:val="0"/>
      <w:marTop w:val="0"/>
      <w:marBottom w:val="0"/>
      <w:divBdr>
        <w:top w:val="none" w:sz="0" w:space="0" w:color="auto"/>
        <w:left w:val="none" w:sz="0" w:space="0" w:color="auto"/>
        <w:bottom w:val="none" w:sz="0" w:space="0" w:color="auto"/>
        <w:right w:val="none" w:sz="0" w:space="0" w:color="auto"/>
      </w:divBdr>
    </w:div>
    <w:div w:id="1442217376">
      <w:bodyDiv w:val="1"/>
      <w:marLeft w:val="0"/>
      <w:marRight w:val="0"/>
      <w:marTop w:val="0"/>
      <w:marBottom w:val="0"/>
      <w:divBdr>
        <w:top w:val="none" w:sz="0" w:space="0" w:color="auto"/>
        <w:left w:val="none" w:sz="0" w:space="0" w:color="auto"/>
        <w:bottom w:val="none" w:sz="0" w:space="0" w:color="auto"/>
        <w:right w:val="none" w:sz="0" w:space="0" w:color="auto"/>
      </w:divBdr>
    </w:div>
    <w:div w:id="1445536006">
      <w:bodyDiv w:val="1"/>
      <w:marLeft w:val="0"/>
      <w:marRight w:val="0"/>
      <w:marTop w:val="0"/>
      <w:marBottom w:val="0"/>
      <w:divBdr>
        <w:top w:val="none" w:sz="0" w:space="0" w:color="auto"/>
        <w:left w:val="none" w:sz="0" w:space="0" w:color="auto"/>
        <w:bottom w:val="none" w:sz="0" w:space="0" w:color="auto"/>
        <w:right w:val="none" w:sz="0" w:space="0" w:color="auto"/>
      </w:divBdr>
    </w:div>
    <w:div w:id="1447189613">
      <w:bodyDiv w:val="1"/>
      <w:marLeft w:val="0"/>
      <w:marRight w:val="0"/>
      <w:marTop w:val="0"/>
      <w:marBottom w:val="0"/>
      <w:divBdr>
        <w:top w:val="none" w:sz="0" w:space="0" w:color="auto"/>
        <w:left w:val="none" w:sz="0" w:space="0" w:color="auto"/>
        <w:bottom w:val="none" w:sz="0" w:space="0" w:color="auto"/>
        <w:right w:val="none" w:sz="0" w:space="0" w:color="auto"/>
      </w:divBdr>
    </w:div>
    <w:div w:id="1448542781">
      <w:bodyDiv w:val="1"/>
      <w:marLeft w:val="0"/>
      <w:marRight w:val="0"/>
      <w:marTop w:val="0"/>
      <w:marBottom w:val="0"/>
      <w:divBdr>
        <w:top w:val="none" w:sz="0" w:space="0" w:color="auto"/>
        <w:left w:val="none" w:sz="0" w:space="0" w:color="auto"/>
        <w:bottom w:val="none" w:sz="0" w:space="0" w:color="auto"/>
        <w:right w:val="none" w:sz="0" w:space="0" w:color="auto"/>
      </w:divBdr>
    </w:div>
    <w:div w:id="1448692480">
      <w:bodyDiv w:val="1"/>
      <w:marLeft w:val="0"/>
      <w:marRight w:val="0"/>
      <w:marTop w:val="0"/>
      <w:marBottom w:val="0"/>
      <w:divBdr>
        <w:top w:val="none" w:sz="0" w:space="0" w:color="auto"/>
        <w:left w:val="none" w:sz="0" w:space="0" w:color="auto"/>
        <w:bottom w:val="none" w:sz="0" w:space="0" w:color="auto"/>
        <w:right w:val="none" w:sz="0" w:space="0" w:color="auto"/>
      </w:divBdr>
    </w:div>
    <w:div w:id="1455636645">
      <w:bodyDiv w:val="1"/>
      <w:marLeft w:val="0"/>
      <w:marRight w:val="0"/>
      <w:marTop w:val="0"/>
      <w:marBottom w:val="0"/>
      <w:divBdr>
        <w:top w:val="none" w:sz="0" w:space="0" w:color="auto"/>
        <w:left w:val="none" w:sz="0" w:space="0" w:color="auto"/>
        <w:bottom w:val="none" w:sz="0" w:space="0" w:color="auto"/>
        <w:right w:val="none" w:sz="0" w:space="0" w:color="auto"/>
      </w:divBdr>
    </w:div>
    <w:div w:id="1471704010">
      <w:bodyDiv w:val="1"/>
      <w:marLeft w:val="0"/>
      <w:marRight w:val="0"/>
      <w:marTop w:val="0"/>
      <w:marBottom w:val="0"/>
      <w:divBdr>
        <w:top w:val="none" w:sz="0" w:space="0" w:color="auto"/>
        <w:left w:val="none" w:sz="0" w:space="0" w:color="auto"/>
        <w:bottom w:val="none" w:sz="0" w:space="0" w:color="auto"/>
        <w:right w:val="none" w:sz="0" w:space="0" w:color="auto"/>
      </w:divBdr>
    </w:div>
    <w:div w:id="1472286686">
      <w:bodyDiv w:val="1"/>
      <w:marLeft w:val="0"/>
      <w:marRight w:val="0"/>
      <w:marTop w:val="0"/>
      <w:marBottom w:val="0"/>
      <w:divBdr>
        <w:top w:val="none" w:sz="0" w:space="0" w:color="auto"/>
        <w:left w:val="none" w:sz="0" w:space="0" w:color="auto"/>
        <w:bottom w:val="none" w:sz="0" w:space="0" w:color="auto"/>
        <w:right w:val="none" w:sz="0" w:space="0" w:color="auto"/>
      </w:divBdr>
    </w:div>
    <w:div w:id="1478957409">
      <w:bodyDiv w:val="1"/>
      <w:marLeft w:val="0"/>
      <w:marRight w:val="0"/>
      <w:marTop w:val="0"/>
      <w:marBottom w:val="0"/>
      <w:divBdr>
        <w:top w:val="none" w:sz="0" w:space="0" w:color="auto"/>
        <w:left w:val="none" w:sz="0" w:space="0" w:color="auto"/>
        <w:bottom w:val="none" w:sz="0" w:space="0" w:color="auto"/>
        <w:right w:val="none" w:sz="0" w:space="0" w:color="auto"/>
      </w:divBdr>
    </w:div>
    <w:div w:id="1479112708">
      <w:bodyDiv w:val="1"/>
      <w:marLeft w:val="0"/>
      <w:marRight w:val="0"/>
      <w:marTop w:val="0"/>
      <w:marBottom w:val="0"/>
      <w:divBdr>
        <w:top w:val="none" w:sz="0" w:space="0" w:color="auto"/>
        <w:left w:val="none" w:sz="0" w:space="0" w:color="auto"/>
        <w:bottom w:val="none" w:sz="0" w:space="0" w:color="auto"/>
        <w:right w:val="none" w:sz="0" w:space="0" w:color="auto"/>
      </w:divBdr>
    </w:div>
    <w:div w:id="1535312458">
      <w:bodyDiv w:val="1"/>
      <w:marLeft w:val="0"/>
      <w:marRight w:val="0"/>
      <w:marTop w:val="0"/>
      <w:marBottom w:val="0"/>
      <w:divBdr>
        <w:top w:val="none" w:sz="0" w:space="0" w:color="auto"/>
        <w:left w:val="none" w:sz="0" w:space="0" w:color="auto"/>
        <w:bottom w:val="none" w:sz="0" w:space="0" w:color="auto"/>
        <w:right w:val="none" w:sz="0" w:space="0" w:color="auto"/>
      </w:divBdr>
    </w:div>
    <w:div w:id="1551069032">
      <w:bodyDiv w:val="1"/>
      <w:marLeft w:val="0"/>
      <w:marRight w:val="0"/>
      <w:marTop w:val="0"/>
      <w:marBottom w:val="0"/>
      <w:divBdr>
        <w:top w:val="none" w:sz="0" w:space="0" w:color="auto"/>
        <w:left w:val="none" w:sz="0" w:space="0" w:color="auto"/>
        <w:bottom w:val="none" w:sz="0" w:space="0" w:color="auto"/>
        <w:right w:val="none" w:sz="0" w:space="0" w:color="auto"/>
      </w:divBdr>
    </w:div>
    <w:div w:id="1557279511">
      <w:bodyDiv w:val="1"/>
      <w:marLeft w:val="0"/>
      <w:marRight w:val="0"/>
      <w:marTop w:val="0"/>
      <w:marBottom w:val="0"/>
      <w:divBdr>
        <w:top w:val="none" w:sz="0" w:space="0" w:color="auto"/>
        <w:left w:val="none" w:sz="0" w:space="0" w:color="auto"/>
        <w:bottom w:val="none" w:sz="0" w:space="0" w:color="auto"/>
        <w:right w:val="none" w:sz="0" w:space="0" w:color="auto"/>
      </w:divBdr>
    </w:div>
    <w:div w:id="1557929405">
      <w:bodyDiv w:val="1"/>
      <w:marLeft w:val="0"/>
      <w:marRight w:val="0"/>
      <w:marTop w:val="0"/>
      <w:marBottom w:val="0"/>
      <w:divBdr>
        <w:top w:val="none" w:sz="0" w:space="0" w:color="auto"/>
        <w:left w:val="none" w:sz="0" w:space="0" w:color="auto"/>
        <w:bottom w:val="none" w:sz="0" w:space="0" w:color="auto"/>
        <w:right w:val="none" w:sz="0" w:space="0" w:color="auto"/>
      </w:divBdr>
    </w:div>
    <w:div w:id="1565144919">
      <w:bodyDiv w:val="1"/>
      <w:marLeft w:val="0"/>
      <w:marRight w:val="0"/>
      <w:marTop w:val="0"/>
      <w:marBottom w:val="0"/>
      <w:divBdr>
        <w:top w:val="none" w:sz="0" w:space="0" w:color="auto"/>
        <w:left w:val="none" w:sz="0" w:space="0" w:color="auto"/>
        <w:bottom w:val="none" w:sz="0" w:space="0" w:color="auto"/>
        <w:right w:val="none" w:sz="0" w:space="0" w:color="auto"/>
      </w:divBdr>
    </w:div>
    <w:div w:id="1579098923">
      <w:bodyDiv w:val="1"/>
      <w:marLeft w:val="0"/>
      <w:marRight w:val="0"/>
      <w:marTop w:val="0"/>
      <w:marBottom w:val="0"/>
      <w:divBdr>
        <w:top w:val="none" w:sz="0" w:space="0" w:color="auto"/>
        <w:left w:val="none" w:sz="0" w:space="0" w:color="auto"/>
        <w:bottom w:val="none" w:sz="0" w:space="0" w:color="auto"/>
        <w:right w:val="none" w:sz="0" w:space="0" w:color="auto"/>
      </w:divBdr>
    </w:div>
    <w:div w:id="1579172943">
      <w:bodyDiv w:val="1"/>
      <w:marLeft w:val="0"/>
      <w:marRight w:val="0"/>
      <w:marTop w:val="0"/>
      <w:marBottom w:val="0"/>
      <w:divBdr>
        <w:top w:val="none" w:sz="0" w:space="0" w:color="auto"/>
        <w:left w:val="none" w:sz="0" w:space="0" w:color="auto"/>
        <w:bottom w:val="none" w:sz="0" w:space="0" w:color="auto"/>
        <w:right w:val="none" w:sz="0" w:space="0" w:color="auto"/>
      </w:divBdr>
    </w:div>
    <w:div w:id="1586456339">
      <w:bodyDiv w:val="1"/>
      <w:marLeft w:val="0"/>
      <w:marRight w:val="0"/>
      <w:marTop w:val="0"/>
      <w:marBottom w:val="0"/>
      <w:divBdr>
        <w:top w:val="none" w:sz="0" w:space="0" w:color="auto"/>
        <w:left w:val="none" w:sz="0" w:space="0" w:color="auto"/>
        <w:bottom w:val="none" w:sz="0" w:space="0" w:color="auto"/>
        <w:right w:val="none" w:sz="0" w:space="0" w:color="auto"/>
      </w:divBdr>
    </w:div>
    <w:div w:id="1594699840">
      <w:bodyDiv w:val="1"/>
      <w:marLeft w:val="0"/>
      <w:marRight w:val="0"/>
      <w:marTop w:val="0"/>
      <w:marBottom w:val="0"/>
      <w:divBdr>
        <w:top w:val="none" w:sz="0" w:space="0" w:color="auto"/>
        <w:left w:val="none" w:sz="0" w:space="0" w:color="auto"/>
        <w:bottom w:val="none" w:sz="0" w:space="0" w:color="auto"/>
        <w:right w:val="none" w:sz="0" w:space="0" w:color="auto"/>
      </w:divBdr>
    </w:div>
    <w:div w:id="1597401262">
      <w:bodyDiv w:val="1"/>
      <w:marLeft w:val="0"/>
      <w:marRight w:val="0"/>
      <w:marTop w:val="0"/>
      <w:marBottom w:val="0"/>
      <w:divBdr>
        <w:top w:val="none" w:sz="0" w:space="0" w:color="auto"/>
        <w:left w:val="none" w:sz="0" w:space="0" w:color="auto"/>
        <w:bottom w:val="none" w:sz="0" w:space="0" w:color="auto"/>
        <w:right w:val="none" w:sz="0" w:space="0" w:color="auto"/>
      </w:divBdr>
    </w:div>
    <w:div w:id="1598253272">
      <w:bodyDiv w:val="1"/>
      <w:marLeft w:val="0"/>
      <w:marRight w:val="0"/>
      <w:marTop w:val="0"/>
      <w:marBottom w:val="0"/>
      <w:divBdr>
        <w:top w:val="none" w:sz="0" w:space="0" w:color="auto"/>
        <w:left w:val="none" w:sz="0" w:space="0" w:color="auto"/>
        <w:bottom w:val="none" w:sz="0" w:space="0" w:color="auto"/>
        <w:right w:val="none" w:sz="0" w:space="0" w:color="auto"/>
      </w:divBdr>
    </w:div>
    <w:div w:id="1612782456">
      <w:bodyDiv w:val="1"/>
      <w:marLeft w:val="0"/>
      <w:marRight w:val="0"/>
      <w:marTop w:val="0"/>
      <w:marBottom w:val="0"/>
      <w:divBdr>
        <w:top w:val="none" w:sz="0" w:space="0" w:color="auto"/>
        <w:left w:val="none" w:sz="0" w:space="0" w:color="auto"/>
        <w:bottom w:val="none" w:sz="0" w:space="0" w:color="auto"/>
        <w:right w:val="none" w:sz="0" w:space="0" w:color="auto"/>
      </w:divBdr>
      <w:divsChild>
        <w:div w:id="196962795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43609331">
      <w:bodyDiv w:val="1"/>
      <w:marLeft w:val="0"/>
      <w:marRight w:val="0"/>
      <w:marTop w:val="0"/>
      <w:marBottom w:val="0"/>
      <w:divBdr>
        <w:top w:val="none" w:sz="0" w:space="0" w:color="auto"/>
        <w:left w:val="none" w:sz="0" w:space="0" w:color="auto"/>
        <w:bottom w:val="none" w:sz="0" w:space="0" w:color="auto"/>
        <w:right w:val="none" w:sz="0" w:space="0" w:color="auto"/>
      </w:divBdr>
    </w:div>
    <w:div w:id="1644775697">
      <w:bodyDiv w:val="1"/>
      <w:marLeft w:val="0"/>
      <w:marRight w:val="0"/>
      <w:marTop w:val="0"/>
      <w:marBottom w:val="0"/>
      <w:divBdr>
        <w:top w:val="none" w:sz="0" w:space="0" w:color="auto"/>
        <w:left w:val="none" w:sz="0" w:space="0" w:color="auto"/>
        <w:bottom w:val="none" w:sz="0" w:space="0" w:color="auto"/>
        <w:right w:val="none" w:sz="0" w:space="0" w:color="auto"/>
      </w:divBdr>
    </w:div>
    <w:div w:id="1647584026">
      <w:bodyDiv w:val="1"/>
      <w:marLeft w:val="0"/>
      <w:marRight w:val="0"/>
      <w:marTop w:val="0"/>
      <w:marBottom w:val="0"/>
      <w:divBdr>
        <w:top w:val="none" w:sz="0" w:space="0" w:color="auto"/>
        <w:left w:val="none" w:sz="0" w:space="0" w:color="auto"/>
        <w:bottom w:val="none" w:sz="0" w:space="0" w:color="auto"/>
        <w:right w:val="none" w:sz="0" w:space="0" w:color="auto"/>
      </w:divBdr>
    </w:div>
    <w:div w:id="1677685650">
      <w:bodyDiv w:val="1"/>
      <w:marLeft w:val="0"/>
      <w:marRight w:val="0"/>
      <w:marTop w:val="0"/>
      <w:marBottom w:val="0"/>
      <w:divBdr>
        <w:top w:val="none" w:sz="0" w:space="0" w:color="auto"/>
        <w:left w:val="none" w:sz="0" w:space="0" w:color="auto"/>
        <w:bottom w:val="none" w:sz="0" w:space="0" w:color="auto"/>
        <w:right w:val="none" w:sz="0" w:space="0" w:color="auto"/>
      </w:divBdr>
    </w:div>
    <w:div w:id="1678653750">
      <w:bodyDiv w:val="1"/>
      <w:marLeft w:val="0"/>
      <w:marRight w:val="0"/>
      <w:marTop w:val="0"/>
      <w:marBottom w:val="0"/>
      <w:divBdr>
        <w:top w:val="none" w:sz="0" w:space="0" w:color="auto"/>
        <w:left w:val="none" w:sz="0" w:space="0" w:color="auto"/>
        <w:bottom w:val="none" w:sz="0" w:space="0" w:color="auto"/>
        <w:right w:val="none" w:sz="0" w:space="0" w:color="auto"/>
      </w:divBdr>
    </w:div>
    <w:div w:id="1684435728">
      <w:bodyDiv w:val="1"/>
      <w:marLeft w:val="0"/>
      <w:marRight w:val="0"/>
      <w:marTop w:val="0"/>
      <w:marBottom w:val="0"/>
      <w:divBdr>
        <w:top w:val="none" w:sz="0" w:space="0" w:color="auto"/>
        <w:left w:val="none" w:sz="0" w:space="0" w:color="auto"/>
        <w:bottom w:val="none" w:sz="0" w:space="0" w:color="auto"/>
        <w:right w:val="none" w:sz="0" w:space="0" w:color="auto"/>
      </w:divBdr>
      <w:divsChild>
        <w:div w:id="122620221">
          <w:marLeft w:val="0"/>
          <w:marRight w:val="0"/>
          <w:marTop w:val="0"/>
          <w:marBottom w:val="0"/>
          <w:divBdr>
            <w:top w:val="none" w:sz="0" w:space="0" w:color="auto"/>
            <w:left w:val="none" w:sz="0" w:space="0" w:color="auto"/>
            <w:bottom w:val="none" w:sz="0" w:space="0" w:color="auto"/>
            <w:right w:val="none" w:sz="0" w:space="0" w:color="auto"/>
          </w:divBdr>
          <w:divsChild>
            <w:div w:id="1536886261">
              <w:marLeft w:val="0"/>
              <w:marRight w:val="0"/>
              <w:marTop w:val="0"/>
              <w:marBottom w:val="0"/>
              <w:divBdr>
                <w:top w:val="none" w:sz="0" w:space="0" w:color="auto"/>
                <w:left w:val="none" w:sz="0" w:space="0" w:color="auto"/>
                <w:bottom w:val="none" w:sz="0" w:space="0" w:color="auto"/>
                <w:right w:val="none" w:sz="0" w:space="0" w:color="auto"/>
              </w:divBdr>
              <w:divsChild>
                <w:div w:id="426534865">
                  <w:marLeft w:val="0"/>
                  <w:marRight w:val="0"/>
                  <w:marTop w:val="0"/>
                  <w:marBottom w:val="0"/>
                  <w:divBdr>
                    <w:top w:val="none" w:sz="0" w:space="0" w:color="auto"/>
                    <w:left w:val="none" w:sz="0" w:space="0" w:color="auto"/>
                    <w:bottom w:val="none" w:sz="0" w:space="0" w:color="auto"/>
                    <w:right w:val="none" w:sz="0" w:space="0" w:color="auto"/>
                  </w:divBdr>
                  <w:divsChild>
                    <w:div w:id="471411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6100899">
      <w:bodyDiv w:val="1"/>
      <w:marLeft w:val="0"/>
      <w:marRight w:val="0"/>
      <w:marTop w:val="0"/>
      <w:marBottom w:val="0"/>
      <w:divBdr>
        <w:top w:val="none" w:sz="0" w:space="0" w:color="auto"/>
        <w:left w:val="none" w:sz="0" w:space="0" w:color="auto"/>
        <w:bottom w:val="none" w:sz="0" w:space="0" w:color="auto"/>
        <w:right w:val="none" w:sz="0" w:space="0" w:color="auto"/>
      </w:divBdr>
    </w:div>
    <w:div w:id="1710255364">
      <w:bodyDiv w:val="1"/>
      <w:marLeft w:val="0"/>
      <w:marRight w:val="0"/>
      <w:marTop w:val="0"/>
      <w:marBottom w:val="0"/>
      <w:divBdr>
        <w:top w:val="none" w:sz="0" w:space="0" w:color="auto"/>
        <w:left w:val="none" w:sz="0" w:space="0" w:color="auto"/>
        <w:bottom w:val="none" w:sz="0" w:space="0" w:color="auto"/>
        <w:right w:val="none" w:sz="0" w:space="0" w:color="auto"/>
      </w:divBdr>
    </w:div>
    <w:div w:id="1719012195">
      <w:bodyDiv w:val="1"/>
      <w:marLeft w:val="0"/>
      <w:marRight w:val="0"/>
      <w:marTop w:val="0"/>
      <w:marBottom w:val="0"/>
      <w:divBdr>
        <w:top w:val="none" w:sz="0" w:space="0" w:color="auto"/>
        <w:left w:val="none" w:sz="0" w:space="0" w:color="auto"/>
        <w:bottom w:val="none" w:sz="0" w:space="0" w:color="auto"/>
        <w:right w:val="none" w:sz="0" w:space="0" w:color="auto"/>
      </w:divBdr>
    </w:div>
    <w:div w:id="1721392553">
      <w:bodyDiv w:val="1"/>
      <w:marLeft w:val="0"/>
      <w:marRight w:val="0"/>
      <w:marTop w:val="0"/>
      <w:marBottom w:val="0"/>
      <w:divBdr>
        <w:top w:val="none" w:sz="0" w:space="0" w:color="auto"/>
        <w:left w:val="none" w:sz="0" w:space="0" w:color="auto"/>
        <w:bottom w:val="none" w:sz="0" w:space="0" w:color="auto"/>
        <w:right w:val="none" w:sz="0" w:space="0" w:color="auto"/>
      </w:divBdr>
    </w:div>
    <w:div w:id="1724909511">
      <w:bodyDiv w:val="1"/>
      <w:marLeft w:val="0"/>
      <w:marRight w:val="0"/>
      <w:marTop w:val="0"/>
      <w:marBottom w:val="0"/>
      <w:divBdr>
        <w:top w:val="none" w:sz="0" w:space="0" w:color="auto"/>
        <w:left w:val="none" w:sz="0" w:space="0" w:color="auto"/>
        <w:bottom w:val="none" w:sz="0" w:space="0" w:color="auto"/>
        <w:right w:val="none" w:sz="0" w:space="0" w:color="auto"/>
      </w:divBdr>
    </w:div>
    <w:div w:id="1724940061">
      <w:bodyDiv w:val="1"/>
      <w:marLeft w:val="0"/>
      <w:marRight w:val="0"/>
      <w:marTop w:val="0"/>
      <w:marBottom w:val="0"/>
      <w:divBdr>
        <w:top w:val="none" w:sz="0" w:space="0" w:color="auto"/>
        <w:left w:val="none" w:sz="0" w:space="0" w:color="auto"/>
        <w:bottom w:val="none" w:sz="0" w:space="0" w:color="auto"/>
        <w:right w:val="none" w:sz="0" w:space="0" w:color="auto"/>
      </w:divBdr>
    </w:div>
    <w:div w:id="1763136292">
      <w:bodyDiv w:val="1"/>
      <w:marLeft w:val="0"/>
      <w:marRight w:val="0"/>
      <w:marTop w:val="0"/>
      <w:marBottom w:val="0"/>
      <w:divBdr>
        <w:top w:val="none" w:sz="0" w:space="0" w:color="auto"/>
        <w:left w:val="none" w:sz="0" w:space="0" w:color="auto"/>
        <w:bottom w:val="none" w:sz="0" w:space="0" w:color="auto"/>
        <w:right w:val="none" w:sz="0" w:space="0" w:color="auto"/>
      </w:divBdr>
      <w:divsChild>
        <w:div w:id="128668827">
          <w:marLeft w:val="0"/>
          <w:marRight w:val="0"/>
          <w:marTop w:val="0"/>
          <w:marBottom w:val="0"/>
          <w:divBdr>
            <w:top w:val="none" w:sz="0" w:space="0" w:color="auto"/>
            <w:left w:val="none" w:sz="0" w:space="0" w:color="auto"/>
            <w:bottom w:val="none" w:sz="0" w:space="0" w:color="auto"/>
            <w:right w:val="none" w:sz="0" w:space="0" w:color="auto"/>
          </w:divBdr>
        </w:div>
      </w:divsChild>
    </w:div>
    <w:div w:id="1766924511">
      <w:bodyDiv w:val="1"/>
      <w:marLeft w:val="0"/>
      <w:marRight w:val="0"/>
      <w:marTop w:val="0"/>
      <w:marBottom w:val="0"/>
      <w:divBdr>
        <w:top w:val="none" w:sz="0" w:space="0" w:color="auto"/>
        <w:left w:val="none" w:sz="0" w:space="0" w:color="auto"/>
        <w:bottom w:val="none" w:sz="0" w:space="0" w:color="auto"/>
        <w:right w:val="none" w:sz="0" w:space="0" w:color="auto"/>
      </w:divBdr>
    </w:div>
    <w:div w:id="1769888677">
      <w:bodyDiv w:val="1"/>
      <w:marLeft w:val="0"/>
      <w:marRight w:val="0"/>
      <w:marTop w:val="0"/>
      <w:marBottom w:val="0"/>
      <w:divBdr>
        <w:top w:val="none" w:sz="0" w:space="0" w:color="auto"/>
        <w:left w:val="none" w:sz="0" w:space="0" w:color="auto"/>
        <w:bottom w:val="none" w:sz="0" w:space="0" w:color="auto"/>
        <w:right w:val="none" w:sz="0" w:space="0" w:color="auto"/>
      </w:divBdr>
    </w:div>
    <w:div w:id="1794668216">
      <w:bodyDiv w:val="1"/>
      <w:marLeft w:val="0"/>
      <w:marRight w:val="0"/>
      <w:marTop w:val="0"/>
      <w:marBottom w:val="0"/>
      <w:divBdr>
        <w:top w:val="none" w:sz="0" w:space="0" w:color="auto"/>
        <w:left w:val="none" w:sz="0" w:space="0" w:color="auto"/>
        <w:bottom w:val="none" w:sz="0" w:space="0" w:color="auto"/>
        <w:right w:val="none" w:sz="0" w:space="0" w:color="auto"/>
      </w:divBdr>
    </w:div>
    <w:div w:id="1801454116">
      <w:bodyDiv w:val="1"/>
      <w:marLeft w:val="0"/>
      <w:marRight w:val="0"/>
      <w:marTop w:val="0"/>
      <w:marBottom w:val="0"/>
      <w:divBdr>
        <w:top w:val="none" w:sz="0" w:space="0" w:color="auto"/>
        <w:left w:val="none" w:sz="0" w:space="0" w:color="auto"/>
        <w:bottom w:val="none" w:sz="0" w:space="0" w:color="auto"/>
        <w:right w:val="none" w:sz="0" w:space="0" w:color="auto"/>
      </w:divBdr>
    </w:div>
    <w:div w:id="1808742752">
      <w:bodyDiv w:val="1"/>
      <w:marLeft w:val="0"/>
      <w:marRight w:val="0"/>
      <w:marTop w:val="0"/>
      <w:marBottom w:val="0"/>
      <w:divBdr>
        <w:top w:val="none" w:sz="0" w:space="0" w:color="auto"/>
        <w:left w:val="none" w:sz="0" w:space="0" w:color="auto"/>
        <w:bottom w:val="none" w:sz="0" w:space="0" w:color="auto"/>
        <w:right w:val="none" w:sz="0" w:space="0" w:color="auto"/>
      </w:divBdr>
    </w:div>
    <w:div w:id="1831824202">
      <w:bodyDiv w:val="1"/>
      <w:marLeft w:val="0"/>
      <w:marRight w:val="0"/>
      <w:marTop w:val="0"/>
      <w:marBottom w:val="0"/>
      <w:divBdr>
        <w:top w:val="none" w:sz="0" w:space="0" w:color="auto"/>
        <w:left w:val="none" w:sz="0" w:space="0" w:color="auto"/>
        <w:bottom w:val="none" w:sz="0" w:space="0" w:color="auto"/>
        <w:right w:val="none" w:sz="0" w:space="0" w:color="auto"/>
      </w:divBdr>
    </w:div>
    <w:div w:id="1850830411">
      <w:bodyDiv w:val="1"/>
      <w:marLeft w:val="0"/>
      <w:marRight w:val="0"/>
      <w:marTop w:val="0"/>
      <w:marBottom w:val="0"/>
      <w:divBdr>
        <w:top w:val="none" w:sz="0" w:space="0" w:color="auto"/>
        <w:left w:val="none" w:sz="0" w:space="0" w:color="auto"/>
        <w:bottom w:val="none" w:sz="0" w:space="0" w:color="auto"/>
        <w:right w:val="none" w:sz="0" w:space="0" w:color="auto"/>
      </w:divBdr>
    </w:div>
    <w:div w:id="1855877202">
      <w:bodyDiv w:val="1"/>
      <w:marLeft w:val="0"/>
      <w:marRight w:val="0"/>
      <w:marTop w:val="0"/>
      <w:marBottom w:val="0"/>
      <w:divBdr>
        <w:top w:val="none" w:sz="0" w:space="0" w:color="auto"/>
        <w:left w:val="none" w:sz="0" w:space="0" w:color="auto"/>
        <w:bottom w:val="none" w:sz="0" w:space="0" w:color="auto"/>
        <w:right w:val="none" w:sz="0" w:space="0" w:color="auto"/>
      </w:divBdr>
    </w:div>
    <w:div w:id="1870222056">
      <w:bodyDiv w:val="1"/>
      <w:marLeft w:val="0"/>
      <w:marRight w:val="0"/>
      <w:marTop w:val="0"/>
      <w:marBottom w:val="0"/>
      <w:divBdr>
        <w:top w:val="none" w:sz="0" w:space="0" w:color="auto"/>
        <w:left w:val="none" w:sz="0" w:space="0" w:color="auto"/>
        <w:bottom w:val="none" w:sz="0" w:space="0" w:color="auto"/>
        <w:right w:val="none" w:sz="0" w:space="0" w:color="auto"/>
      </w:divBdr>
    </w:div>
    <w:div w:id="1880824809">
      <w:bodyDiv w:val="1"/>
      <w:marLeft w:val="0"/>
      <w:marRight w:val="0"/>
      <w:marTop w:val="0"/>
      <w:marBottom w:val="0"/>
      <w:divBdr>
        <w:top w:val="none" w:sz="0" w:space="0" w:color="auto"/>
        <w:left w:val="none" w:sz="0" w:space="0" w:color="auto"/>
        <w:bottom w:val="none" w:sz="0" w:space="0" w:color="auto"/>
        <w:right w:val="none" w:sz="0" w:space="0" w:color="auto"/>
      </w:divBdr>
    </w:div>
    <w:div w:id="1895656347">
      <w:bodyDiv w:val="1"/>
      <w:marLeft w:val="0"/>
      <w:marRight w:val="0"/>
      <w:marTop w:val="0"/>
      <w:marBottom w:val="0"/>
      <w:divBdr>
        <w:top w:val="none" w:sz="0" w:space="0" w:color="auto"/>
        <w:left w:val="none" w:sz="0" w:space="0" w:color="auto"/>
        <w:bottom w:val="none" w:sz="0" w:space="0" w:color="auto"/>
        <w:right w:val="none" w:sz="0" w:space="0" w:color="auto"/>
      </w:divBdr>
    </w:div>
    <w:div w:id="1902792466">
      <w:bodyDiv w:val="1"/>
      <w:marLeft w:val="0"/>
      <w:marRight w:val="0"/>
      <w:marTop w:val="0"/>
      <w:marBottom w:val="0"/>
      <w:divBdr>
        <w:top w:val="none" w:sz="0" w:space="0" w:color="auto"/>
        <w:left w:val="none" w:sz="0" w:space="0" w:color="auto"/>
        <w:bottom w:val="none" w:sz="0" w:space="0" w:color="auto"/>
        <w:right w:val="none" w:sz="0" w:space="0" w:color="auto"/>
      </w:divBdr>
    </w:div>
    <w:div w:id="1904830065">
      <w:bodyDiv w:val="1"/>
      <w:marLeft w:val="0"/>
      <w:marRight w:val="0"/>
      <w:marTop w:val="0"/>
      <w:marBottom w:val="0"/>
      <w:divBdr>
        <w:top w:val="none" w:sz="0" w:space="0" w:color="auto"/>
        <w:left w:val="none" w:sz="0" w:space="0" w:color="auto"/>
        <w:bottom w:val="none" w:sz="0" w:space="0" w:color="auto"/>
        <w:right w:val="none" w:sz="0" w:space="0" w:color="auto"/>
      </w:divBdr>
    </w:div>
    <w:div w:id="1908806809">
      <w:bodyDiv w:val="1"/>
      <w:marLeft w:val="0"/>
      <w:marRight w:val="0"/>
      <w:marTop w:val="0"/>
      <w:marBottom w:val="0"/>
      <w:divBdr>
        <w:top w:val="none" w:sz="0" w:space="0" w:color="auto"/>
        <w:left w:val="none" w:sz="0" w:space="0" w:color="auto"/>
        <w:bottom w:val="none" w:sz="0" w:space="0" w:color="auto"/>
        <w:right w:val="none" w:sz="0" w:space="0" w:color="auto"/>
      </w:divBdr>
    </w:div>
    <w:div w:id="1910310874">
      <w:bodyDiv w:val="1"/>
      <w:marLeft w:val="0"/>
      <w:marRight w:val="0"/>
      <w:marTop w:val="0"/>
      <w:marBottom w:val="0"/>
      <w:divBdr>
        <w:top w:val="none" w:sz="0" w:space="0" w:color="auto"/>
        <w:left w:val="none" w:sz="0" w:space="0" w:color="auto"/>
        <w:bottom w:val="none" w:sz="0" w:space="0" w:color="auto"/>
        <w:right w:val="none" w:sz="0" w:space="0" w:color="auto"/>
      </w:divBdr>
    </w:div>
    <w:div w:id="1912497982">
      <w:bodyDiv w:val="1"/>
      <w:marLeft w:val="0"/>
      <w:marRight w:val="0"/>
      <w:marTop w:val="0"/>
      <w:marBottom w:val="0"/>
      <w:divBdr>
        <w:top w:val="none" w:sz="0" w:space="0" w:color="auto"/>
        <w:left w:val="none" w:sz="0" w:space="0" w:color="auto"/>
        <w:bottom w:val="none" w:sz="0" w:space="0" w:color="auto"/>
        <w:right w:val="none" w:sz="0" w:space="0" w:color="auto"/>
      </w:divBdr>
    </w:div>
    <w:div w:id="1912808425">
      <w:bodyDiv w:val="1"/>
      <w:marLeft w:val="0"/>
      <w:marRight w:val="0"/>
      <w:marTop w:val="0"/>
      <w:marBottom w:val="0"/>
      <w:divBdr>
        <w:top w:val="none" w:sz="0" w:space="0" w:color="auto"/>
        <w:left w:val="none" w:sz="0" w:space="0" w:color="auto"/>
        <w:bottom w:val="none" w:sz="0" w:space="0" w:color="auto"/>
        <w:right w:val="none" w:sz="0" w:space="0" w:color="auto"/>
      </w:divBdr>
    </w:div>
    <w:div w:id="1918831025">
      <w:bodyDiv w:val="1"/>
      <w:marLeft w:val="0"/>
      <w:marRight w:val="0"/>
      <w:marTop w:val="0"/>
      <w:marBottom w:val="0"/>
      <w:divBdr>
        <w:top w:val="none" w:sz="0" w:space="0" w:color="auto"/>
        <w:left w:val="none" w:sz="0" w:space="0" w:color="auto"/>
        <w:bottom w:val="none" w:sz="0" w:space="0" w:color="auto"/>
        <w:right w:val="none" w:sz="0" w:space="0" w:color="auto"/>
      </w:divBdr>
    </w:div>
    <w:div w:id="1925605504">
      <w:bodyDiv w:val="1"/>
      <w:marLeft w:val="0"/>
      <w:marRight w:val="0"/>
      <w:marTop w:val="0"/>
      <w:marBottom w:val="0"/>
      <w:divBdr>
        <w:top w:val="none" w:sz="0" w:space="0" w:color="auto"/>
        <w:left w:val="none" w:sz="0" w:space="0" w:color="auto"/>
        <w:bottom w:val="none" w:sz="0" w:space="0" w:color="auto"/>
        <w:right w:val="none" w:sz="0" w:space="0" w:color="auto"/>
      </w:divBdr>
    </w:div>
    <w:div w:id="1939753985">
      <w:bodyDiv w:val="1"/>
      <w:marLeft w:val="0"/>
      <w:marRight w:val="0"/>
      <w:marTop w:val="0"/>
      <w:marBottom w:val="0"/>
      <w:divBdr>
        <w:top w:val="none" w:sz="0" w:space="0" w:color="auto"/>
        <w:left w:val="none" w:sz="0" w:space="0" w:color="auto"/>
        <w:bottom w:val="none" w:sz="0" w:space="0" w:color="auto"/>
        <w:right w:val="none" w:sz="0" w:space="0" w:color="auto"/>
      </w:divBdr>
    </w:div>
    <w:div w:id="1975597481">
      <w:bodyDiv w:val="1"/>
      <w:marLeft w:val="0"/>
      <w:marRight w:val="0"/>
      <w:marTop w:val="0"/>
      <w:marBottom w:val="0"/>
      <w:divBdr>
        <w:top w:val="none" w:sz="0" w:space="0" w:color="auto"/>
        <w:left w:val="none" w:sz="0" w:space="0" w:color="auto"/>
        <w:bottom w:val="none" w:sz="0" w:space="0" w:color="auto"/>
        <w:right w:val="none" w:sz="0" w:space="0" w:color="auto"/>
      </w:divBdr>
    </w:div>
    <w:div w:id="1999267128">
      <w:bodyDiv w:val="1"/>
      <w:marLeft w:val="0"/>
      <w:marRight w:val="0"/>
      <w:marTop w:val="0"/>
      <w:marBottom w:val="0"/>
      <w:divBdr>
        <w:top w:val="none" w:sz="0" w:space="0" w:color="auto"/>
        <w:left w:val="none" w:sz="0" w:space="0" w:color="auto"/>
        <w:bottom w:val="none" w:sz="0" w:space="0" w:color="auto"/>
        <w:right w:val="none" w:sz="0" w:space="0" w:color="auto"/>
      </w:divBdr>
    </w:div>
    <w:div w:id="2012171370">
      <w:bodyDiv w:val="1"/>
      <w:marLeft w:val="0"/>
      <w:marRight w:val="0"/>
      <w:marTop w:val="0"/>
      <w:marBottom w:val="0"/>
      <w:divBdr>
        <w:top w:val="none" w:sz="0" w:space="0" w:color="auto"/>
        <w:left w:val="none" w:sz="0" w:space="0" w:color="auto"/>
        <w:bottom w:val="none" w:sz="0" w:space="0" w:color="auto"/>
        <w:right w:val="none" w:sz="0" w:space="0" w:color="auto"/>
      </w:divBdr>
    </w:div>
    <w:div w:id="2033723187">
      <w:bodyDiv w:val="1"/>
      <w:marLeft w:val="0"/>
      <w:marRight w:val="0"/>
      <w:marTop w:val="0"/>
      <w:marBottom w:val="0"/>
      <w:divBdr>
        <w:top w:val="none" w:sz="0" w:space="0" w:color="auto"/>
        <w:left w:val="none" w:sz="0" w:space="0" w:color="auto"/>
        <w:bottom w:val="none" w:sz="0" w:space="0" w:color="auto"/>
        <w:right w:val="none" w:sz="0" w:space="0" w:color="auto"/>
      </w:divBdr>
    </w:div>
    <w:div w:id="2034380135">
      <w:bodyDiv w:val="1"/>
      <w:marLeft w:val="0"/>
      <w:marRight w:val="0"/>
      <w:marTop w:val="0"/>
      <w:marBottom w:val="0"/>
      <w:divBdr>
        <w:top w:val="none" w:sz="0" w:space="0" w:color="auto"/>
        <w:left w:val="none" w:sz="0" w:space="0" w:color="auto"/>
        <w:bottom w:val="none" w:sz="0" w:space="0" w:color="auto"/>
        <w:right w:val="none" w:sz="0" w:space="0" w:color="auto"/>
      </w:divBdr>
      <w:divsChild>
        <w:div w:id="505091930">
          <w:blockQuote w:val="1"/>
          <w:marLeft w:val="720"/>
          <w:marRight w:val="720"/>
          <w:marTop w:val="100"/>
          <w:marBottom w:val="100"/>
          <w:divBdr>
            <w:top w:val="none" w:sz="0" w:space="0" w:color="auto"/>
            <w:left w:val="none" w:sz="0" w:space="0" w:color="auto"/>
            <w:bottom w:val="none" w:sz="0" w:space="0" w:color="auto"/>
            <w:right w:val="none" w:sz="0" w:space="0" w:color="auto"/>
          </w:divBdr>
        </w:div>
        <w:div w:id="180770101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43436537">
      <w:bodyDiv w:val="1"/>
      <w:marLeft w:val="0"/>
      <w:marRight w:val="0"/>
      <w:marTop w:val="0"/>
      <w:marBottom w:val="0"/>
      <w:divBdr>
        <w:top w:val="none" w:sz="0" w:space="0" w:color="auto"/>
        <w:left w:val="none" w:sz="0" w:space="0" w:color="auto"/>
        <w:bottom w:val="none" w:sz="0" w:space="0" w:color="auto"/>
        <w:right w:val="none" w:sz="0" w:space="0" w:color="auto"/>
      </w:divBdr>
    </w:div>
    <w:div w:id="2045863419">
      <w:bodyDiv w:val="1"/>
      <w:marLeft w:val="0"/>
      <w:marRight w:val="0"/>
      <w:marTop w:val="0"/>
      <w:marBottom w:val="0"/>
      <w:divBdr>
        <w:top w:val="none" w:sz="0" w:space="0" w:color="auto"/>
        <w:left w:val="none" w:sz="0" w:space="0" w:color="auto"/>
        <w:bottom w:val="none" w:sz="0" w:space="0" w:color="auto"/>
        <w:right w:val="none" w:sz="0" w:space="0" w:color="auto"/>
      </w:divBdr>
    </w:div>
    <w:div w:id="2055541174">
      <w:bodyDiv w:val="1"/>
      <w:marLeft w:val="0"/>
      <w:marRight w:val="0"/>
      <w:marTop w:val="0"/>
      <w:marBottom w:val="0"/>
      <w:divBdr>
        <w:top w:val="none" w:sz="0" w:space="0" w:color="auto"/>
        <w:left w:val="none" w:sz="0" w:space="0" w:color="auto"/>
        <w:bottom w:val="none" w:sz="0" w:space="0" w:color="auto"/>
        <w:right w:val="none" w:sz="0" w:space="0" w:color="auto"/>
      </w:divBdr>
      <w:divsChild>
        <w:div w:id="45386470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57387519">
      <w:bodyDiv w:val="1"/>
      <w:marLeft w:val="0"/>
      <w:marRight w:val="0"/>
      <w:marTop w:val="0"/>
      <w:marBottom w:val="0"/>
      <w:divBdr>
        <w:top w:val="none" w:sz="0" w:space="0" w:color="auto"/>
        <w:left w:val="none" w:sz="0" w:space="0" w:color="auto"/>
        <w:bottom w:val="none" w:sz="0" w:space="0" w:color="auto"/>
        <w:right w:val="none" w:sz="0" w:space="0" w:color="auto"/>
      </w:divBdr>
    </w:div>
    <w:div w:id="2065257162">
      <w:bodyDiv w:val="1"/>
      <w:marLeft w:val="0"/>
      <w:marRight w:val="0"/>
      <w:marTop w:val="0"/>
      <w:marBottom w:val="0"/>
      <w:divBdr>
        <w:top w:val="none" w:sz="0" w:space="0" w:color="auto"/>
        <w:left w:val="none" w:sz="0" w:space="0" w:color="auto"/>
        <w:bottom w:val="none" w:sz="0" w:space="0" w:color="auto"/>
        <w:right w:val="none" w:sz="0" w:space="0" w:color="auto"/>
      </w:divBdr>
    </w:div>
    <w:div w:id="2066023409">
      <w:bodyDiv w:val="1"/>
      <w:marLeft w:val="0"/>
      <w:marRight w:val="0"/>
      <w:marTop w:val="0"/>
      <w:marBottom w:val="0"/>
      <w:divBdr>
        <w:top w:val="none" w:sz="0" w:space="0" w:color="auto"/>
        <w:left w:val="none" w:sz="0" w:space="0" w:color="auto"/>
        <w:bottom w:val="none" w:sz="0" w:space="0" w:color="auto"/>
        <w:right w:val="none" w:sz="0" w:space="0" w:color="auto"/>
      </w:divBdr>
    </w:div>
    <w:div w:id="2070224869">
      <w:bodyDiv w:val="1"/>
      <w:marLeft w:val="0"/>
      <w:marRight w:val="0"/>
      <w:marTop w:val="0"/>
      <w:marBottom w:val="0"/>
      <w:divBdr>
        <w:top w:val="none" w:sz="0" w:space="0" w:color="auto"/>
        <w:left w:val="none" w:sz="0" w:space="0" w:color="auto"/>
        <w:bottom w:val="none" w:sz="0" w:space="0" w:color="auto"/>
        <w:right w:val="none" w:sz="0" w:space="0" w:color="auto"/>
      </w:divBdr>
    </w:div>
    <w:div w:id="2099521272">
      <w:bodyDiv w:val="1"/>
      <w:marLeft w:val="0"/>
      <w:marRight w:val="0"/>
      <w:marTop w:val="0"/>
      <w:marBottom w:val="0"/>
      <w:divBdr>
        <w:top w:val="none" w:sz="0" w:space="0" w:color="auto"/>
        <w:left w:val="none" w:sz="0" w:space="0" w:color="auto"/>
        <w:bottom w:val="none" w:sz="0" w:space="0" w:color="auto"/>
        <w:right w:val="none" w:sz="0" w:space="0" w:color="auto"/>
      </w:divBdr>
    </w:div>
    <w:div w:id="2105875875">
      <w:bodyDiv w:val="1"/>
      <w:marLeft w:val="0"/>
      <w:marRight w:val="0"/>
      <w:marTop w:val="0"/>
      <w:marBottom w:val="0"/>
      <w:divBdr>
        <w:top w:val="none" w:sz="0" w:space="0" w:color="auto"/>
        <w:left w:val="none" w:sz="0" w:space="0" w:color="auto"/>
        <w:bottom w:val="none" w:sz="0" w:space="0" w:color="auto"/>
        <w:right w:val="none" w:sz="0" w:space="0" w:color="auto"/>
      </w:divBdr>
      <w:divsChild>
        <w:div w:id="578490482">
          <w:marLeft w:val="0"/>
          <w:marRight w:val="0"/>
          <w:marTop w:val="0"/>
          <w:marBottom w:val="0"/>
          <w:divBdr>
            <w:top w:val="none" w:sz="0" w:space="0" w:color="auto"/>
            <w:left w:val="none" w:sz="0" w:space="0" w:color="auto"/>
            <w:bottom w:val="none" w:sz="0" w:space="0" w:color="auto"/>
            <w:right w:val="none" w:sz="0" w:space="0" w:color="auto"/>
          </w:divBdr>
          <w:divsChild>
            <w:div w:id="1949704028">
              <w:marLeft w:val="0"/>
              <w:marRight w:val="0"/>
              <w:marTop w:val="0"/>
              <w:marBottom w:val="0"/>
              <w:divBdr>
                <w:top w:val="none" w:sz="0" w:space="0" w:color="auto"/>
                <w:left w:val="none" w:sz="0" w:space="0" w:color="auto"/>
                <w:bottom w:val="none" w:sz="0" w:space="0" w:color="auto"/>
                <w:right w:val="none" w:sz="0" w:space="0" w:color="auto"/>
              </w:divBdr>
              <w:divsChild>
                <w:div w:id="1130174338">
                  <w:marLeft w:val="0"/>
                  <w:marRight w:val="0"/>
                  <w:marTop w:val="0"/>
                  <w:marBottom w:val="0"/>
                  <w:divBdr>
                    <w:top w:val="none" w:sz="0" w:space="0" w:color="auto"/>
                    <w:left w:val="none" w:sz="0" w:space="0" w:color="auto"/>
                    <w:bottom w:val="none" w:sz="0" w:space="0" w:color="auto"/>
                    <w:right w:val="none" w:sz="0" w:space="0" w:color="auto"/>
                  </w:divBdr>
                  <w:divsChild>
                    <w:div w:id="854458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16973839">
      <w:bodyDiv w:val="1"/>
      <w:marLeft w:val="0"/>
      <w:marRight w:val="0"/>
      <w:marTop w:val="0"/>
      <w:marBottom w:val="0"/>
      <w:divBdr>
        <w:top w:val="none" w:sz="0" w:space="0" w:color="auto"/>
        <w:left w:val="none" w:sz="0" w:space="0" w:color="auto"/>
        <w:bottom w:val="none" w:sz="0" w:space="0" w:color="auto"/>
        <w:right w:val="none" w:sz="0" w:space="0" w:color="auto"/>
      </w:divBdr>
    </w:div>
    <w:div w:id="2134864244">
      <w:bodyDiv w:val="1"/>
      <w:marLeft w:val="0"/>
      <w:marRight w:val="0"/>
      <w:marTop w:val="0"/>
      <w:marBottom w:val="0"/>
      <w:divBdr>
        <w:top w:val="none" w:sz="0" w:space="0" w:color="auto"/>
        <w:left w:val="none" w:sz="0" w:space="0" w:color="auto"/>
        <w:bottom w:val="none" w:sz="0" w:space="0" w:color="auto"/>
        <w:right w:val="none" w:sz="0" w:space="0" w:color="auto"/>
      </w:divBdr>
    </w:div>
    <w:div w:id="2138986084">
      <w:bodyDiv w:val="1"/>
      <w:marLeft w:val="0"/>
      <w:marRight w:val="0"/>
      <w:marTop w:val="0"/>
      <w:marBottom w:val="0"/>
      <w:divBdr>
        <w:top w:val="none" w:sz="0" w:space="0" w:color="auto"/>
        <w:left w:val="none" w:sz="0" w:space="0" w:color="auto"/>
        <w:bottom w:val="none" w:sz="0" w:space="0" w:color="auto"/>
        <w:right w:val="none" w:sz="0" w:space="0" w:color="auto"/>
      </w:divBdr>
    </w:div>
    <w:div w:id="214573191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22</Pages>
  <Words>6501</Words>
  <Characters>37062</Characters>
  <Application>Microsoft Office Word</Application>
  <DocSecurity>0</DocSecurity>
  <Lines>308</Lines>
  <Paragraphs>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43477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Raed Abdalnaser Tattan</dc:creator>
  <cp:lastModifiedBy>Raed Abdalnaser Tattan</cp:lastModifiedBy>
  <cp:revision>3</cp:revision>
  <dcterms:created xsi:type="dcterms:W3CDTF">2025-12-14T02:06:00Z</dcterms:created>
  <dcterms:modified xsi:type="dcterms:W3CDTF">2025-12-14T02:52:00Z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3012f73e,47b382f5,3ffa595e</vt:lpwstr>
  </property>
  <property fmtid="{D5CDD505-2E9C-101B-9397-08002B2CF9AE}" pid="3" name="ClassificationContentMarkingHeaderFontProps">
    <vt:lpwstr>#008000,10,Calibri</vt:lpwstr>
  </property>
  <property fmtid="{D5CDD505-2E9C-101B-9397-08002B2CF9AE}" pid="4" name="ClassificationContentMarkingHeaderText">
    <vt:lpwstr>Public - عام</vt:lpwstr>
  </property>
  <property fmtid="{D5CDD505-2E9C-101B-9397-08002B2CF9AE}" pid="5" name="MSIP_Label_2c7acf01-9a6d-4cc2-bcab-45b480a48c3b_Enabled">
    <vt:lpwstr>true</vt:lpwstr>
  </property>
  <property fmtid="{D5CDD505-2E9C-101B-9397-08002B2CF9AE}" pid="6" name="MSIP_Label_2c7acf01-9a6d-4cc2-bcab-45b480a48c3b_SetDate">
    <vt:lpwstr>2025-10-25T05:05:25Z</vt:lpwstr>
  </property>
  <property fmtid="{D5CDD505-2E9C-101B-9397-08002B2CF9AE}" pid="7" name="MSIP_Label_2c7acf01-9a6d-4cc2-bcab-45b480a48c3b_Method">
    <vt:lpwstr>Privileged</vt:lpwstr>
  </property>
  <property fmtid="{D5CDD505-2E9C-101B-9397-08002B2CF9AE}" pid="8" name="MSIP_Label_2c7acf01-9a6d-4cc2-bcab-45b480a48c3b_Name">
    <vt:lpwstr>Public</vt:lpwstr>
  </property>
  <property fmtid="{D5CDD505-2E9C-101B-9397-08002B2CF9AE}" pid="9" name="MSIP_Label_2c7acf01-9a6d-4cc2-bcab-45b480a48c3b_SiteId">
    <vt:lpwstr>94cd8cb1-f7d3-4f1a-881f-ff3f9cdfe741</vt:lpwstr>
  </property>
  <property fmtid="{D5CDD505-2E9C-101B-9397-08002B2CF9AE}" pid="10" name="MSIP_Label_2c7acf01-9a6d-4cc2-bcab-45b480a48c3b_ActionId">
    <vt:lpwstr>66acf97d-c515-4969-965d-14b6e8e5cf06</vt:lpwstr>
  </property>
  <property fmtid="{D5CDD505-2E9C-101B-9397-08002B2CF9AE}" pid="11" name="MSIP_Label_2c7acf01-9a6d-4cc2-bcab-45b480a48c3b_ContentBits">
    <vt:lpwstr>1</vt:lpwstr>
  </property>
  <property fmtid="{D5CDD505-2E9C-101B-9397-08002B2CF9AE}" pid="12" name="MSIP_Label_2c7acf01-9a6d-4cc2-bcab-45b480a48c3b_Tag">
    <vt:lpwstr>10, 0, 1, 1</vt:lpwstr>
  </property>
</Properties>
</file>