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0AD21" w14:textId="156E58C8" w:rsidR="005311DB" w:rsidRDefault="005311DB" w:rsidP="005311DB">
      <w:pPr>
        <w:bidi/>
        <w:spacing w:line="240" w:lineRule="auto"/>
        <w:jc w:val="lowKashida"/>
        <w:rPr>
          <w:rFonts w:cs="Arial"/>
          <w:rtl/>
        </w:rPr>
      </w:pPr>
      <w:r w:rsidRPr="005311DB">
        <w:rPr>
          <w:rFonts w:cs="Arial" w:hint="cs"/>
          <w:highlight w:val="yellow"/>
          <w:rtl/>
        </w:rPr>
        <w:t xml:space="preserve">يرجى الالتزام </w:t>
      </w:r>
      <w:r w:rsidRPr="005311DB">
        <w:rPr>
          <w:rFonts w:cs="Arial" w:hint="cs"/>
          <w:sz w:val="48"/>
          <w:szCs w:val="48"/>
          <w:highlight w:val="yellow"/>
          <w:rtl/>
        </w:rPr>
        <w:t xml:space="preserve">الحرفى </w:t>
      </w:r>
      <w:r w:rsidRPr="005311DB">
        <w:rPr>
          <w:rFonts w:cs="Arial" w:hint="cs"/>
          <w:highlight w:val="yellow"/>
          <w:rtl/>
        </w:rPr>
        <w:t>بكل ما هو مطلوب للضرورة وحتى يتم اعتماد الفصل</w:t>
      </w:r>
      <w:r>
        <w:rPr>
          <w:rFonts w:cs="Arial" w:hint="cs"/>
          <w:rtl/>
        </w:rPr>
        <w:t xml:space="preserve"> </w:t>
      </w:r>
    </w:p>
    <w:p w14:paraId="28E0C042" w14:textId="7D425DAD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عناوين الفصل الثاني: الإطار النظري والدراسات السابقة</w:t>
      </w:r>
    </w:p>
    <w:p w14:paraId="1868CFF6" w14:textId="77777777" w:rsidR="005311DB" w:rsidRPr="005311DB" w:rsidRDefault="005311DB" w:rsidP="005311DB">
      <w:pPr>
        <w:bidi/>
        <w:spacing w:line="240" w:lineRule="auto"/>
        <w:jc w:val="lowKashida"/>
        <w:rPr>
          <w:b/>
          <w:bCs/>
        </w:rPr>
      </w:pPr>
      <w:r w:rsidRPr="005311DB">
        <w:rPr>
          <w:rFonts w:cs="Arial"/>
          <w:b/>
          <w:bCs/>
          <w:rtl/>
        </w:rPr>
        <w:t>أولاً: الإطار النظري</w:t>
      </w:r>
    </w:p>
    <w:p w14:paraId="5829D369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١</w:t>
      </w:r>
      <w:r w:rsidRPr="005311DB">
        <w:rPr>
          <w:b/>
          <w:bCs/>
        </w:rPr>
        <w:t xml:space="preserve">. </w:t>
      </w:r>
      <w:r w:rsidRPr="005311DB">
        <w:rPr>
          <w:rFonts w:cs="Arial"/>
          <w:b/>
          <w:bCs/>
          <w:rtl/>
        </w:rPr>
        <w:t>التحول الرقمي</w:t>
      </w:r>
    </w:p>
    <w:p w14:paraId="396D1FED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مفهوم التحول الرقمي</w:t>
      </w:r>
    </w:p>
    <w:p w14:paraId="70A26E8C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أبعاد التحول الرقمي في المنظمات الخدمية</w:t>
      </w:r>
    </w:p>
    <w:p w14:paraId="6CC41770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التحول الرقمي في قطاع المياه السعودي</w:t>
      </w:r>
    </w:p>
    <w:p w14:paraId="33CA1D33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أثر التحول الرقمي على تحسين الخدمات</w:t>
      </w:r>
    </w:p>
    <w:p w14:paraId="11473F3E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٢</w:t>
      </w:r>
      <w:r w:rsidRPr="005311DB">
        <w:rPr>
          <w:b/>
          <w:bCs/>
        </w:rPr>
        <w:t xml:space="preserve">. </w:t>
      </w:r>
      <w:r w:rsidRPr="005311DB">
        <w:rPr>
          <w:rFonts w:cs="Arial"/>
          <w:b/>
          <w:bCs/>
          <w:rtl/>
        </w:rPr>
        <w:t>كفاءة خدمة العملاء</w:t>
      </w:r>
    </w:p>
    <w:p w14:paraId="61C9F351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مفهوم خدمة العملاء</w:t>
      </w:r>
    </w:p>
    <w:p w14:paraId="5998095E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مفهوم كفاءة خدمة العملاء</w:t>
      </w:r>
    </w:p>
    <w:p w14:paraId="44F4B77E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مؤشرات قياس كفاءة الخدمة</w:t>
      </w:r>
    </w:p>
    <w:p w14:paraId="01E00B67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العلاقة بين التحول الرقمي وكفاءة خدمة العملاء</w:t>
      </w:r>
    </w:p>
    <w:p w14:paraId="2AD05F9C" w14:textId="77777777" w:rsidR="005311DB" w:rsidRPr="005311DB" w:rsidRDefault="005311DB" w:rsidP="005311DB">
      <w:pPr>
        <w:bidi/>
        <w:spacing w:line="240" w:lineRule="auto"/>
        <w:jc w:val="lowKashida"/>
        <w:rPr>
          <w:b/>
          <w:bCs/>
        </w:rPr>
      </w:pPr>
      <w:r w:rsidRPr="005311DB">
        <w:rPr>
          <w:rFonts w:cs="Arial"/>
          <w:b/>
          <w:bCs/>
          <w:rtl/>
        </w:rPr>
        <w:t>٣</w:t>
      </w:r>
      <w:r w:rsidRPr="005311DB">
        <w:rPr>
          <w:b/>
          <w:bCs/>
        </w:rPr>
        <w:t xml:space="preserve">. </w:t>
      </w:r>
      <w:r w:rsidRPr="005311DB">
        <w:rPr>
          <w:rFonts w:cs="Arial"/>
          <w:b/>
          <w:bCs/>
          <w:rtl/>
        </w:rPr>
        <w:t>الشفافية (المتغير الوسيط)</w:t>
      </w:r>
    </w:p>
    <w:p w14:paraId="2C699EDA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مفهوم الشفافية</w:t>
      </w:r>
    </w:p>
    <w:p w14:paraId="71F2031A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أبعاد الشفافية في الخدمات الحكومية</w:t>
      </w:r>
    </w:p>
    <w:p w14:paraId="4F74613A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دور الشفافية في تحسين جودة الخدمة</w:t>
      </w:r>
    </w:p>
    <w:p w14:paraId="53BAED73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الشفافية كمتغير وسيط بين التحول الرقمي وكفاءة الخدمة</w:t>
      </w:r>
    </w:p>
    <w:p w14:paraId="331084B9" w14:textId="77777777" w:rsidR="005311DB" w:rsidRPr="005311DB" w:rsidRDefault="005311DB" w:rsidP="005311DB">
      <w:pPr>
        <w:bidi/>
        <w:spacing w:line="240" w:lineRule="auto"/>
        <w:jc w:val="lowKashida"/>
        <w:rPr>
          <w:b/>
          <w:bCs/>
        </w:rPr>
      </w:pPr>
      <w:r w:rsidRPr="005311DB">
        <w:rPr>
          <w:rFonts w:cs="Arial"/>
          <w:b/>
          <w:bCs/>
          <w:rtl/>
        </w:rPr>
        <w:t>٤</w:t>
      </w:r>
      <w:r w:rsidRPr="005311DB">
        <w:rPr>
          <w:b/>
          <w:bCs/>
        </w:rPr>
        <w:t xml:space="preserve">. </w:t>
      </w:r>
      <w:r w:rsidRPr="005311DB">
        <w:rPr>
          <w:rFonts w:cs="Arial"/>
          <w:b/>
          <w:bCs/>
          <w:rtl/>
        </w:rPr>
        <w:t>النظريات الرئيسة للدراسة</w:t>
      </w:r>
    </w:p>
    <w:p w14:paraId="3F890865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نظرية الكفاءة</w:t>
      </w:r>
    </w:p>
    <w:p w14:paraId="1E041BB5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نظرية الشفافية الإدارية</w:t>
      </w:r>
    </w:p>
    <w:p w14:paraId="220CEBD4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نظرية جودة الخدمة</w:t>
      </w:r>
      <w:r>
        <w:t xml:space="preserve"> (SERVQUAL)</w:t>
      </w:r>
    </w:p>
    <w:p w14:paraId="327AE340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نظرية القبول التكنولوجي</w:t>
      </w:r>
      <w:r>
        <w:t xml:space="preserve"> (TAM)</w:t>
      </w:r>
    </w:p>
    <w:p w14:paraId="00B184CA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نظرية الحوكمة الإلكترونية</w:t>
      </w:r>
    </w:p>
    <w:p w14:paraId="532E32A4" w14:textId="77777777" w:rsidR="005311DB" w:rsidRPr="005311DB" w:rsidRDefault="005311DB" w:rsidP="005311DB">
      <w:pPr>
        <w:bidi/>
        <w:spacing w:line="240" w:lineRule="auto"/>
        <w:jc w:val="lowKashida"/>
        <w:rPr>
          <w:b/>
          <w:bCs/>
        </w:rPr>
      </w:pPr>
      <w:r w:rsidRPr="005311DB">
        <w:rPr>
          <w:rFonts w:cs="Arial"/>
          <w:b/>
          <w:bCs/>
          <w:rtl/>
        </w:rPr>
        <w:t>٥</w:t>
      </w:r>
      <w:r w:rsidRPr="005311DB">
        <w:rPr>
          <w:b/>
          <w:bCs/>
        </w:rPr>
        <w:t xml:space="preserve">. </w:t>
      </w:r>
      <w:r w:rsidRPr="005311DB">
        <w:rPr>
          <w:rFonts w:cs="Arial"/>
          <w:b/>
          <w:bCs/>
          <w:rtl/>
        </w:rPr>
        <w:t>الحالة محل الدراسة (مختصرة)</w:t>
      </w:r>
    </w:p>
    <w:p w14:paraId="3DC2392A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لمحة عن قطاع المياه في السعودية</w:t>
      </w:r>
    </w:p>
    <w:p w14:paraId="31110304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أبرز مبادرات التحول الرقمي في القطاع</w:t>
      </w:r>
    </w:p>
    <w:p w14:paraId="3C0A65AF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علاقة الحالة بمتغيرات الدراسة</w:t>
      </w:r>
    </w:p>
    <w:p w14:paraId="75EBBD84" w14:textId="77777777" w:rsidR="005311DB" w:rsidRDefault="005311DB" w:rsidP="005311DB">
      <w:pPr>
        <w:bidi/>
        <w:spacing w:line="240" w:lineRule="auto"/>
        <w:jc w:val="lowKashida"/>
      </w:pPr>
    </w:p>
    <w:p w14:paraId="6ED89D04" w14:textId="77777777" w:rsidR="005311DB" w:rsidRDefault="005311DB" w:rsidP="005311DB">
      <w:pPr>
        <w:bidi/>
        <w:spacing w:line="240" w:lineRule="auto"/>
        <w:jc w:val="lowKashida"/>
      </w:pPr>
    </w:p>
    <w:p w14:paraId="070C81EB" w14:textId="77777777" w:rsidR="005311DB" w:rsidRPr="005311DB" w:rsidRDefault="005311DB" w:rsidP="005311DB">
      <w:pPr>
        <w:bidi/>
        <w:spacing w:line="240" w:lineRule="auto"/>
        <w:jc w:val="lowKashida"/>
        <w:rPr>
          <w:b/>
          <w:bCs/>
        </w:rPr>
      </w:pPr>
      <w:r w:rsidRPr="005311DB">
        <w:rPr>
          <w:rFonts w:cs="Arial"/>
          <w:b/>
          <w:bCs/>
          <w:rtl/>
        </w:rPr>
        <w:t>ثانياً: الدراسات السابقة</w:t>
      </w:r>
    </w:p>
    <w:p w14:paraId="19B634A6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lastRenderedPageBreak/>
        <w:t>١</w:t>
      </w:r>
      <w:r>
        <w:t xml:space="preserve">. </w:t>
      </w:r>
      <w:r>
        <w:rPr>
          <w:rFonts w:cs="Arial"/>
          <w:rtl/>
        </w:rPr>
        <w:t>الدراسات المتعلقة بالتحول الرقمي</w:t>
      </w:r>
    </w:p>
    <w:p w14:paraId="0B6F4CD5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٢</w:t>
      </w:r>
      <w:r>
        <w:t xml:space="preserve">. </w:t>
      </w:r>
      <w:r>
        <w:rPr>
          <w:rFonts w:cs="Arial"/>
          <w:rtl/>
        </w:rPr>
        <w:t>الدراسات المتعلقة بكفاءة خدمة العملاء</w:t>
      </w:r>
    </w:p>
    <w:p w14:paraId="7497A6BE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٣</w:t>
      </w:r>
      <w:r>
        <w:t xml:space="preserve">. </w:t>
      </w:r>
      <w:r>
        <w:rPr>
          <w:rFonts w:cs="Arial"/>
          <w:rtl/>
        </w:rPr>
        <w:t>الدراسات المتعلقة بالشفافية</w:t>
      </w:r>
    </w:p>
    <w:p w14:paraId="7B7C90A9" w14:textId="77777777" w:rsidR="005311DB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٤</w:t>
      </w:r>
      <w:r>
        <w:t xml:space="preserve">. </w:t>
      </w:r>
      <w:r>
        <w:rPr>
          <w:rFonts w:cs="Arial"/>
          <w:rtl/>
        </w:rPr>
        <w:t>الدراسات التي جمعت بين المتغيرات الثلاثة</w:t>
      </w:r>
    </w:p>
    <w:p w14:paraId="21D2C174" w14:textId="00D2D51D" w:rsidR="00CF29B6" w:rsidRDefault="005311DB" w:rsidP="005311DB">
      <w:pPr>
        <w:bidi/>
        <w:spacing w:line="240" w:lineRule="auto"/>
        <w:jc w:val="lowKashida"/>
      </w:pPr>
      <w:r>
        <w:rPr>
          <w:rFonts w:cs="Arial"/>
          <w:rtl/>
        </w:rPr>
        <w:t>٥</w:t>
      </w:r>
      <w:r>
        <w:t xml:space="preserve">. </w:t>
      </w:r>
      <w:r>
        <w:rPr>
          <w:rFonts w:cs="Arial"/>
          <w:rtl/>
        </w:rPr>
        <w:t>التعقيب على الدراسات السابقة والفجوة البحثية</w:t>
      </w:r>
    </w:p>
    <w:sectPr w:rsidR="00CF29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9B6"/>
    <w:rsid w:val="005311DB"/>
    <w:rsid w:val="00B168F2"/>
    <w:rsid w:val="00CF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B5E6D"/>
  <w15:chartTrackingRefBased/>
  <w15:docId w15:val="{E51FA899-82FD-4A80-9986-EE5261A7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29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29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29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29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29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29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29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29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29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29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29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29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29B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29B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29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29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29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29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29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29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29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29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29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29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29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29B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29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29B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29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Mahmoud</dc:creator>
  <cp:keywords/>
  <dc:description/>
  <cp:lastModifiedBy>Sara Mahmoud</cp:lastModifiedBy>
  <cp:revision>2</cp:revision>
  <dcterms:created xsi:type="dcterms:W3CDTF">2025-12-06T19:37:00Z</dcterms:created>
  <dcterms:modified xsi:type="dcterms:W3CDTF">2025-12-06T19:39:00Z</dcterms:modified>
</cp:coreProperties>
</file>