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024C139" w:rsidR="009125CE" w:rsidRPr="00C330FB" w:rsidRDefault="005F3EA8" w:rsidP="005F3EA8">
      <w:pPr>
        <w:spacing w:before="100" w:beforeAutospacing="1" w:after="100" w:afterAutospacing="1" w:line="276" w:lineRule="auto"/>
        <w:jc w:val="both"/>
        <w:rPr>
          <w:rFonts w:ascii="Simplified Arabic" w:hAnsi="Simplified Arabic" w:cs="Simplified Arabic"/>
          <w:b/>
          <w:bCs/>
          <w:color w:val="000000" w:themeColor="text1"/>
          <w:sz w:val="32"/>
          <w:szCs w:val="32"/>
          <w:lang w:bidi="ar-EG"/>
        </w:rPr>
      </w:pPr>
      <w:r w:rsidRPr="00C330FB">
        <w:rPr>
          <w:rFonts w:ascii="Simplified Arabic" w:hAnsi="Simplified Arabic" w:cs="Simplified Arabic"/>
          <w:b/>
          <w:bCs/>
          <w:noProof/>
          <w:color w:val="000000" w:themeColor="text1"/>
          <w:sz w:val="32"/>
          <w:szCs w:val="32"/>
        </w:rPr>
        <w:drawing>
          <wp:anchor distT="0" distB="0" distL="114300" distR="114300" simplePos="0" relativeHeight="251656192" behindDoc="0" locked="0" layoutInCell="1" allowOverlap="1" wp14:anchorId="4117FFF0" wp14:editId="18E54708">
            <wp:simplePos x="0" y="0"/>
            <wp:positionH relativeFrom="margin">
              <wp:posOffset>316230</wp:posOffset>
            </wp:positionH>
            <wp:positionV relativeFrom="margin">
              <wp:posOffset>-118110</wp:posOffset>
            </wp:positionV>
            <wp:extent cx="1533525" cy="1423035"/>
            <wp:effectExtent l="0" t="0" r="9525" b="571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3525" cy="1423035"/>
                    </a:xfrm>
                    <a:prstGeom prst="rect">
                      <a:avLst/>
                    </a:prstGeom>
                  </pic:spPr>
                </pic:pic>
              </a:graphicData>
            </a:graphic>
            <wp14:sizeRelH relativeFrom="margin">
              <wp14:pctWidth>0</wp14:pctWidth>
            </wp14:sizeRelH>
            <wp14:sizeRelV relativeFrom="margin">
              <wp14:pctHeight>0</wp14:pctHeight>
            </wp14:sizeRelV>
          </wp:anchor>
        </w:drawing>
      </w:r>
      <w:r w:rsidR="009125CE" w:rsidRPr="00C330FB">
        <w:rPr>
          <w:rFonts w:ascii="Simplified Arabic" w:hAnsi="Simplified Arabic" w:cs="Simplified Arabic"/>
          <w:b/>
          <w:bCs/>
          <w:color w:val="000000" w:themeColor="text1"/>
          <w:sz w:val="32"/>
          <w:szCs w:val="32"/>
          <w:rtl/>
          <w:lang w:bidi="ar-EG"/>
        </w:rPr>
        <w:t xml:space="preserve">جامعة </w:t>
      </w:r>
      <w:proofErr w:type="spellStart"/>
      <w:r w:rsidR="009125CE" w:rsidRPr="00C330FB">
        <w:rPr>
          <w:rFonts w:ascii="Simplified Arabic" w:hAnsi="Simplified Arabic" w:cs="Simplified Arabic"/>
          <w:b/>
          <w:bCs/>
          <w:color w:val="000000" w:themeColor="text1"/>
          <w:sz w:val="32"/>
          <w:szCs w:val="32"/>
          <w:rtl/>
          <w:lang w:bidi="ar-EG"/>
        </w:rPr>
        <w:t>ميدأوشن</w:t>
      </w:r>
      <w:proofErr w:type="spellEnd"/>
      <w:r w:rsidR="009125CE" w:rsidRPr="00C330FB">
        <w:rPr>
          <w:rFonts w:ascii="Simplified Arabic" w:hAnsi="Simplified Arabic" w:cs="Simplified Arabic"/>
          <w:b/>
          <w:bCs/>
          <w:color w:val="000000" w:themeColor="text1"/>
          <w:sz w:val="32"/>
          <w:szCs w:val="32"/>
          <w:rtl/>
          <w:lang w:bidi="ar-EG"/>
        </w:rPr>
        <w:t xml:space="preserve"> </w:t>
      </w:r>
    </w:p>
    <w:p w14:paraId="1E957002" w14:textId="291B1C98" w:rsidR="00F546CE" w:rsidRPr="00C330FB" w:rsidRDefault="009125CE" w:rsidP="005F3EA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330FB">
        <w:rPr>
          <w:rFonts w:ascii="Simplified Arabic" w:hAnsi="Simplified Arabic" w:cs="Simplified Arabic"/>
          <w:b/>
          <w:bCs/>
          <w:color w:val="000000" w:themeColor="text1"/>
          <w:sz w:val="32"/>
          <w:szCs w:val="32"/>
          <w:rtl/>
          <w:lang w:bidi="ar-EG"/>
        </w:rPr>
        <w:t xml:space="preserve">كلية </w:t>
      </w:r>
      <w:r w:rsidR="008C42C1" w:rsidRPr="00C330FB">
        <w:rPr>
          <w:rFonts w:ascii="Simplified Arabic" w:hAnsi="Simplified Arabic" w:cs="Simplified Arabic"/>
          <w:b/>
          <w:bCs/>
          <w:color w:val="000000" w:themeColor="text1"/>
          <w:sz w:val="32"/>
          <w:szCs w:val="32"/>
          <w:rtl/>
          <w:lang w:bidi="ar-EG"/>
        </w:rPr>
        <w:t>الإدارة</w:t>
      </w:r>
      <w:r w:rsidRPr="00C330FB">
        <w:rPr>
          <w:rFonts w:ascii="Simplified Arabic" w:hAnsi="Simplified Arabic" w:cs="Simplified Arabic"/>
          <w:b/>
          <w:bCs/>
          <w:color w:val="000000" w:themeColor="text1"/>
          <w:sz w:val="32"/>
          <w:szCs w:val="32"/>
          <w:rtl/>
          <w:lang w:bidi="ar-EG"/>
        </w:rPr>
        <w:t xml:space="preserve"> </w:t>
      </w:r>
    </w:p>
    <w:p w14:paraId="0217C513" w14:textId="4EDEF4F8" w:rsidR="009125CE" w:rsidRPr="00C330FB" w:rsidRDefault="009125CE" w:rsidP="005F3EA8">
      <w:pPr>
        <w:spacing w:before="100" w:beforeAutospacing="1" w:after="100" w:afterAutospacing="1" w:line="276" w:lineRule="auto"/>
        <w:jc w:val="both"/>
        <w:rPr>
          <w:rFonts w:ascii="Simplified Arabic" w:hAnsi="Simplified Arabic" w:cs="Simplified Arabic"/>
          <w:b/>
          <w:bCs/>
          <w:color w:val="000000" w:themeColor="text1"/>
          <w:sz w:val="32"/>
          <w:szCs w:val="32"/>
          <w:rtl/>
          <w:lang w:bidi="ar-EG"/>
        </w:rPr>
      </w:pPr>
      <w:r w:rsidRPr="00C330FB">
        <w:rPr>
          <w:rFonts w:ascii="Simplified Arabic" w:hAnsi="Simplified Arabic" w:cs="Simplified Arabic"/>
          <w:b/>
          <w:bCs/>
          <w:color w:val="000000" w:themeColor="text1"/>
          <w:sz w:val="32"/>
          <w:szCs w:val="32"/>
          <w:rtl/>
          <w:lang w:bidi="ar-EG"/>
        </w:rPr>
        <w:t>تخصص</w:t>
      </w:r>
      <w:r w:rsidR="00B15A9E" w:rsidRPr="00C330FB">
        <w:rPr>
          <w:rFonts w:ascii="Simplified Arabic" w:hAnsi="Simplified Arabic" w:cs="Simplified Arabic"/>
          <w:b/>
          <w:bCs/>
          <w:color w:val="000000" w:themeColor="text1"/>
          <w:sz w:val="32"/>
          <w:szCs w:val="32"/>
          <w:rtl/>
          <w:lang w:bidi="ar-EG"/>
        </w:rPr>
        <w:t xml:space="preserve"> </w:t>
      </w:r>
      <w:r w:rsidR="00854B0B" w:rsidRPr="00C330FB">
        <w:rPr>
          <w:rFonts w:ascii="Simplified Arabic" w:hAnsi="Simplified Arabic" w:cs="Simplified Arabic"/>
          <w:b/>
          <w:bCs/>
          <w:color w:val="000000" w:themeColor="text1"/>
          <w:sz w:val="32"/>
          <w:szCs w:val="32"/>
          <w:rtl/>
          <w:lang w:bidi="ar-EG"/>
        </w:rPr>
        <w:t>اداره ا</w:t>
      </w:r>
      <w:r w:rsidR="00CC6261" w:rsidRPr="00C330FB">
        <w:rPr>
          <w:rFonts w:ascii="Simplified Arabic" w:hAnsi="Simplified Arabic" w:cs="Simplified Arabic"/>
          <w:b/>
          <w:bCs/>
          <w:color w:val="000000" w:themeColor="text1"/>
          <w:sz w:val="32"/>
          <w:szCs w:val="32"/>
          <w:rtl/>
          <w:lang w:bidi="ar-EG"/>
        </w:rPr>
        <w:t>ل</w:t>
      </w:r>
      <w:r w:rsidR="001C398F" w:rsidRPr="00C330FB">
        <w:rPr>
          <w:rFonts w:ascii="Simplified Arabic" w:hAnsi="Simplified Arabic" w:cs="Simplified Arabic"/>
          <w:b/>
          <w:bCs/>
          <w:color w:val="000000" w:themeColor="text1"/>
          <w:sz w:val="32"/>
          <w:szCs w:val="32"/>
          <w:rtl/>
          <w:lang w:bidi="ar-EG"/>
        </w:rPr>
        <w:t>مخاطر</w:t>
      </w:r>
    </w:p>
    <w:p w14:paraId="0A25F43C" w14:textId="77777777" w:rsidR="008C7BB4" w:rsidRPr="00C330FB" w:rsidRDefault="008C7BB4" w:rsidP="005F3EA8">
      <w:pPr>
        <w:spacing w:before="100" w:beforeAutospacing="1" w:after="100" w:afterAutospacing="1" w:line="276" w:lineRule="auto"/>
        <w:jc w:val="both"/>
        <w:rPr>
          <w:rFonts w:ascii="Simplified Arabic" w:hAnsi="Simplified Arabic" w:cs="Simplified Arabic"/>
          <w:color w:val="000000" w:themeColor="text1"/>
          <w:sz w:val="28"/>
          <w:szCs w:val="28"/>
          <w:rtl/>
          <w:lang w:bidi="ar-EG"/>
        </w:rPr>
      </w:pPr>
    </w:p>
    <w:p w14:paraId="69F0F377" w14:textId="52FA5B6F" w:rsidR="009E1558" w:rsidRPr="00C330FB" w:rsidRDefault="009E1558" w:rsidP="005F3EA8">
      <w:pPr>
        <w:spacing w:before="100" w:beforeAutospacing="1" w:after="100" w:afterAutospacing="1" w:line="276" w:lineRule="auto"/>
        <w:jc w:val="center"/>
        <w:rPr>
          <w:rFonts w:ascii="Simplified Arabic" w:hAnsi="Simplified Arabic" w:cs="Simplified Arabic"/>
          <w:b/>
          <w:bCs/>
          <w:color w:val="000000" w:themeColor="text1"/>
          <w:sz w:val="40"/>
          <w:szCs w:val="40"/>
        </w:rPr>
      </w:pPr>
      <w:r w:rsidRPr="00C330FB">
        <w:rPr>
          <w:rFonts w:ascii="Simplified Arabic" w:hAnsi="Simplified Arabic" w:cs="Simplified Arabic"/>
          <w:b/>
          <w:bCs/>
          <w:color w:val="000000" w:themeColor="text1"/>
          <w:sz w:val="40"/>
          <w:szCs w:val="40"/>
          <w:rtl/>
        </w:rPr>
        <w:t>أثر بيانات الأرصاد في إدارة المخاطر التشغيلية: دراسة ميدانية على مراكز الأرصاد الجوية في المملكة العربية السعودية</w:t>
      </w:r>
    </w:p>
    <w:p w14:paraId="7D29D059"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p w14:paraId="751A7E65" w14:textId="21DAEE29" w:rsidR="009125CE" w:rsidRPr="00C330FB" w:rsidRDefault="009125CE"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30FB">
        <w:rPr>
          <w:rFonts w:ascii="Simplified Arabic" w:hAnsi="Simplified Arabic" w:cs="Simplified Arabic"/>
          <w:b/>
          <w:bCs/>
          <w:color w:val="000000" w:themeColor="text1"/>
          <w:sz w:val="36"/>
          <w:szCs w:val="36"/>
          <w:rtl/>
          <w:lang w:bidi="ar-EG"/>
        </w:rPr>
        <w:t>إعداد الطالب/</w:t>
      </w:r>
    </w:p>
    <w:p w14:paraId="59266C6E" w14:textId="1E94C9FB" w:rsidR="005F3EA8" w:rsidRPr="006F7967" w:rsidRDefault="006F7967" w:rsidP="006F7967">
      <w:pPr>
        <w:spacing w:line="276" w:lineRule="auto"/>
        <w:jc w:val="center"/>
        <w:rPr>
          <w:rFonts w:ascii="Simplified Arabic" w:hAnsi="Simplified Arabic" w:cs="Simplified Arabic" w:hint="cs"/>
          <w:sz w:val="28"/>
          <w:szCs w:val="28"/>
          <w:rtl/>
          <w:lang w:bidi="ar-EG"/>
        </w:rPr>
      </w:pPr>
      <w:r w:rsidRPr="006F7967">
        <w:rPr>
          <w:rFonts w:ascii="Simplified Arabic" w:hAnsi="Simplified Arabic" w:cs="Simplified Arabic" w:hint="cs"/>
          <w:b/>
          <w:bCs/>
          <w:color w:val="000000" w:themeColor="text1"/>
          <w:sz w:val="36"/>
          <w:szCs w:val="36"/>
          <w:rtl/>
          <w:lang w:bidi="ar-EG"/>
        </w:rPr>
        <w:t xml:space="preserve">أبراهيم عبدالله </w:t>
      </w:r>
      <w:proofErr w:type="spellStart"/>
      <w:r w:rsidRPr="006F7967">
        <w:rPr>
          <w:rFonts w:ascii="Simplified Arabic" w:hAnsi="Simplified Arabic" w:cs="Simplified Arabic" w:hint="cs"/>
          <w:b/>
          <w:bCs/>
          <w:color w:val="000000" w:themeColor="text1"/>
          <w:sz w:val="36"/>
          <w:szCs w:val="36"/>
          <w:rtl/>
          <w:lang w:bidi="ar-EG"/>
        </w:rPr>
        <w:t>عبدالرب</w:t>
      </w:r>
      <w:proofErr w:type="spellEnd"/>
      <w:r w:rsidRPr="006F7967">
        <w:rPr>
          <w:rFonts w:ascii="Simplified Arabic" w:hAnsi="Simplified Arabic" w:cs="Simplified Arabic" w:hint="cs"/>
          <w:b/>
          <w:bCs/>
          <w:color w:val="000000" w:themeColor="text1"/>
          <w:sz w:val="36"/>
          <w:szCs w:val="36"/>
          <w:rtl/>
          <w:lang w:bidi="ar-EG"/>
        </w:rPr>
        <w:t xml:space="preserve"> /</w:t>
      </w:r>
      <w:r>
        <w:rPr>
          <w:rFonts w:ascii="Simplified Arabic" w:hAnsi="Simplified Arabic" w:cs="Simplified Arabic" w:hint="cs"/>
          <w:sz w:val="28"/>
          <w:szCs w:val="28"/>
          <w:rtl/>
          <w:lang w:bidi="ar-EG"/>
        </w:rPr>
        <w:t xml:space="preserve"> </w:t>
      </w:r>
      <w:r w:rsidRPr="006F7967">
        <w:rPr>
          <w:rFonts w:ascii="Simplified Arabic" w:hAnsi="Simplified Arabic" w:cs="Simplified Arabic"/>
          <w:b/>
          <w:bCs/>
          <w:color w:val="000000" w:themeColor="text1"/>
          <w:sz w:val="36"/>
          <w:szCs w:val="36"/>
          <w:lang w:bidi="ar-EG"/>
        </w:rPr>
        <w:t>253000909</w:t>
      </w:r>
    </w:p>
    <w:p w14:paraId="39EB3597"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
    <w:tbl>
      <w:tblPr>
        <w:tblStyle w:val="a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5F3EA8" w:rsidRPr="00C330FB" w14:paraId="5D121C3C" w14:textId="77777777" w:rsidTr="005F3EA8">
        <w:tc>
          <w:tcPr>
            <w:tcW w:w="4530" w:type="dxa"/>
          </w:tcPr>
          <w:p w14:paraId="4218A2F8"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30FB">
              <w:rPr>
                <w:rFonts w:ascii="Simplified Arabic" w:hAnsi="Simplified Arabic" w:cs="Simplified Arabic" w:hint="cs"/>
                <w:b/>
                <w:bCs/>
                <w:color w:val="000000" w:themeColor="text1"/>
                <w:sz w:val="36"/>
                <w:szCs w:val="36"/>
                <w:rtl/>
                <w:lang w:bidi="ar-EG"/>
              </w:rPr>
              <w:t>المشرف الرئيسي/</w:t>
            </w:r>
          </w:p>
        </w:tc>
        <w:tc>
          <w:tcPr>
            <w:tcW w:w="4531" w:type="dxa"/>
          </w:tcPr>
          <w:p w14:paraId="4630E6C6"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30FB">
              <w:rPr>
                <w:rFonts w:ascii="Simplified Arabic" w:hAnsi="Simplified Arabic" w:cs="Simplified Arabic" w:hint="cs"/>
                <w:b/>
                <w:bCs/>
                <w:color w:val="000000" w:themeColor="text1"/>
                <w:sz w:val="36"/>
                <w:szCs w:val="36"/>
                <w:rtl/>
                <w:lang w:bidi="ar-EG"/>
              </w:rPr>
              <w:t>المشرف الثاني/</w:t>
            </w:r>
          </w:p>
        </w:tc>
      </w:tr>
      <w:tr w:rsidR="005F3EA8" w:rsidRPr="00C330FB" w14:paraId="4307ED5C" w14:textId="77777777" w:rsidTr="005F3EA8">
        <w:tc>
          <w:tcPr>
            <w:tcW w:w="4530" w:type="dxa"/>
          </w:tcPr>
          <w:p w14:paraId="1AD20FA1"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30FB">
              <w:rPr>
                <w:rFonts w:ascii="Simplified Arabic" w:eastAsia="Calibri" w:hAnsi="Simplified Arabic" w:cs="Simplified Arabic"/>
                <w:color w:val="000000" w:themeColor="text1"/>
                <w:kern w:val="0"/>
                <w:sz w:val="36"/>
                <w:szCs w:val="36"/>
                <w:rtl/>
                <w:lang w:bidi="ar-EG"/>
                <w14:ligatures w14:val="none"/>
              </w:rPr>
              <w:t>د. الفيصل عبد الحميد</w:t>
            </w:r>
          </w:p>
        </w:tc>
        <w:tc>
          <w:tcPr>
            <w:tcW w:w="4531" w:type="dxa"/>
          </w:tcPr>
          <w:p w14:paraId="07AE4133"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proofErr w:type="spellStart"/>
            <w:r w:rsidRPr="00C330FB">
              <w:rPr>
                <w:rFonts w:ascii="Simplified Arabic" w:eastAsia="Calibri" w:hAnsi="Simplified Arabic" w:cs="Simplified Arabic"/>
                <w:color w:val="000000" w:themeColor="text1"/>
                <w:kern w:val="0"/>
                <w:sz w:val="36"/>
                <w:szCs w:val="36"/>
                <w:rtl/>
                <w:lang w:bidi="ar-EG"/>
                <w14:ligatures w14:val="none"/>
              </w:rPr>
              <w:t>د.فايز</w:t>
            </w:r>
            <w:proofErr w:type="spellEnd"/>
            <w:r w:rsidRPr="00C330FB">
              <w:rPr>
                <w:rFonts w:ascii="Simplified Arabic" w:eastAsia="Calibri" w:hAnsi="Simplified Arabic" w:cs="Simplified Arabic"/>
                <w:color w:val="000000" w:themeColor="text1"/>
                <w:kern w:val="0"/>
                <w:sz w:val="36"/>
                <w:szCs w:val="36"/>
                <w:rtl/>
                <w:lang w:bidi="ar-EG"/>
                <w14:ligatures w14:val="none"/>
              </w:rPr>
              <w:t xml:space="preserve"> جراد</w:t>
            </w:r>
          </w:p>
        </w:tc>
      </w:tr>
    </w:tbl>
    <w:p w14:paraId="2229C63A"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pPr>
      <w:r w:rsidRPr="00C330FB">
        <w:rPr>
          <w:rFonts w:ascii="Simplified Arabic" w:hAnsi="Simplified Arabic" w:cs="Simplified Arabic"/>
          <w:b/>
          <w:bCs/>
          <w:color w:val="000000" w:themeColor="text1"/>
          <w:sz w:val="36"/>
          <w:szCs w:val="36"/>
          <w:rtl/>
          <w:lang w:bidi="ar-EG"/>
        </w:rPr>
        <w:t>العام الدراسي:</w:t>
      </w:r>
    </w:p>
    <w:p w14:paraId="37A676D0"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color w:val="000000" w:themeColor="text1"/>
          <w:sz w:val="36"/>
          <w:szCs w:val="36"/>
          <w:rtl/>
          <w:lang w:bidi="ar-EG"/>
        </w:rPr>
        <w:sectPr w:rsidR="005F3EA8" w:rsidRPr="00C330FB" w:rsidSect="005F3EA8">
          <w:footerReference w:type="default" r:id="rId9"/>
          <w:type w:val="continuous"/>
          <w:pgSz w:w="11906" w:h="16838" w:code="9"/>
          <w:pgMar w:top="1134" w:right="1701" w:bottom="1134" w:left="1134" w:header="720" w:footer="720" w:gutter="0"/>
          <w:pgNumType w:fmt="arabicAbjad" w:start="1"/>
          <w:cols w:space="708"/>
          <w:bidi/>
          <w:rtlGutter/>
          <w:docGrid w:linePitch="360"/>
        </w:sectPr>
      </w:pPr>
      <w:r w:rsidRPr="00C330FB">
        <w:rPr>
          <w:rFonts w:ascii="Simplified Arabic" w:hAnsi="Simplified Arabic" w:cs="Simplified Arabic" w:hint="cs"/>
          <w:color w:val="000000" w:themeColor="text1"/>
          <w:sz w:val="36"/>
          <w:szCs w:val="36"/>
          <w:rtl/>
          <w:lang w:bidi="ar-EG"/>
        </w:rPr>
        <w:t xml:space="preserve">1448 </w:t>
      </w:r>
      <w:r w:rsidRPr="00C330FB">
        <w:rPr>
          <w:rFonts w:ascii="Simplified Arabic" w:hAnsi="Simplified Arabic" w:cs="Simplified Arabic"/>
          <w:color w:val="000000" w:themeColor="text1"/>
          <w:sz w:val="36"/>
          <w:szCs w:val="36"/>
          <w:rtl/>
          <w:lang w:bidi="ar-EG"/>
        </w:rPr>
        <w:t>–</w:t>
      </w:r>
      <w:r w:rsidRPr="00C330FB">
        <w:rPr>
          <w:rFonts w:ascii="Simplified Arabic" w:hAnsi="Simplified Arabic" w:cs="Simplified Arabic" w:hint="cs"/>
          <w:color w:val="000000" w:themeColor="text1"/>
          <w:sz w:val="36"/>
          <w:szCs w:val="36"/>
          <w:rtl/>
          <w:lang w:bidi="ar-EG"/>
        </w:rPr>
        <w:t xml:space="preserve"> 2026</w:t>
      </w:r>
    </w:p>
    <w:p w14:paraId="79F6746E" w14:textId="77777777" w:rsidR="005F3EA8" w:rsidRPr="00C330FB" w:rsidRDefault="005F3EA8" w:rsidP="005F3EA8">
      <w:pPr>
        <w:spacing w:before="100" w:beforeAutospacing="1" w:after="100" w:afterAutospacing="1" w:line="276" w:lineRule="auto"/>
        <w:jc w:val="center"/>
        <w:rPr>
          <w:rFonts w:ascii="Simplified Arabic" w:hAnsi="Simplified Arabic" w:cs="Simplified Arabic"/>
          <w:b/>
          <w:bCs/>
          <w:color w:val="000000" w:themeColor="text1"/>
          <w:sz w:val="36"/>
          <w:szCs w:val="36"/>
          <w:rtl/>
          <w:lang w:bidi="ar-EG"/>
        </w:rPr>
        <w:sectPr w:rsidR="005F3EA8" w:rsidRPr="00C330FB" w:rsidSect="005F3EA8">
          <w:footerReference w:type="default" r:id="rId10"/>
          <w:type w:val="continuous"/>
          <w:pgSz w:w="11906" w:h="16838" w:code="9"/>
          <w:pgMar w:top="1134" w:right="1701" w:bottom="1134" w:left="1134" w:header="720" w:footer="720" w:gutter="0"/>
          <w:cols w:space="708"/>
          <w:bidi/>
          <w:rtlGutter/>
          <w:docGrid w:linePitch="360"/>
        </w:sectPr>
      </w:pPr>
    </w:p>
    <w:p w14:paraId="0C6F4A4C" w14:textId="53AE2223" w:rsidR="005F3EA8" w:rsidRPr="00C330FB" w:rsidRDefault="005F3EA8" w:rsidP="005F3EA8">
      <w:pPr>
        <w:spacing w:before="100" w:beforeAutospacing="1" w:after="100" w:afterAutospacing="1" w:line="276" w:lineRule="auto"/>
        <w:jc w:val="center"/>
        <w:outlineLvl w:val="0"/>
        <w:rPr>
          <w:rFonts w:ascii="Simplified Arabic" w:hAnsi="Simplified Arabic" w:cs="Simplified Arabic"/>
          <w:b/>
          <w:bCs/>
          <w:color w:val="000000" w:themeColor="text1"/>
          <w:sz w:val="40"/>
          <w:szCs w:val="40"/>
          <w:rtl/>
        </w:rPr>
      </w:pPr>
      <w:bookmarkStart w:id="0" w:name="_Toc233816266"/>
      <w:r w:rsidRPr="00C330FB">
        <w:rPr>
          <w:rFonts w:ascii="Simplified Arabic" w:hAnsi="Simplified Arabic" w:cs="Simplified Arabic" w:hint="cs"/>
          <w:b/>
          <w:bCs/>
          <w:color w:val="000000" w:themeColor="text1"/>
          <w:sz w:val="40"/>
          <w:szCs w:val="40"/>
          <w:rtl/>
        </w:rPr>
        <w:lastRenderedPageBreak/>
        <w:t>الفصل الأول: الإطار العام للدراسة</w:t>
      </w:r>
      <w:bookmarkEnd w:id="0"/>
    </w:p>
    <w:p w14:paraId="5A6078D9" w14:textId="6432BA86" w:rsidR="005F3EA8" w:rsidRPr="00C330FB" w:rsidRDefault="005F3EA8" w:rsidP="005F3EA8">
      <w:pPr>
        <w:spacing w:before="100" w:beforeAutospacing="1" w:after="100" w:afterAutospacing="1" w:line="276" w:lineRule="auto"/>
        <w:jc w:val="both"/>
        <w:outlineLvl w:val="1"/>
        <w:rPr>
          <w:rFonts w:ascii="Simplified Arabic" w:hAnsi="Simplified Arabic" w:cs="Simplified Arabic"/>
          <w:b/>
          <w:bCs/>
          <w:color w:val="000000" w:themeColor="text1"/>
          <w:sz w:val="36"/>
          <w:szCs w:val="36"/>
          <w:rtl/>
          <w:lang w:bidi="ar-EG"/>
        </w:rPr>
      </w:pPr>
      <w:bookmarkStart w:id="1" w:name="_Toc233816267"/>
      <w:r w:rsidRPr="00C330FB">
        <w:rPr>
          <w:rFonts w:ascii="Simplified Arabic" w:hAnsi="Simplified Arabic" w:cs="Simplified Arabic" w:hint="cs"/>
          <w:b/>
          <w:bCs/>
          <w:color w:val="000000" w:themeColor="text1"/>
          <w:sz w:val="36"/>
          <w:szCs w:val="36"/>
          <w:rtl/>
        </w:rPr>
        <w:t>1.1 المقدمة</w:t>
      </w:r>
      <w:bookmarkEnd w:id="1"/>
    </w:p>
    <w:p w14:paraId="21FDDE5D"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bookmarkStart w:id="2" w:name="_Toc169790501"/>
      <w:r w:rsidRPr="00C330FB">
        <w:rPr>
          <w:rFonts w:ascii="Simplified Arabic" w:eastAsia="Times New Roman" w:hAnsi="Simplified Arabic" w:cs="Simplified Arabic"/>
          <w:color w:val="000000" w:themeColor="text1"/>
          <w:kern w:val="0"/>
          <w:sz w:val="28"/>
          <w:szCs w:val="28"/>
          <w:rtl/>
          <w14:ligatures w14:val="none"/>
        </w:rPr>
        <w:t>يُعدّ التغير المناخي من أبرز التحديات التي تواجه المجتمعات البشرية والمؤسسات على حدٍّ سواء في القرن الحادي والعشرين، إذ أدى الارتفاع المتسارع في درجات حرارة الكوكب إلى تحولات جذرية في أنماط الطقس وتزايد ملحوظ في تواتر الظواهر الجوية المتطرفة كالأمطار الغزيرة والعواصف الرملية وموجات الحرارة والسيول المفاجئة والجفاف الممتد، مما فرض على الجهات المعنية بالرصد والتنبؤ الجوي إعادة النظر في أدواتها ومنهجياتها التقليدية في إنتاج البيانات ومعالجتها وتوظيفها في خدمة متخذي القرار. وقد أضحت الحاجة ملحّة إلى تطوير مقاربات علمية متكاملة تستثمر التقدم الهائل في علوم الأرصاد الجوية والنمذجة المناخية لتعزيز قدرة مراكز الأرصاد على إنتاج بيانات دقيقة وموثوقة، وإدارة المخاطر التشغيلية الناشئة عن طبيعة عملها التقني المعقد، ولا سيما في الدول التي تتسم بتنوع جغرافي ومناخي واسع كالمملكة العربية السعودية (</w:t>
      </w:r>
      <w:r w:rsidRPr="00C330FB">
        <w:rPr>
          <w:rFonts w:ascii="Simplified Arabic" w:eastAsia="Times New Roman" w:hAnsi="Simplified Arabic" w:cs="Simplified Arabic"/>
          <w:color w:val="000000" w:themeColor="text1"/>
          <w:kern w:val="0"/>
          <w:sz w:val="28"/>
          <w:szCs w:val="28"/>
          <w14:ligatures w14:val="none"/>
        </w:rPr>
        <w:t>Parisse et al., 2024</w:t>
      </w:r>
      <w:r w:rsidRPr="00C330FB">
        <w:rPr>
          <w:rFonts w:ascii="Simplified Arabic" w:eastAsia="Times New Roman" w:hAnsi="Simplified Arabic" w:cs="Simplified Arabic"/>
          <w:color w:val="000000" w:themeColor="text1"/>
          <w:kern w:val="0"/>
          <w:sz w:val="28"/>
          <w:szCs w:val="28"/>
          <w:rtl/>
          <w14:ligatures w14:val="none"/>
        </w:rPr>
        <w:t>).</w:t>
      </w:r>
    </w:p>
    <w:p w14:paraId="23484D02"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وقد شهدت بيانات الأرصاد، أي المعلومات المتعلقة بعناصر الطقس والمناخ كدرجات الحرارة والرطوبة وسرعة الرياح والأمطار والضغط الجوي، تطورًا نوعيًا في مستويات الدقة والتغطية الزمانية والمكانية بفضل التقدم في تقنيات الاستشعار عن بُعد والنماذج العددية للتنبؤ الجوي. وقد تعددت النماذج العالمية المستخدمة في التنبؤات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وتفاوتت في مستويات دقتها وموثوقيتها تبعًا للسياقات الجغرافية والزمنية المختلفة، إذ تتنافس نماذج من قبيل النموذج الأوروبي (</w:t>
      </w:r>
      <w:r w:rsidRPr="00C330FB">
        <w:rPr>
          <w:rFonts w:ascii="Simplified Arabic" w:eastAsia="Times New Roman" w:hAnsi="Simplified Arabic" w:cs="Simplified Arabic"/>
          <w:color w:val="000000" w:themeColor="text1"/>
          <w:kern w:val="0"/>
          <w:sz w:val="28"/>
          <w:szCs w:val="28"/>
          <w14:ligatures w14:val="none"/>
        </w:rPr>
        <w:t>ECMWF</w:t>
      </w:r>
      <w:r w:rsidRPr="00C330FB">
        <w:rPr>
          <w:rFonts w:ascii="Simplified Arabic" w:eastAsia="Times New Roman" w:hAnsi="Simplified Arabic" w:cs="Simplified Arabic"/>
          <w:color w:val="000000" w:themeColor="text1"/>
          <w:kern w:val="0"/>
          <w:sz w:val="28"/>
          <w:szCs w:val="28"/>
          <w:rtl/>
          <w14:ligatures w14:val="none"/>
        </w:rPr>
        <w:t>) ونموذج (</w:t>
      </w:r>
      <w:r w:rsidRPr="00C330FB">
        <w:rPr>
          <w:rFonts w:ascii="Simplified Arabic" w:eastAsia="Times New Roman" w:hAnsi="Simplified Arabic" w:cs="Simplified Arabic"/>
          <w:color w:val="000000" w:themeColor="text1"/>
          <w:kern w:val="0"/>
          <w:sz w:val="28"/>
          <w:szCs w:val="28"/>
          <w14:ligatures w14:val="none"/>
        </w:rPr>
        <w:t>NEMS</w:t>
      </w:r>
      <w:r w:rsidRPr="00C330FB">
        <w:rPr>
          <w:rFonts w:ascii="Simplified Arabic" w:eastAsia="Times New Roman" w:hAnsi="Simplified Arabic" w:cs="Simplified Arabic"/>
          <w:color w:val="000000" w:themeColor="text1"/>
          <w:kern w:val="0"/>
          <w:sz w:val="28"/>
          <w:szCs w:val="28"/>
          <w:rtl/>
          <w14:ligatures w14:val="none"/>
        </w:rPr>
        <w:t>) ونموذج (</w:t>
      </w:r>
      <w:r w:rsidRPr="00C330FB">
        <w:rPr>
          <w:rFonts w:ascii="Simplified Arabic" w:eastAsia="Times New Roman" w:hAnsi="Simplified Arabic" w:cs="Simplified Arabic"/>
          <w:color w:val="000000" w:themeColor="text1"/>
          <w:kern w:val="0"/>
          <w:sz w:val="28"/>
          <w:szCs w:val="28"/>
          <w14:ligatures w14:val="none"/>
        </w:rPr>
        <w:t>ICON</w:t>
      </w:r>
      <w:r w:rsidRPr="00C330FB">
        <w:rPr>
          <w:rFonts w:ascii="Simplified Arabic" w:eastAsia="Times New Roman" w:hAnsi="Simplified Arabic" w:cs="Simplified Arabic"/>
          <w:color w:val="000000" w:themeColor="text1"/>
          <w:kern w:val="0"/>
          <w:sz w:val="28"/>
          <w:szCs w:val="28"/>
          <w:rtl/>
          <w14:ligatures w14:val="none"/>
        </w:rPr>
        <w:t>) في تقديم تنبؤات جوية يُمكن توظيفها في مجالات متعددة من بينها إدارة الأزمات والكوارث وتقدير المخاطر المؤسسية (أبو شقير، ٢٠٢٠).</w:t>
      </w:r>
    </w:p>
    <w:p w14:paraId="27BF1A8C"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كما أسهم التقدم في تقنيات الذكاء الاصطناعي والتعلم العميق في تعزيز القدرات التنبؤية للنماذج المناخية، إذ أصبح بالإمكان بناء نماذج ديناميكية قادرة على التنبؤ بالعوامل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وتقييم مخاطرها على البنى التحتية والأصول التشغيلية بدرجات دقة تفوق النماذج الإحصائية التقليدية (</w:t>
      </w:r>
      <w:r w:rsidRPr="00C330FB">
        <w:rPr>
          <w:rFonts w:ascii="Simplified Arabic" w:eastAsia="Times New Roman" w:hAnsi="Simplified Arabic" w:cs="Simplified Arabic"/>
          <w:color w:val="000000" w:themeColor="text1"/>
          <w:kern w:val="0"/>
          <w:sz w:val="28"/>
          <w:szCs w:val="28"/>
          <w14:ligatures w14:val="none"/>
        </w:rPr>
        <w:t>Deng et al., 2025</w:t>
      </w:r>
      <w:r w:rsidRPr="00C330FB">
        <w:rPr>
          <w:rFonts w:ascii="Simplified Arabic" w:eastAsia="Times New Roman" w:hAnsi="Simplified Arabic" w:cs="Simplified Arabic"/>
          <w:color w:val="000000" w:themeColor="text1"/>
          <w:kern w:val="0"/>
          <w:sz w:val="28"/>
          <w:szCs w:val="28"/>
          <w:rtl/>
          <w14:ligatures w14:val="none"/>
        </w:rPr>
        <w:t>).</w:t>
      </w:r>
    </w:p>
    <w:p w14:paraId="696A3803"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وتُشكّل إدارة المخاطر التشغيلية ركيزة جوهرية في منظومة الحوكمة المؤسسية لمراكز الأرصاد الجوية، إذ تُعنى بتحديد المخاطر الناجمة عن القصور في العمليات الداخلية والأنظمة التقنية والكوادر البشرية والأحداث الخارجية، وتقييمها والاستجابة لها ومتابعتها بصفة مستمرة. وتزداد أهمية هذه الإدارة في مراكز الأرصاد بحكم اعتمادها على منظومة دقيقة من أجهزة الرصد والنمذجة وأنظمة البث والاتصال، التي يُمثل أي قصور فيها مخاطر تشغيلية مباشرة تنعكس على جودة المخرجات وموثوقية التنبؤات والإنذارات (مسعود وشهاب، ٢٠٢٤).</w:t>
      </w:r>
    </w:p>
    <w:p w14:paraId="2AF3AC0C"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وانطلاقًا مما سبق، تأتي هذه الدراسة لتتناول أثر بيانات الأرصاد بأبعادها الأربعة — دقة التنبؤات الجوية وموثوقيتها، وتكامل بيانات الأرصاد مع أنظمة الإنذار المبكر، والتحليلات التنبؤية المبنية على النماذج المناخية، والبنية التحتية التقنية لإدارة بيانات الأرصاد — على إدارة المخاطر التشغيلية في مراكز الأرصاد الجوية بالمملكة العربية السعودية، ساعيةً إلى بناء إطار تحليلي متكامل يُسهم في تعزيز كفاءة هذه المراكز ويُقدم رؤى علمية وعملية لصنّاع القرار في القطاع المناخي السعودي، بما يتسق مع مستهدفات رؤية المملكة 2030 في تطوير القدرات التقنية والمناخية.</w:t>
      </w:r>
    </w:p>
    <w:p w14:paraId="611C23D8" w14:textId="7FE14E7B" w:rsidR="005F3EA8" w:rsidRPr="00C330FB" w:rsidRDefault="005F3EA8" w:rsidP="005F3E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3" w:name="_Toc233816268"/>
      <w:r w:rsidRPr="00C330FB">
        <w:rPr>
          <w:rFonts w:ascii="Simplified Arabic" w:eastAsia="Times New Roman" w:hAnsi="Simplified Arabic" w:cs="Simplified Arabic" w:hint="cs"/>
          <w:b/>
          <w:bCs/>
          <w:color w:val="000000" w:themeColor="text1"/>
          <w:kern w:val="0"/>
          <w:sz w:val="36"/>
          <w:szCs w:val="36"/>
          <w:rtl/>
          <w14:ligatures w14:val="none"/>
        </w:rPr>
        <w:t xml:space="preserve">2.1 </w:t>
      </w:r>
      <w:r w:rsidRPr="00C330FB">
        <w:rPr>
          <w:rFonts w:ascii="Simplified Arabic" w:eastAsia="Times New Roman" w:hAnsi="Simplified Arabic" w:cs="Simplified Arabic"/>
          <w:b/>
          <w:bCs/>
          <w:color w:val="000000" w:themeColor="text1"/>
          <w:kern w:val="0"/>
          <w:sz w:val="36"/>
          <w:szCs w:val="36"/>
          <w:rtl/>
          <w14:ligatures w14:val="none"/>
        </w:rPr>
        <w:t>مشكلة الدراسة</w:t>
      </w:r>
      <w:bookmarkEnd w:id="3"/>
    </w:p>
    <w:p w14:paraId="0F980D5B"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شهدت العقود الأخيرة تصاعدًا غير مسبوق في وتيرة الظواهر المناخية المتطرفة وحدّتها على المستويين العالمي والإقليمي، إذ باتت موجات الحرارة الشديدة والأمطار الغزيرة والعواصف الرملية والسيول المفاجئة والجفاف الممتد أحداثًا متكررة تتجاوز في تواترها النماذج الإحصائية التاريخية التي اعتمدت عليها مراكز الأرصاد تقليديًا في إصدار تنبؤاتها وإنذاراتها. وقد أكدت دراسة </w:t>
      </w:r>
      <w:r w:rsidRPr="00C330FB">
        <w:rPr>
          <w:rFonts w:ascii="Simplified Arabic" w:eastAsia="Times New Roman" w:hAnsi="Simplified Arabic" w:cs="Simplified Arabic"/>
          <w:color w:val="000000" w:themeColor="text1"/>
          <w:kern w:val="0"/>
          <w:sz w:val="28"/>
          <w:szCs w:val="28"/>
          <w14:ligatures w14:val="none"/>
        </w:rPr>
        <w:t>Parisse et al</w:t>
      </w:r>
      <w:r w:rsidRPr="00C330FB">
        <w:rPr>
          <w:rFonts w:ascii="Simplified Arabic" w:eastAsia="Times New Roman" w:hAnsi="Simplified Arabic" w:cs="Simplified Arabic"/>
          <w:color w:val="000000" w:themeColor="text1"/>
          <w:kern w:val="0"/>
          <w:sz w:val="28"/>
          <w:szCs w:val="28"/>
          <w:rtl/>
          <w14:ligatures w14:val="none"/>
        </w:rPr>
        <w:t xml:space="preserve">. (2024) التي رصدت الاتجاهات المناخية لإقليم متوسطي خلال أربعة عقود أن كثيرًا من الظواهر التي كانت تُصنَّف تاريخيًا بوصفها "نادرة" قد أصبحت شائعة، مما يُعيد طرح تساؤلات جوهرية حول مدى كفاية أدوات إنتاج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وإدارة المخاطر التشغيلية المرتبطة بها في مواجهة هذا الواقع المناخي المتغير.</w:t>
      </w:r>
    </w:p>
    <w:p w14:paraId="57452783"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وتتجلى المشكلة البحثية في الفجوة بين التطور المتسارع في علوم الأرصاد ونماذج التنبؤ المناخي من جهة، والتحديات التشغيلية التي تواجهها مراكز الأرصاد في توظيف هذه المخرجات العلمية ضمن منظومة متكاملة لإدارة المخاطر التشغيلية من جهة أخرى. فبينما أثبتت الدراسات أن دمج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عالية التردد ضمن أطر تقييم المخاطر يُحسّن جودة القرارات وموثوقية المخرجات (</w:t>
      </w:r>
      <w:proofErr w:type="spellStart"/>
      <w:r w:rsidRPr="00C330FB">
        <w:rPr>
          <w:rFonts w:ascii="Simplified Arabic" w:eastAsia="Times New Roman" w:hAnsi="Simplified Arabic" w:cs="Simplified Arabic"/>
          <w:color w:val="000000" w:themeColor="text1"/>
          <w:kern w:val="0"/>
          <w:sz w:val="28"/>
          <w:szCs w:val="28"/>
          <w14:ligatures w14:val="none"/>
        </w:rPr>
        <w:t>Adland</w:t>
      </w:r>
      <w:proofErr w:type="spellEnd"/>
      <w:r w:rsidRPr="00C330FB">
        <w:rPr>
          <w:rFonts w:ascii="Simplified Arabic" w:eastAsia="Times New Roman" w:hAnsi="Simplified Arabic" w:cs="Simplified Arabic"/>
          <w:color w:val="000000" w:themeColor="text1"/>
          <w:kern w:val="0"/>
          <w:sz w:val="28"/>
          <w:szCs w:val="28"/>
          <w14:ligatures w14:val="none"/>
        </w:rPr>
        <w:t xml:space="preserve"> et al., 2021</w:t>
      </w:r>
      <w:r w:rsidRPr="00C330FB">
        <w:rPr>
          <w:rFonts w:ascii="Simplified Arabic" w:eastAsia="Times New Roman" w:hAnsi="Simplified Arabic" w:cs="Simplified Arabic"/>
          <w:color w:val="000000" w:themeColor="text1"/>
          <w:kern w:val="0"/>
          <w:sz w:val="28"/>
          <w:szCs w:val="28"/>
          <w:rtl/>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lastRenderedPageBreak/>
        <w:t>فإن مراكز الأرصاد كثيرًا ما تواجه مخاطر تشغيلية متعددة تتعلق بأعطال أجهزة الرصد، وانقطاع البث، وفجوات قواعد البيانات، وأخطاء النماذج التنبؤية، وضعف تكامل المنظومات الفرعية، فضلًا عن المخاطر المرتبطة بالكوادر البشرية والإجراءات الداخلية.</w:t>
      </w:r>
    </w:p>
    <w:p w14:paraId="1309A30F"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وتتعمق هذه المشكلة في مراكز الأرصاد الجوية بالمملكة العربية السعودية في ضوء عدة اعتبارات، أبرزها: اتساع الرقعة الجغرافية للمملكة وتنوع تضاريسها وبيئاتها المناخية مما يستلزم منظومة رصد كثيفة ومعقدة، وتنامي الطلب على دقة التنبؤات والإنذارات في ظل التوسع العمراني والاقتصادي والمشاريع الكبرى المرتبطة برؤية 2030، فضلًا عن الحاجة المتزايدة إلى أنظمة إنذار مبكر فاعلة لمواجهة الظواهر القصوى كالسيول والعواصف الرملية وموجات الحرارة. ويُلاحظ في هذا السياق تفاوت مستوى تكامل بيانات الأرصاد مع أنظمة الإنذار المبكر، ومحدودية توظيف التحليلات التنبؤية المتقدمة القائمة على الذكاء الاصطناعي في تقدير المخاطر التشغيلية، إلى جانب التحديات المرتبطة بكفاية البنية التحتية التقنية اللازمة لتخزين البيانات المناخية الضخمة ومعالجتها في الزمن الحقيقي.</w:t>
      </w:r>
    </w:p>
    <w:p w14:paraId="73C14173"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وبناءً على ما سبق، تتبلور مشكلة الدراسة في التساؤل الجوهري الآتي: ما أثر بيانات الأرصاد بأبعادها (دقة التنبؤات الجوية وموثوقيتها، وتكامل أنظمة الإنذار المبكر، والتحليلات التنبؤية المناخية، والبنية التحتية التقنية) على إدارة المخاطر التشغيلية في مراكز الأرصاد الجوية بالمملكة العربية السعودية؟</w:t>
      </w:r>
    </w:p>
    <w:p w14:paraId="57F8D229" w14:textId="25ADD7B0" w:rsidR="005F3EA8" w:rsidRPr="00C330FB" w:rsidRDefault="005F3EA8" w:rsidP="005F3E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4" w:name="_Toc233816269"/>
      <w:r w:rsidRPr="00C330FB">
        <w:rPr>
          <w:rFonts w:ascii="Simplified Arabic" w:eastAsia="Times New Roman" w:hAnsi="Simplified Arabic" w:cs="Simplified Arabic" w:hint="cs"/>
          <w:b/>
          <w:bCs/>
          <w:color w:val="000000" w:themeColor="text1"/>
          <w:kern w:val="0"/>
          <w:sz w:val="36"/>
          <w:szCs w:val="36"/>
          <w:rtl/>
          <w14:ligatures w14:val="none"/>
        </w:rPr>
        <w:t xml:space="preserve">3.1 </w:t>
      </w:r>
      <w:r w:rsidRPr="00C330FB">
        <w:rPr>
          <w:rFonts w:ascii="Simplified Arabic" w:eastAsia="Times New Roman" w:hAnsi="Simplified Arabic" w:cs="Simplified Arabic"/>
          <w:b/>
          <w:bCs/>
          <w:color w:val="000000" w:themeColor="text1"/>
          <w:kern w:val="0"/>
          <w:sz w:val="36"/>
          <w:szCs w:val="36"/>
          <w:rtl/>
          <w14:ligatures w14:val="none"/>
        </w:rPr>
        <w:t>أهمية الدراسة</w:t>
      </w:r>
      <w:bookmarkEnd w:id="4"/>
    </w:p>
    <w:p w14:paraId="7FA3529F"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الأهمية العلمية (النظرية)</w:t>
      </w:r>
    </w:p>
    <w:p w14:paraId="37A594E6" w14:textId="77777777" w:rsidR="005F3EA8" w:rsidRPr="00C330FB" w:rsidRDefault="005F3EA8" w:rsidP="005F3EA8">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تكشف مراجعة الدراسات السابقة عن ندرة ملحوظة في البحوث التي تربط بصورة مباشرة ومنهجية بين بيانات الأرصاد وإدارة المخاطر التشغيلية في مراكز الأرصاد الجوية تحديدًا، إذ تناولت معظم الدراسات إدارة المخاطر التشغيلية من منظور مصرفي أو تأميني، بينما تناولت بيانات الأرصاد بوصفها مدخلًا لقطاعات أخرى، دون التفات كافٍ إلى أن مراكز الأرصاد ذاتها تُمثل بيئة تشغيلية معقدة تستلزم منظومة متخصصة لإدارة مخاطرها. </w:t>
      </w:r>
    </w:p>
    <w:p w14:paraId="664E0E33" w14:textId="77777777" w:rsidR="005F3EA8" w:rsidRPr="00C330FB" w:rsidRDefault="005F3EA8" w:rsidP="005F3EA8">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تأتي هذه الدراسة لتُقدم إطارًا تكامليًا يجمع بين الحقلين المعرفيين في نموذج تحليلي واحد موجَّه إلى مجتمع بحثي قلَّ تناوله.</w:t>
      </w:r>
    </w:p>
    <w:p w14:paraId="5B83A1C7" w14:textId="08158D2B" w:rsidR="005F3EA8" w:rsidRPr="00C330FB" w:rsidRDefault="005F3EA8" w:rsidP="005F3EA8">
      <w:pPr>
        <w:pStyle w:val="a6"/>
        <w:numPr>
          <w:ilvl w:val="0"/>
          <w:numId w:val="3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 xml:space="preserve">تُوسع الدراسة الأطر النظرية القائمة لإدارة المخاطر التشغيلية بإدماج خصوصيات البيئة التقنية لمراكز الأرصاد ضمن منظومة التحليل، بما يُعمّق الفهم النظري للعلاقة بين جودة المدخلات التقنية والمخرجات التشغيلية. </w:t>
      </w:r>
    </w:p>
    <w:p w14:paraId="63E234AB"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الأهمية العملية (التطبيقية)</w:t>
      </w:r>
    </w:p>
    <w:p w14:paraId="780B7B1B" w14:textId="77777777" w:rsidR="005F3EA8" w:rsidRPr="00C330FB" w:rsidRDefault="005F3EA8" w:rsidP="005F3EA8">
      <w:pPr>
        <w:pStyle w:val="a6"/>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تُقدم الدراسة خارطة طريق عملية لمراكز الأرصاد الجوية الراغبة في تحديث منظومتها الإدارية والتقنية لاستيعاب المتطلبات الحديثة لإدارة المخاطر التشغيلية، بما يتسق مع التوجه العالمي نحو أنظمة الإنذار المبكر القائم على الأثر، والنمذجة الديناميكية للمخاطر المناخية.</w:t>
      </w:r>
    </w:p>
    <w:p w14:paraId="6B7EA5BB" w14:textId="77777777" w:rsidR="005F3EA8" w:rsidRPr="00C330FB" w:rsidRDefault="005F3EA8" w:rsidP="005F3EA8">
      <w:pPr>
        <w:pStyle w:val="a6"/>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ويُمكن لنتائج الدراسة أن تُوجّه الجهات المشرفة على قطاع الأرصاد في المملكة العربية السعودية، ولا سيما المركز الوطني للأرصاد، في صياغة سياسات ومعايير تشغيلية تُعزّز جودة المخرجات وتُقلل من المخاطر التشغيلية المرتبطة بالعمليات الفنية.</w:t>
      </w:r>
    </w:p>
    <w:p w14:paraId="74A8D890" w14:textId="77777777" w:rsidR="005F3EA8" w:rsidRPr="00C330FB" w:rsidRDefault="005F3EA8" w:rsidP="005F3EA8">
      <w:pPr>
        <w:pStyle w:val="a6"/>
        <w:numPr>
          <w:ilvl w:val="0"/>
          <w:numId w:val="35"/>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كما تُسهم الدراسة بصورة غير مباشرة في تحقيق أهداف الأمم المتحدة للتنمية المستدامة، ولا سيما الهدف الثالث عشر (العمل المناخي)، والهدف الحادي عشر (مدن ومجتمعات محلية مستدامة)، عبر تعزيز قدرة مراكز الأرصاد على إنتاج بيانات موثوقة تُسهم في حماية الأرواح والممتلكات من الظواهر المناخية القصوى، فضلًا عن دعمها لمستهدفات رؤية المملكة 2030 المرتبطة بتطوير القدرات التقنية وبناء مجتمع آمن مناخيًا.</w:t>
      </w:r>
    </w:p>
    <w:p w14:paraId="0C89003B" w14:textId="69768E62" w:rsidR="005F3EA8" w:rsidRPr="00C330FB" w:rsidRDefault="005F3EA8" w:rsidP="005F3E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5" w:name="_Toc233816270"/>
      <w:r w:rsidRPr="00C330FB">
        <w:rPr>
          <w:rFonts w:ascii="Simplified Arabic" w:eastAsia="Times New Roman" w:hAnsi="Simplified Arabic" w:cs="Simplified Arabic" w:hint="cs"/>
          <w:b/>
          <w:bCs/>
          <w:color w:val="000000" w:themeColor="text1"/>
          <w:kern w:val="0"/>
          <w:sz w:val="36"/>
          <w:szCs w:val="36"/>
          <w:rtl/>
          <w14:ligatures w14:val="none"/>
        </w:rPr>
        <w:t xml:space="preserve">4.1 </w:t>
      </w:r>
      <w:r w:rsidRPr="00C330FB">
        <w:rPr>
          <w:rFonts w:ascii="Simplified Arabic" w:eastAsia="Times New Roman" w:hAnsi="Simplified Arabic" w:cs="Simplified Arabic"/>
          <w:b/>
          <w:bCs/>
          <w:color w:val="000000" w:themeColor="text1"/>
          <w:kern w:val="0"/>
          <w:sz w:val="36"/>
          <w:szCs w:val="36"/>
          <w:rtl/>
          <w14:ligatures w14:val="none"/>
        </w:rPr>
        <w:t>أهداف الدراسة</w:t>
      </w:r>
      <w:bookmarkEnd w:id="5"/>
    </w:p>
    <w:p w14:paraId="7EDA8AE8" w14:textId="77777777"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تهدف الدراسة إلى تحليل أثر بيانات الأرصاد بأبعادها الأربعة (دقة التنبؤات الجوية وموثوقيتها، وتكامل بيانات الأرصاد مع أنظمة الإنذار المبكر، والتحليلات التنبؤية المبنية على النماذج المناخية، والبنية التحتية التقنية لإدارة بيانات الأرصاد) على إدارة المخاطر التشغيلية في مراكز الأرصاد الجوية بالمملكة العربية السعودية.</w:t>
      </w:r>
    </w:p>
    <w:p w14:paraId="210FDE52"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ويتفرع من هذا الهدف الرئيس الأهداف الفرعية الآتية:</w:t>
      </w:r>
    </w:p>
    <w:p w14:paraId="78D0A2F6" w14:textId="33D9FF8C" w:rsidR="005F3EA8" w:rsidRPr="00C330FB" w:rsidRDefault="005F3EA8" w:rsidP="005F3EA8">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التعرف على مستوى دقة التنبؤات الجوية وموثوقيتها في مراكز الأرصاد الجوية بالمملكة العربية السعودية، وتحليل أثرها على إدارة المخاطر التشغيلية.</w:t>
      </w:r>
    </w:p>
    <w:p w14:paraId="7708B9E4" w14:textId="73E83B4E" w:rsidR="005F3EA8" w:rsidRPr="00C330FB" w:rsidRDefault="005F3EA8" w:rsidP="005F3EA8">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قياس مدى تكامل بيانات الأرصاد مع أنظمة الإنذار المبكر في مراكز الأرصاد الجوية السعودية، وتحديد أثر هذا التكامل على إدارة المخاطر التشغيلية.</w:t>
      </w:r>
    </w:p>
    <w:p w14:paraId="24D049DB" w14:textId="70C8A8FA" w:rsidR="005F3EA8" w:rsidRPr="00C330FB" w:rsidRDefault="005F3EA8" w:rsidP="005F3EA8">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تقييم مستوى استخدام التحليلات التنبؤية المبنية على النماذج المناخية المتقدمة في مراكز الأرصاد الجوية السعودية، وتحليل أثرها على إدارة المخاطر التشغيلية.</w:t>
      </w:r>
    </w:p>
    <w:p w14:paraId="65AE0AEE" w14:textId="6B6EEC40" w:rsidR="005F3EA8" w:rsidRPr="00C330FB" w:rsidRDefault="005F3EA8" w:rsidP="005F3EA8">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الكشف عن مدى كفاية البنية التحتية التقنية لإدارة بيانات الأرصاد في مراكز الأرصاد الجوية السعودية، وتحديد أثرها على إدارة المخاطر التشغيلية.</w:t>
      </w:r>
    </w:p>
    <w:p w14:paraId="60E64B63" w14:textId="28989BD9" w:rsidR="005F3EA8" w:rsidRPr="00C330FB" w:rsidRDefault="005F3EA8" w:rsidP="005F3EA8">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تحديد الأهمية النسبية لكل بُعد من أبعاد بيانات الأرصاد الأربعة في تأثيره على إدارة المخاطر التشغيلية، والكشف عن البُعد الأكثر تأثيرًا والأقل تأثيرًا.</w:t>
      </w:r>
    </w:p>
    <w:p w14:paraId="7DE709A0" w14:textId="673FAB69" w:rsidR="005F3EA8" w:rsidRPr="00C330FB" w:rsidRDefault="005F3EA8" w:rsidP="005F3EA8">
      <w:pPr>
        <w:pStyle w:val="a6"/>
        <w:numPr>
          <w:ilvl w:val="0"/>
          <w:numId w:val="37"/>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تقديم إطار مقترح يوضح آليات دمج بيانات الأرصاد بأبعادها المختلفة في منظومة إدارة المخاطر التشغيلية بمراكز الأرصاد الجوية السعودية، وصياغة توصيات عملية قابلة للتطبيق تُسهم في تعزيز المرونة المؤسسية والحدّ من الخسائر التشغيلية المرتبطة بالظواهر المناخية المتطرفة.</w:t>
      </w:r>
    </w:p>
    <w:p w14:paraId="23693836" w14:textId="76550F83" w:rsidR="005F3EA8" w:rsidRPr="00C330FB" w:rsidRDefault="005F3EA8" w:rsidP="005F3E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6" w:name="_Toc233816271"/>
      <w:r w:rsidRPr="00C330FB">
        <w:rPr>
          <w:rFonts w:ascii="Simplified Arabic" w:eastAsia="Times New Roman" w:hAnsi="Simplified Arabic" w:cs="Simplified Arabic" w:hint="cs"/>
          <w:b/>
          <w:bCs/>
          <w:color w:val="000000" w:themeColor="text1"/>
          <w:kern w:val="0"/>
          <w:sz w:val="36"/>
          <w:szCs w:val="36"/>
          <w:rtl/>
          <w14:ligatures w14:val="none"/>
        </w:rPr>
        <w:t xml:space="preserve">5.1 </w:t>
      </w:r>
      <w:r w:rsidRPr="00C330FB">
        <w:rPr>
          <w:rFonts w:ascii="Simplified Arabic" w:eastAsia="Times New Roman" w:hAnsi="Simplified Arabic" w:cs="Simplified Arabic"/>
          <w:b/>
          <w:bCs/>
          <w:color w:val="000000" w:themeColor="text1"/>
          <w:kern w:val="0"/>
          <w:sz w:val="36"/>
          <w:szCs w:val="36"/>
          <w:rtl/>
          <w14:ligatures w14:val="none"/>
        </w:rPr>
        <w:t>أسئلة الدراسة</w:t>
      </w:r>
      <w:bookmarkEnd w:id="6"/>
    </w:p>
    <w:p w14:paraId="169E377A"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السؤال الرئيس</w:t>
      </w:r>
    </w:p>
    <w:p w14:paraId="4EC2FE37" w14:textId="77777777" w:rsidR="005F3EA8" w:rsidRPr="00C330FB" w:rsidRDefault="005F3EA8" w:rsidP="005F3EA8">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ما أثر بيانات الأرصاد بأبعادها المتعددة على إدارة المخاطر التشغيلية في مراكز الأرصاد الجوية بالمملكة العربية السعودية؟</w:t>
      </w:r>
    </w:p>
    <w:p w14:paraId="299F54FB"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الأسئلة الفرعية</w:t>
      </w:r>
    </w:p>
    <w:p w14:paraId="608BE238" w14:textId="30CB1529" w:rsidR="005F3EA8" w:rsidRPr="00C330FB" w:rsidRDefault="005F3EA8" w:rsidP="005F3EA8">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س1: ما مستوى دقة التنبؤات الجوية وموثوقيتها في مراكز الأرصاد الجوية بالمملكة العربية السعودية من وجهة نظر العاملين فيها؟ </w:t>
      </w:r>
    </w:p>
    <w:p w14:paraId="717271A8" w14:textId="3C4B549D" w:rsidR="005F3EA8" w:rsidRPr="00C330FB" w:rsidRDefault="005F3EA8" w:rsidP="005F3EA8">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س2: ما درجة تكامل بيانات الأرصاد مع أنظمة الإنذار المبكر في مراكز الأرصاد الجوية السعودية؟ </w:t>
      </w:r>
    </w:p>
    <w:p w14:paraId="4E7F28C6" w14:textId="40F11F83" w:rsidR="005F3EA8" w:rsidRPr="00C330FB" w:rsidRDefault="005F3EA8" w:rsidP="005F3EA8">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س3: ما مدى استخدام التحليلات التنبؤية المبنية على النماذج المناخية المتقدمة في مراكز الأرصاد الجوية السعودية؟ </w:t>
      </w:r>
    </w:p>
    <w:p w14:paraId="7F4C1FBF" w14:textId="3038F409" w:rsidR="005F3EA8" w:rsidRPr="00C330FB" w:rsidRDefault="005F3EA8" w:rsidP="005F3EA8">
      <w:pPr>
        <w:pStyle w:val="a6"/>
        <w:numPr>
          <w:ilvl w:val="0"/>
          <w:numId w:val="38"/>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س4: ما مستوى كفاية البنية التحتية التقنية لإدارة بيانات الأرصاد في مراكز الأرصاد الجوية السعودية؟ </w:t>
      </w:r>
    </w:p>
    <w:p w14:paraId="266AF134"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w:t>
      </w:r>
      <w:r w:rsidRPr="00C330FB">
        <w:rPr>
          <w:rFonts w:ascii="Simplified Arabic" w:eastAsia="Times New Roman" w:hAnsi="Simplified Arabic" w:cs="Simplified Arabic"/>
          <w:color w:val="000000" w:themeColor="text1"/>
          <w:kern w:val="0"/>
          <w:sz w:val="28"/>
          <w:szCs w:val="28"/>
          <w:rtl/>
          <w14:ligatures w14:val="none"/>
        </w:rPr>
        <w:tab/>
        <w:t>فروض الدراسة</w:t>
      </w:r>
    </w:p>
    <w:p w14:paraId="6FB41375" w14:textId="31E9A3EA" w:rsidR="005F3EA8" w:rsidRPr="00C330FB" w:rsidRDefault="005F3EA8" w:rsidP="005F3E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7" w:name="_Toc233816272"/>
      <w:r w:rsidRPr="00C330FB">
        <w:rPr>
          <w:rFonts w:ascii="Simplified Arabic" w:eastAsia="Times New Roman" w:hAnsi="Simplified Arabic" w:cs="Simplified Arabic" w:hint="cs"/>
          <w:b/>
          <w:bCs/>
          <w:color w:val="000000" w:themeColor="text1"/>
          <w:kern w:val="0"/>
          <w:sz w:val="36"/>
          <w:szCs w:val="36"/>
          <w:rtl/>
          <w14:ligatures w14:val="none"/>
        </w:rPr>
        <w:lastRenderedPageBreak/>
        <w:t xml:space="preserve">6.1 </w:t>
      </w:r>
      <w:r w:rsidRPr="00C330FB">
        <w:rPr>
          <w:rFonts w:ascii="Simplified Arabic" w:eastAsia="Times New Roman" w:hAnsi="Simplified Arabic" w:cs="Simplified Arabic"/>
          <w:b/>
          <w:bCs/>
          <w:color w:val="000000" w:themeColor="text1"/>
          <w:kern w:val="0"/>
          <w:sz w:val="36"/>
          <w:szCs w:val="36"/>
          <w:rtl/>
          <w14:ligatures w14:val="none"/>
        </w:rPr>
        <w:t>الفرض الرئيس</w:t>
      </w:r>
      <w:bookmarkEnd w:id="7"/>
    </w:p>
    <w:p w14:paraId="6A5B58DA" w14:textId="77777777" w:rsidR="005F3EA8" w:rsidRPr="00C330FB" w:rsidRDefault="005F3EA8" w:rsidP="005F3EA8">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14:ligatures w14:val="none"/>
        </w:rPr>
        <w:t>H</w:t>
      </w:r>
      <w:r w:rsidRPr="00C330FB">
        <w:rPr>
          <w:rFonts w:ascii="Times New Roman" w:eastAsia="Times New Roman" w:hAnsi="Times New Roman" w:cs="Times New Roman"/>
          <w:color w:val="000000" w:themeColor="text1"/>
          <w:kern w:val="0"/>
          <w:sz w:val="28"/>
          <w:szCs w:val="28"/>
          <w14:ligatures w14:val="none"/>
        </w:rPr>
        <w:t>₀</w:t>
      </w:r>
      <w:r w:rsidRPr="00C330FB">
        <w:rPr>
          <w:rFonts w:ascii="Simplified Arabic" w:eastAsia="Times New Roman" w:hAnsi="Simplified Arabic" w:cs="Simplified Arabic"/>
          <w:color w:val="000000" w:themeColor="text1"/>
          <w:kern w:val="0"/>
          <w:sz w:val="28"/>
          <w:szCs w:val="28"/>
          <w:rtl/>
          <w14:ligatures w14:val="none"/>
        </w:rPr>
        <w:t>: لا يوجد أثر ذو دلالة إحصائية عند مستوى معنوية (</w:t>
      </w:r>
      <w:r w:rsidRPr="00C330FB">
        <w:rPr>
          <w:rFonts w:ascii="Cambria" w:eastAsia="Times New Roman" w:hAnsi="Cambria" w:cs="Cambria"/>
          <w:color w:val="000000" w:themeColor="text1"/>
          <w:kern w:val="0"/>
          <w:sz w:val="28"/>
          <w:szCs w:val="28"/>
          <w14:ligatures w14:val="none"/>
        </w:rPr>
        <w:t>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Times New Roman" w:eastAsia="Times New Roman" w:hAnsi="Times New Roman" w:cs="Times New Roman"/>
          <w:color w:val="000000" w:themeColor="text1"/>
          <w:kern w:val="0"/>
          <w:sz w:val="28"/>
          <w:szCs w:val="28"/>
          <w14:ligatures w14:val="none"/>
        </w:rPr>
        <w:t>≤</w:t>
      </w:r>
      <w:r w:rsidRPr="00C330FB">
        <w:rPr>
          <w:rFonts w:ascii="Simplified Arabic" w:eastAsia="Times New Roman" w:hAnsi="Simplified Arabic" w:cs="Simplified Arabic"/>
          <w:color w:val="000000" w:themeColor="text1"/>
          <w:kern w:val="0"/>
          <w:sz w:val="28"/>
          <w:szCs w:val="28"/>
          <w14:ligatures w14:val="none"/>
        </w:rPr>
        <w:t xml:space="preserve"> 0.05</w:t>
      </w:r>
      <w:r w:rsidRPr="00C330FB">
        <w:rPr>
          <w:rFonts w:ascii="Simplified Arabic" w:eastAsia="Times New Roman" w:hAnsi="Simplified Arabic" w:cs="Simplified Arabic"/>
          <w:color w:val="000000" w:themeColor="text1"/>
          <w:kern w:val="0"/>
          <w:sz w:val="28"/>
          <w:szCs w:val="28"/>
          <w:rtl/>
          <w14:ligatures w14:val="none"/>
        </w:rPr>
        <w:t>) لبيانات الأرصاد بأبعادها مجتمعةً (دقة التنبؤات الجوية وموثوقيتها، وتكامل بيانات الأرصاد مع أنظمة الإنذار المبكر، والتحليلات التنبؤية المبنية على النماذج المناخية، والبنية التحتية التقنية لإدارة بيانات الأرصاد) على إدارة المخاطر التشغيلية في مراكز الأرصاد الجوية بالمملكة العربية السعودية.</w:t>
      </w:r>
    </w:p>
    <w:p w14:paraId="4D6C8C05" w14:textId="77777777"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الفروض الفرعية</w:t>
      </w:r>
    </w:p>
    <w:p w14:paraId="58447A13" w14:textId="77777777" w:rsidR="005F3EA8" w:rsidRPr="00C330FB" w:rsidRDefault="005F3EA8" w:rsidP="005F3EA8">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14:ligatures w14:val="none"/>
        </w:rPr>
        <w:t>H</w:t>
      </w:r>
      <w:r w:rsidRPr="00C330FB">
        <w:rPr>
          <w:rFonts w:ascii="Times New Roman" w:eastAsia="Times New Roman" w:hAnsi="Times New Roman" w:cs="Times New Roman"/>
          <w:color w:val="000000" w:themeColor="text1"/>
          <w:kern w:val="0"/>
          <w:sz w:val="28"/>
          <w:szCs w:val="28"/>
          <w14:ligatures w14:val="none"/>
        </w:rPr>
        <w:t>₀₁</w:t>
      </w:r>
      <w:r w:rsidRPr="00C330FB">
        <w:rPr>
          <w:rFonts w:ascii="Simplified Arabic" w:eastAsia="Times New Roman" w:hAnsi="Simplified Arabic" w:cs="Simplified Arabic"/>
          <w:color w:val="000000" w:themeColor="text1"/>
          <w:kern w:val="0"/>
          <w:sz w:val="28"/>
          <w:szCs w:val="28"/>
          <w:rtl/>
          <w14:ligatures w14:val="none"/>
        </w:rPr>
        <w:t>: لا يوجد أثر ذو دلالة إحصائية عند مستوى معنوية (</w:t>
      </w:r>
      <w:r w:rsidRPr="00C330FB">
        <w:rPr>
          <w:rFonts w:ascii="Cambria" w:eastAsia="Times New Roman" w:hAnsi="Cambria" w:cs="Cambria"/>
          <w:color w:val="000000" w:themeColor="text1"/>
          <w:kern w:val="0"/>
          <w:sz w:val="28"/>
          <w:szCs w:val="28"/>
          <w14:ligatures w14:val="none"/>
        </w:rPr>
        <w:t>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Times New Roman" w:eastAsia="Times New Roman" w:hAnsi="Times New Roman" w:cs="Times New Roman"/>
          <w:color w:val="000000" w:themeColor="text1"/>
          <w:kern w:val="0"/>
          <w:sz w:val="28"/>
          <w:szCs w:val="28"/>
          <w14:ligatures w14:val="none"/>
        </w:rPr>
        <w:t>≤</w:t>
      </w:r>
      <w:r w:rsidRPr="00C330FB">
        <w:rPr>
          <w:rFonts w:ascii="Simplified Arabic" w:eastAsia="Times New Roman" w:hAnsi="Simplified Arabic" w:cs="Simplified Arabic"/>
          <w:color w:val="000000" w:themeColor="text1"/>
          <w:kern w:val="0"/>
          <w:sz w:val="28"/>
          <w:szCs w:val="28"/>
          <w14:ligatures w14:val="none"/>
        </w:rPr>
        <w:t xml:space="preserve"> 0.05</w:t>
      </w:r>
      <w:r w:rsidRPr="00C330FB">
        <w:rPr>
          <w:rFonts w:ascii="Simplified Arabic" w:eastAsia="Times New Roman" w:hAnsi="Simplified Arabic" w:cs="Simplified Arabic"/>
          <w:color w:val="000000" w:themeColor="text1"/>
          <w:kern w:val="0"/>
          <w:sz w:val="28"/>
          <w:szCs w:val="28"/>
          <w:rtl/>
          <w14:ligatures w14:val="none"/>
        </w:rPr>
        <w:t>) لدقة التنبؤات الجوية وموثوقيتها على إدارة المخاطر التشغيلية في مراكز الأرصاد الجوية بالمملكة العربية السعودية.</w:t>
      </w:r>
    </w:p>
    <w:p w14:paraId="560C1812" w14:textId="77777777" w:rsidR="005F3EA8" w:rsidRPr="00C330FB" w:rsidRDefault="005F3EA8" w:rsidP="005F3EA8">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14:ligatures w14:val="none"/>
        </w:rPr>
        <w:t>H</w:t>
      </w:r>
      <w:r w:rsidRPr="00C330FB">
        <w:rPr>
          <w:rFonts w:ascii="Times New Roman" w:eastAsia="Times New Roman" w:hAnsi="Times New Roman" w:cs="Times New Roman"/>
          <w:color w:val="000000" w:themeColor="text1"/>
          <w:kern w:val="0"/>
          <w:sz w:val="28"/>
          <w:szCs w:val="28"/>
          <w14:ligatures w14:val="none"/>
        </w:rPr>
        <w:t>₀₂</w:t>
      </w:r>
      <w:r w:rsidRPr="00C330FB">
        <w:rPr>
          <w:rFonts w:ascii="Simplified Arabic" w:eastAsia="Times New Roman" w:hAnsi="Simplified Arabic" w:cs="Simplified Arabic"/>
          <w:color w:val="000000" w:themeColor="text1"/>
          <w:kern w:val="0"/>
          <w:sz w:val="28"/>
          <w:szCs w:val="28"/>
          <w:rtl/>
          <w14:ligatures w14:val="none"/>
        </w:rPr>
        <w:t>: لا يوجد أثر ذو دلالة إحصائية عند مستوى معنوية (</w:t>
      </w:r>
      <w:r w:rsidRPr="00C330FB">
        <w:rPr>
          <w:rFonts w:ascii="Cambria" w:eastAsia="Times New Roman" w:hAnsi="Cambria" w:cs="Cambria"/>
          <w:color w:val="000000" w:themeColor="text1"/>
          <w:kern w:val="0"/>
          <w:sz w:val="28"/>
          <w:szCs w:val="28"/>
          <w14:ligatures w14:val="none"/>
        </w:rPr>
        <w:t>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Times New Roman" w:eastAsia="Times New Roman" w:hAnsi="Times New Roman" w:cs="Times New Roman"/>
          <w:color w:val="000000" w:themeColor="text1"/>
          <w:kern w:val="0"/>
          <w:sz w:val="28"/>
          <w:szCs w:val="28"/>
          <w14:ligatures w14:val="none"/>
        </w:rPr>
        <w:t>≤</w:t>
      </w:r>
      <w:r w:rsidRPr="00C330FB">
        <w:rPr>
          <w:rFonts w:ascii="Simplified Arabic" w:eastAsia="Times New Roman" w:hAnsi="Simplified Arabic" w:cs="Simplified Arabic"/>
          <w:color w:val="000000" w:themeColor="text1"/>
          <w:kern w:val="0"/>
          <w:sz w:val="28"/>
          <w:szCs w:val="28"/>
          <w14:ligatures w14:val="none"/>
        </w:rPr>
        <w:t xml:space="preserve"> 0.05</w:t>
      </w:r>
      <w:r w:rsidRPr="00C330FB">
        <w:rPr>
          <w:rFonts w:ascii="Simplified Arabic" w:eastAsia="Times New Roman" w:hAnsi="Simplified Arabic" w:cs="Simplified Arabic"/>
          <w:color w:val="000000" w:themeColor="text1"/>
          <w:kern w:val="0"/>
          <w:sz w:val="28"/>
          <w:szCs w:val="28"/>
          <w:rtl/>
          <w14:ligatures w14:val="none"/>
        </w:rPr>
        <w:t>) لتكامل بيانات الأرصاد مع أنظمة الإنذار المبكر على إدارة المخاطر التشغيلية في مراكز الأرصاد الجوية بالمملكة العربية السعودية.</w:t>
      </w:r>
    </w:p>
    <w:p w14:paraId="29045D55" w14:textId="77777777" w:rsidR="005F3EA8" w:rsidRPr="00C330FB" w:rsidRDefault="005F3EA8" w:rsidP="005F3EA8">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14:ligatures w14:val="none"/>
        </w:rPr>
        <w:t>H</w:t>
      </w:r>
      <w:r w:rsidRPr="00C330FB">
        <w:rPr>
          <w:rFonts w:ascii="Times New Roman" w:eastAsia="Times New Roman" w:hAnsi="Times New Roman" w:cs="Times New Roman"/>
          <w:color w:val="000000" w:themeColor="text1"/>
          <w:kern w:val="0"/>
          <w:sz w:val="28"/>
          <w:szCs w:val="28"/>
          <w14:ligatures w14:val="none"/>
        </w:rPr>
        <w:t>₀₃</w:t>
      </w:r>
      <w:r w:rsidRPr="00C330FB">
        <w:rPr>
          <w:rFonts w:ascii="Simplified Arabic" w:eastAsia="Times New Roman" w:hAnsi="Simplified Arabic" w:cs="Simplified Arabic"/>
          <w:color w:val="000000" w:themeColor="text1"/>
          <w:kern w:val="0"/>
          <w:sz w:val="28"/>
          <w:szCs w:val="28"/>
          <w:rtl/>
          <w14:ligatures w14:val="none"/>
        </w:rPr>
        <w:t>: لا يوجد أثر ذو دلالة إحصائية عند مستوى معنوية (</w:t>
      </w:r>
      <w:r w:rsidRPr="00C330FB">
        <w:rPr>
          <w:rFonts w:ascii="Cambria" w:eastAsia="Times New Roman" w:hAnsi="Cambria" w:cs="Cambria"/>
          <w:color w:val="000000" w:themeColor="text1"/>
          <w:kern w:val="0"/>
          <w:sz w:val="28"/>
          <w:szCs w:val="28"/>
          <w14:ligatures w14:val="none"/>
        </w:rPr>
        <w:t>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Times New Roman" w:eastAsia="Times New Roman" w:hAnsi="Times New Roman" w:cs="Times New Roman"/>
          <w:color w:val="000000" w:themeColor="text1"/>
          <w:kern w:val="0"/>
          <w:sz w:val="28"/>
          <w:szCs w:val="28"/>
          <w14:ligatures w14:val="none"/>
        </w:rPr>
        <w:t>≤</w:t>
      </w:r>
      <w:r w:rsidRPr="00C330FB">
        <w:rPr>
          <w:rFonts w:ascii="Simplified Arabic" w:eastAsia="Times New Roman" w:hAnsi="Simplified Arabic" w:cs="Simplified Arabic"/>
          <w:color w:val="000000" w:themeColor="text1"/>
          <w:kern w:val="0"/>
          <w:sz w:val="28"/>
          <w:szCs w:val="28"/>
          <w14:ligatures w14:val="none"/>
        </w:rPr>
        <w:t xml:space="preserve"> 0.05</w:t>
      </w:r>
      <w:r w:rsidRPr="00C330FB">
        <w:rPr>
          <w:rFonts w:ascii="Simplified Arabic" w:eastAsia="Times New Roman" w:hAnsi="Simplified Arabic" w:cs="Simplified Arabic"/>
          <w:color w:val="000000" w:themeColor="text1"/>
          <w:kern w:val="0"/>
          <w:sz w:val="28"/>
          <w:szCs w:val="28"/>
          <w:rtl/>
          <w14:ligatures w14:val="none"/>
        </w:rPr>
        <w:t>) للتحليلات التنبؤية المبنية على النماذج المناخية المتقدمة على إدارة المخاطر التشغيلية في مراكز الأرصاد الجوية بالمملكة العربية السعودية.</w:t>
      </w:r>
    </w:p>
    <w:p w14:paraId="277D43D9" w14:textId="77777777" w:rsidR="005F3EA8" w:rsidRPr="00C330FB" w:rsidRDefault="005F3EA8" w:rsidP="005F3EA8">
      <w:pPr>
        <w:pStyle w:val="a6"/>
        <w:numPr>
          <w:ilvl w:val="0"/>
          <w:numId w:val="39"/>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14:ligatures w14:val="none"/>
        </w:rPr>
        <w:t>H</w:t>
      </w:r>
      <w:r w:rsidRPr="00C330FB">
        <w:rPr>
          <w:rFonts w:ascii="Times New Roman" w:eastAsia="Times New Roman" w:hAnsi="Times New Roman" w:cs="Times New Roman"/>
          <w:color w:val="000000" w:themeColor="text1"/>
          <w:kern w:val="0"/>
          <w:sz w:val="28"/>
          <w:szCs w:val="28"/>
          <w14:ligatures w14:val="none"/>
        </w:rPr>
        <w:t>₀₄</w:t>
      </w:r>
      <w:r w:rsidRPr="00C330FB">
        <w:rPr>
          <w:rFonts w:ascii="Simplified Arabic" w:eastAsia="Times New Roman" w:hAnsi="Simplified Arabic" w:cs="Simplified Arabic"/>
          <w:color w:val="000000" w:themeColor="text1"/>
          <w:kern w:val="0"/>
          <w:sz w:val="28"/>
          <w:szCs w:val="28"/>
          <w:rtl/>
          <w14:ligatures w14:val="none"/>
        </w:rPr>
        <w:t>: لا يوجد أثر ذو دلالة إحصائية عند مستوى معنوية (</w:t>
      </w:r>
      <w:r w:rsidRPr="00C330FB">
        <w:rPr>
          <w:rFonts w:ascii="Cambria" w:eastAsia="Times New Roman" w:hAnsi="Cambria" w:cs="Cambria"/>
          <w:color w:val="000000" w:themeColor="text1"/>
          <w:kern w:val="0"/>
          <w:sz w:val="28"/>
          <w:szCs w:val="28"/>
          <w14:ligatures w14:val="none"/>
        </w:rPr>
        <w:t>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Times New Roman" w:eastAsia="Times New Roman" w:hAnsi="Times New Roman" w:cs="Times New Roman"/>
          <w:color w:val="000000" w:themeColor="text1"/>
          <w:kern w:val="0"/>
          <w:sz w:val="28"/>
          <w:szCs w:val="28"/>
          <w14:ligatures w14:val="none"/>
        </w:rPr>
        <w:t>≤</w:t>
      </w:r>
      <w:r w:rsidRPr="00C330FB">
        <w:rPr>
          <w:rFonts w:ascii="Simplified Arabic" w:eastAsia="Times New Roman" w:hAnsi="Simplified Arabic" w:cs="Simplified Arabic"/>
          <w:color w:val="000000" w:themeColor="text1"/>
          <w:kern w:val="0"/>
          <w:sz w:val="28"/>
          <w:szCs w:val="28"/>
          <w14:ligatures w14:val="none"/>
        </w:rPr>
        <w:t xml:space="preserve"> 0.05</w:t>
      </w:r>
      <w:r w:rsidRPr="00C330FB">
        <w:rPr>
          <w:rFonts w:ascii="Simplified Arabic" w:eastAsia="Times New Roman" w:hAnsi="Simplified Arabic" w:cs="Simplified Arabic"/>
          <w:color w:val="000000" w:themeColor="text1"/>
          <w:kern w:val="0"/>
          <w:sz w:val="28"/>
          <w:szCs w:val="28"/>
          <w:rtl/>
          <w14:ligatures w14:val="none"/>
        </w:rPr>
        <w:t>) لكفاية البنية التحتية التقنية لإدارة بيانات الأرصاد على إدارة المخاطر التشغيلية في مراكز الأرصاد الجوية بالمملكة العربية السعودية.</w:t>
      </w:r>
    </w:p>
    <w:p w14:paraId="0BA097A1" w14:textId="3D09CB4F" w:rsidR="005F3EA8" w:rsidRPr="00C330FB" w:rsidRDefault="005F3EA8" w:rsidP="005F3EA8">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8" w:name="_Toc233816273"/>
      <w:r w:rsidRPr="00C330FB">
        <w:rPr>
          <w:rFonts w:ascii="Simplified Arabic" w:eastAsia="Times New Roman" w:hAnsi="Simplified Arabic" w:cs="Simplified Arabic" w:hint="cs"/>
          <w:b/>
          <w:bCs/>
          <w:color w:val="000000" w:themeColor="text1"/>
          <w:kern w:val="0"/>
          <w:sz w:val="36"/>
          <w:szCs w:val="36"/>
          <w:rtl/>
          <w14:ligatures w14:val="none"/>
        </w:rPr>
        <w:t xml:space="preserve">7.1 </w:t>
      </w:r>
      <w:r w:rsidRPr="00C330FB">
        <w:rPr>
          <w:rFonts w:ascii="Simplified Arabic" w:eastAsia="Times New Roman" w:hAnsi="Simplified Arabic" w:cs="Simplified Arabic"/>
          <w:b/>
          <w:bCs/>
          <w:color w:val="000000" w:themeColor="text1"/>
          <w:kern w:val="0"/>
          <w:sz w:val="36"/>
          <w:szCs w:val="36"/>
          <w:rtl/>
          <w14:ligatures w14:val="none"/>
        </w:rPr>
        <w:t>الدراسات السابقة:</w:t>
      </w:r>
      <w:bookmarkEnd w:id="8"/>
    </w:p>
    <w:p w14:paraId="155B1746" w14:textId="2AE5AD04" w:rsidR="005F3EA8" w:rsidRPr="00C330FB" w:rsidRDefault="005F3EA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المحور الأول: استخدام البيانات الارصاد في إدارة المخاطر وعلاقته بمتغيرات أخرى</w:t>
      </w:r>
    </w:p>
    <w:p w14:paraId="5E7A6D2C"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 أبو شقير</w:t>
      </w:r>
      <w:r w:rsidRPr="00C330FB">
        <w:rPr>
          <w:rFonts w:ascii="Simplified Arabic" w:eastAsia="Times New Roman" w:hAnsi="Simplified Arabic" w:cs="Simplified Arabic"/>
          <w:b/>
          <w:bCs/>
          <w:color w:val="000000" w:themeColor="text1"/>
          <w:kern w:val="0"/>
          <w:sz w:val="28"/>
          <w:szCs w:val="28"/>
          <w14:ligatures w14:val="none"/>
        </w:rPr>
        <w:t xml:space="preserve"> (2020): "</w:t>
      </w:r>
      <w:r w:rsidRPr="00C330FB">
        <w:rPr>
          <w:rFonts w:ascii="Simplified Arabic" w:eastAsia="Times New Roman" w:hAnsi="Simplified Arabic" w:cs="Simplified Arabic"/>
          <w:b/>
          <w:bCs/>
          <w:color w:val="000000" w:themeColor="text1"/>
          <w:kern w:val="0"/>
          <w:sz w:val="28"/>
          <w:szCs w:val="28"/>
          <w:rtl/>
          <w14:ligatures w14:val="none"/>
        </w:rPr>
        <w:t xml:space="preserve">استخدام تقنيات التنبؤات الجوية ودورها في إدارة الأزمات والكوارث: دراسة تطبيقية على قطاع غزة." </w:t>
      </w:r>
    </w:p>
    <w:p w14:paraId="454A8FE4" w14:textId="19BB1B3C" w:rsidR="002322E4"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هدفت الدراسة إلى التعرف على أفضل تقنية من التقنيات العالمية المختصة بالتنبؤات الجوية بحيث يمكن الاعتماد عليها والاستفادة من بياناتها في إدارة الأزمات والكوارث في قطاع غزة بجميع مراحلها (التخطيط، الاستعداد، المواجهة)، وذلك في ظل تعرّض القطاع للعديد من المؤثرات المناخية المتطرفة كالارتفاع والانخفاض الحاد في درجات الحرارة والرياح العاصفة والفيضانات. استخدمت الدراسة المنهج الوصفي التحليلي مع إجراء الاختبارات الإحصائية المناسبة لاختبار صحة الفرضيات الموضوعة. لم يُحدَّد حجم العينة صراحةً في الملخص المتاح، إلا أن الدراسة اعتمدت على مقارنة أداء عدة نماذج تنبؤية عالمية. وتوصلت النتائج إلى اعتماد النموذج الأوروبي للتنبؤات الجوية متوسطة المدى</w:t>
      </w:r>
      <w:r w:rsidRPr="00C330FB">
        <w:rPr>
          <w:rFonts w:ascii="Simplified Arabic" w:eastAsia="Times New Roman" w:hAnsi="Simplified Arabic" w:cs="Simplified Arabic"/>
          <w:color w:val="000000" w:themeColor="text1"/>
          <w:kern w:val="0"/>
          <w:sz w:val="28"/>
          <w:szCs w:val="28"/>
          <w14:ligatures w14:val="none"/>
        </w:rPr>
        <w:t xml:space="preserve"> (ECMWF) </w:t>
      </w:r>
      <w:r w:rsidRPr="00C330FB">
        <w:rPr>
          <w:rFonts w:ascii="Simplified Arabic" w:eastAsia="Times New Roman" w:hAnsi="Simplified Arabic" w:cs="Simplified Arabic"/>
          <w:color w:val="000000" w:themeColor="text1"/>
          <w:kern w:val="0"/>
          <w:sz w:val="28"/>
          <w:szCs w:val="28"/>
          <w:rtl/>
          <w14:ligatures w14:val="none"/>
        </w:rPr>
        <w:t>باعتباره الأفضل والأدق بين النماذج المستخدمة، كما يمكن اعتبار نموذجي</w:t>
      </w:r>
      <w:r w:rsidRPr="00C330FB">
        <w:rPr>
          <w:rFonts w:ascii="Simplified Arabic" w:eastAsia="Times New Roman" w:hAnsi="Simplified Arabic" w:cs="Simplified Arabic"/>
          <w:color w:val="000000" w:themeColor="text1"/>
          <w:kern w:val="0"/>
          <w:sz w:val="28"/>
          <w:szCs w:val="28"/>
          <w14:ligatures w14:val="none"/>
        </w:rPr>
        <w:t xml:space="preserve"> (NEMS) </w:t>
      </w:r>
      <w:r w:rsidRPr="00C330FB">
        <w:rPr>
          <w:rFonts w:ascii="Simplified Arabic" w:eastAsia="Times New Roman" w:hAnsi="Simplified Arabic" w:cs="Simplified Arabic"/>
          <w:color w:val="000000" w:themeColor="text1"/>
          <w:kern w:val="0"/>
          <w:sz w:val="28"/>
          <w:szCs w:val="28"/>
          <w:rtl/>
          <w14:ligatures w14:val="none"/>
        </w:rPr>
        <w:t>و</w:t>
      </w:r>
      <w:r w:rsidRPr="00C330FB">
        <w:rPr>
          <w:rFonts w:ascii="Simplified Arabic" w:eastAsia="Times New Roman" w:hAnsi="Simplified Arabic" w:cs="Simplified Arabic"/>
          <w:color w:val="000000" w:themeColor="text1"/>
          <w:kern w:val="0"/>
          <w:sz w:val="28"/>
          <w:szCs w:val="28"/>
          <w14:ligatures w14:val="none"/>
        </w:rPr>
        <w:t xml:space="preserve">(ICON) </w:t>
      </w:r>
      <w:r w:rsidRPr="00C330FB">
        <w:rPr>
          <w:rFonts w:ascii="Simplified Arabic" w:eastAsia="Times New Roman" w:hAnsi="Simplified Arabic" w:cs="Simplified Arabic"/>
          <w:color w:val="000000" w:themeColor="text1"/>
          <w:kern w:val="0"/>
          <w:sz w:val="28"/>
          <w:szCs w:val="28"/>
          <w:rtl/>
          <w14:ligatures w14:val="none"/>
        </w:rPr>
        <w:t>في المرتبة الثانية من حيث الدقة والموثوقية. وأظهرت الدراسة أيضاً وجود ضعف كبير لدى الجهات العاملة في مجال إدارة الأزمات والكوارث بقطاع غزة في متابعة أنظمة التنبؤات الجوية، وعدم مقدرتهم على تحديد مصدر رئيسي كمرجعية موثوقة في مجال التنبؤات. وأوصت الدراسة بضرورة إنشاء مركز وطني مختص بإدارة الأزمات والكوارث يضم فريقاً متخصصاً بمتابعة التنبؤات الجوية وآخر التحديثات العالمية، والاشتراك بمنظومة</w:t>
      </w:r>
      <w:r w:rsidRPr="00C330FB">
        <w:rPr>
          <w:rFonts w:ascii="Simplified Arabic" w:eastAsia="Times New Roman" w:hAnsi="Simplified Arabic" w:cs="Simplified Arabic"/>
          <w:color w:val="000000" w:themeColor="text1"/>
          <w:kern w:val="0"/>
          <w:sz w:val="28"/>
          <w:szCs w:val="28"/>
          <w14:ligatures w14:val="none"/>
        </w:rPr>
        <w:t xml:space="preserve"> ECMWF </w:t>
      </w:r>
      <w:r w:rsidRPr="00C330FB">
        <w:rPr>
          <w:rFonts w:ascii="Simplified Arabic" w:eastAsia="Times New Roman" w:hAnsi="Simplified Arabic" w:cs="Simplified Arabic"/>
          <w:color w:val="000000" w:themeColor="text1"/>
          <w:kern w:val="0"/>
          <w:sz w:val="28"/>
          <w:szCs w:val="28"/>
          <w:rtl/>
          <w14:ligatures w14:val="none"/>
        </w:rPr>
        <w:t>ومتابعتها باستمرار واعتماد بياناتها في التحذيرات الجوية، مع إيصال التعليمات للمواطنين عبر وسائل الإعلام التقليدية والحديثة لتقليل الخسائر البشرية</w:t>
      </w:r>
      <w:r w:rsidRPr="00C330FB">
        <w:rPr>
          <w:rFonts w:ascii="Simplified Arabic" w:eastAsia="Times New Roman" w:hAnsi="Simplified Arabic" w:cs="Simplified Arabic"/>
          <w:color w:val="000000" w:themeColor="text1"/>
          <w:kern w:val="0"/>
          <w:sz w:val="28"/>
          <w:szCs w:val="28"/>
          <w14:ligatures w14:val="none"/>
        </w:rPr>
        <w:t>.</w:t>
      </w:r>
    </w:p>
    <w:p w14:paraId="3A109601"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 يوسف</w:t>
      </w:r>
      <w:r w:rsidRPr="00C330FB">
        <w:rPr>
          <w:rFonts w:ascii="Simplified Arabic" w:eastAsia="Times New Roman" w:hAnsi="Simplified Arabic" w:cs="Simplified Arabic"/>
          <w:b/>
          <w:bCs/>
          <w:color w:val="000000" w:themeColor="text1"/>
          <w:kern w:val="0"/>
          <w:sz w:val="28"/>
          <w:szCs w:val="28"/>
          <w14:ligatures w14:val="none"/>
        </w:rPr>
        <w:t xml:space="preserve"> (2023): "</w:t>
      </w:r>
      <w:r w:rsidRPr="00C330FB">
        <w:rPr>
          <w:rFonts w:ascii="Simplified Arabic" w:eastAsia="Times New Roman" w:hAnsi="Simplified Arabic" w:cs="Simplified Arabic"/>
          <w:b/>
          <w:bCs/>
          <w:color w:val="000000" w:themeColor="text1"/>
          <w:kern w:val="0"/>
          <w:sz w:val="28"/>
          <w:szCs w:val="28"/>
          <w:rtl/>
          <w14:ligatures w14:val="none"/>
        </w:rPr>
        <w:t xml:space="preserve">دور إدارة الأزمات في مواجهة الأزمات البيئية: دراسة تطبيقية على هيئة الإسعاف المصرية." </w:t>
      </w:r>
    </w:p>
    <w:p w14:paraId="569B0AD4" w14:textId="1ADB47C6"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مراحل إدارة الأزمات بأبعادها </w:t>
      </w:r>
      <w:r w:rsidR="005F3EA8" w:rsidRPr="00C330FB">
        <w:rPr>
          <w:rFonts w:ascii="Simplified Arabic" w:eastAsia="Times New Roman" w:hAnsi="Simplified Arabic" w:cs="Simplified Arabic" w:hint="cs"/>
          <w:color w:val="000000" w:themeColor="text1"/>
          <w:kern w:val="0"/>
          <w:sz w:val="28"/>
          <w:szCs w:val="28"/>
          <w:rtl/>
          <w14:ligatures w14:val="none"/>
        </w:rPr>
        <w:t>(</w:t>
      </w:r>
      <w:r w:rsidRPr="00C330FB">
        <w:rPr>
          <w:rFonts w:ascii="Simplified Arabic" w:eastAsia="Times New Roman" w:hAnsi="Simplified Arabic" w:cs="Simplified Arabic"/>
          <w:color w:val="000000" w:themeColor="text1"/>
          <w:kern w:val="0"/>
          <w:sz w:val="28"/>
          <w:szCs w:val="28"/>
          <w:rtl/>
          <w14:ligatures w14:val="none"/>
        </w:rPr>
        <w:t>مرحلة الاستعداد والوقاية، مرحلة المواجهة والاحتواء، مرحلة التعلم واستعادة النشاط) في مواجهة الأزمات البيئية المتنوعة التي تتعرض لها هيئة الإسعاف المصرية، بما يشمل الأزمات المرتبطة بالظواهر الجوية والكوارث الطبيعية. استخدمت الدراسة المنهج الوصفي التحليلي بأداة الاستبيان لجمع البيانات الأولية، مع الاعتماد على المصادر الثانوية لبناء الإطار النظري</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لم يُحدَّد حجم العينة بدقة في الملخص المتاح على المنصة. وتوصلت نتائج الدراسة إلى وجود أثر ذي دلالة إحصائية لجميع مراحل إدارة الأزمات في مواجهة الأزمات البيئية، وأن مرحلة الاستعداد المبنية على التنبؤات المسبقة وبيانات الإنذار المبكر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تُعد الأكثر فاعلية في تقليل آثار الكوارث وتحسين زمن الاستجابة، كما أن ربط خطط الطوارئ بالبيانات البيئية و</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يعزز الجاهزية المؤسسية. وأوصت الدراسة بضرورة تعزيز مرحلة الاستعداد والوقاية من خلال دمج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lastRenderedPageBreak/>
        <w:t>والبيئية في منظومة إدارة الأزمات، وتطوير نظم إنذار مبكر فعالة، وعقد برامج تدريبية دورية للعاملين في الهيئة على التعامل مع سيناريوهات الأزمات البيئية المختلفة</w:t>
      </w:r>
      <w:r w:rsidRPr="00C330FB">
        <w:rPr>
          <w:rFonts w:ascii="Simplified Arabic" w:eastAsia="Times New Roman" w:hAnsi="Simplified Arabic" w:cs="Simplified Arabic"/>
          <w:color w:val="000000" w:themeColor="text1"/>
          <w:kern w:val="0"/>
          <w:sz w:val="28"/>
          <w:szCs w:val="28"/>
          <w14:ligatures w14:val="none"/>
        </w:rPr>
        <w:t>.</w:t>
      </w:r>
    </w:p>
    <w:p w14:paraId="278147B5"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b/>
          <w:bCs/>
          <w:color w:val="000000" w:themeColor="text1"/>
          <w:kern w:val="0"/>
          <w:sz w:val="28"/>
          <w:szCs w:val="28"/>
          <w14:ligatures w14:val="none"/>
        </w:rPr>
        <w:t>Adland</w:t>
      </w:r>
      <w:proofErr w:type="spellEnd"/>
      <w:r w:rsidRPr="00C330F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322E4" w:rsidRPr="00C330FB">
        <w:rPr>
          <w:rFonts w:ascii="Simplified Arabic" w:eastAsia="Times New Roman" w:hAnsi="Simplified Arabic" w:cs="Simplified Arabic"/>
          <w:b/>
          <w:bCs/>
          <w:color w:val="000000" w:themeColor="text1"/>
          <w:kern w:val="0"/>
          <w:sz w:val="28"/>
          <w:szCs w:val="28"/>
          <w14:ligatures w14:val="none"/>
        </w:rPr>
        <w:t>etal</w:t>
      </w:r>
      <w:proofErr w:type="spellEnd"/>
      <w:r w:rsidR="002322E4" w:rsidRPr="00C330FB">
        <w:rPr>
          <w:rFonts w:ascii="Simplified Arabic" w:eastAsia="Times New Roman" w:hAnsi="Simplified Arabic" w:cs="Simplified Arabic"/>
          <w:b/>
          <w:bCs/>
          <w:color w:val="000000" w:themeColor="text1"/>
          <w:kern w:val="0"/>
          <w:sz w:val="28"/>
          <w:szCs w:val="28"/>
          <w14:ligatures w14:val="none"/>
        </w:rPr>
        <w:t>.,</w:t>
      </w:r>
      <w:r w:rsidRPr="00C330FB">
        <w:rPr>
          <w:rFonts w:ascii="Simplified Arabic" w:eastAsia="Times New Roman" w:hAnsi="Simplified Arabic" w:cs="Simplified Arabic"/>
          <w:b/>
          <w:bCs/>
          <w:color w:val="000000" w:themeColor="text1"/>
          <w:kern w:val="0"/>
          <w:sz w:val="28"/>
          <w:szCs w:val="28"/>
          <w14:ligatures w14:val="none"/>
        </w:rPr>
        <w:t xml:space="preserve"> (2021): "The value of meteorological data in marine risk assessment." </w:t>
      </w:r>
    </w:p>
    <w:p w14:paraId="088345BF" w14:textId="25A8A74C"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أثر المتغيرات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المائية (سرعة الرياح، ارتفاع الموج، اتجاه الرياح، الضغط الجوي السطحي) على احتمالية مطالبات تأمين الهيكل والآلات</w:t>
      </w:r>
      <w:r w:rsidRPr="00C330FB">
        <w:rPr>
          <w:rFonts w:ascii="Simplified Arabic" w:eastAsia="Times New Roman" w:hAnsi="Simplified Arabic" w:cs="Simplified Arabic"/>
          <w:color w:val="000000" w:themeColor="text1"/>
          <w:kern w:val="0"/>
          <w:sz w:val="28"/>
          <w:szCs w:val="28"/>
          <w14:ligatures w14:val="none"/>
        </w:rPr>
        <w:t xml:space="preserve"> (Hull &amp; Machinery) </w:t>
      </w:r>
      <w:r w:rsidRPr="00C330FB">
        <w:rPr>
          <w:rFonts w:ascii="Simplified Arabic" w:eastAsia="Times New Roman" w:hAnsi="Simplified Arabic" w:cs="Simplified Arabic"/>
          <w:color w:val="000000" w:themeColor="text1"/>
          <w:kern w:val="0"/>
          <w:sz w:val="28"/>
          <w:szCs w:val="28"/>
          <w:rtl/>
          <w14:ligatures w14:val="none"/>
        </w:rPr>
        <w:t xml:space="preserve">للسفن التجارية العابرة للمحيط الهادئ الشمالي، وتقييم مدى تحسين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عالية الدقة لنماذج التنبؤ بالمخاطر البحرية. استخدمت الدراسة المنهج الكمي التحليلي باستخدام نموذجين للتعلم الآلي: الانحدار اللوجستي مع تنظيم</w:t>
      </w:r>
      <w:r w:rsidRPr="00C330FB">
        <w:rPr>
          <w:rFonts w:ascii="Simplified Arabic" w:eastAsia="Times New Roman" w:hAnsi="Simplified Arabic" w:cs="Simplified Arabic"/>
          <w:color w:val="000000" w:themeColor="text1"/>
          <w:kern w:val="0"/>
          <w:sz w:val="28"/>
          <w:szCs w:val="28"/>
          <w14:ligatures w14:val="none"/>
        </w:rPr>
        <w:t xml:space="preserve"> LASSO </w:t>
      </w:r>
      <w:r w:rsidRPr="00C330FB">
        <w:rPr>
          <w:rFonts w:ascii="Simplified Arabic" w:eastAsia="Times New Roman" w:hAnsi="Simplified Arabic" w:cs="Simplified Arabic"/>
          <w:color w:val="000000" w:themeColor="text1"/>
          <w:kern w:val="0"/>
          <w:sz w:val="28"/>
          <w:szCs w:val="28"/>
          <w:rtl/>
          <w14:ligatures w14:val="none"/>
        </w:rPr>
        <w:t>وخوارزمية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XGBoost</w:t>
      </w:r>
      <w:proofErr w:type="spellEnd"/>
      <w:r w:rsidRPr="00C330FB">
        <w:rPr>
          <w:rFonts w:ascii="Simplified Arabic" w:eastAsia="Times New Roman" w:hAnsi="Simplified Arabic" w:cs="Simplified Arabic"/>
          <w:color w:val="000000" w:themeColor="text1"/>
          <w:kern w:val="0"/>
          <w:sz w:val="28"/>
          <w:szCs w:val="28"/>
          <w:rtl/>
          <w14:ligatures w14:val="none"/>
        </w:rPr>
        <w:t>، مع إطار</w:t>
      </w:r>
      <w:r w:rsidRPr="00C330FB">
        <w:rPr>
          <w:rFonts w:ascii="Simplified Arabic" w:eastAsia="Times New Roman" w:hAnsi="Simplified Arabic" w:cs="Simplified Arabic"/>
          <w:color w:val="000000" w:themeColor="text1"/>
          <w:kern w:val="0"/>
          <w:sz w:val="28"/>
          <w:szCs w:val="28"/>
          <w14:ligatures w14:val="none"/>
        </w:rPr>
        <w:t xml:space="preserve"> SHAP </w:t>
      </w:r>
      <w:r w:rsidRPr="00C330FB">
        <w:rPr>
          <w:rFonts w:ascii="Simplified Arabic" w:eastAsia="Times New Roman" w:hAnsi="Simplified Arabic" w:cs="Simplified Arabic"/>
          <w:color w:val="000000" w:themeColor="text1"/>
          <w:kern w:val="0"/>
          <w:sz w:val="28"/>
          <w:szCs w:val="28"/>
          <w:rtl/>
          <w14:ligatures w14:val="none"/>
        </w:rPr>
        <w:t>لتفسير النتائج. تكونت العينة من</w:t>
      </w:r>
      <w:r w:rsidRPr="00C330FB">
        <w:rPr>
          <w:rFonts w:ascii="Simplified Arabic" w:eastAsia="Times New Roman" w:hAnsi="Simplified Arabic" w:cs="Simplified Arabic"/>
          <w:color w:val="000000" w:themeColor="text1"/>
          <w:kern w:val="0"/>
          <w:sz w:val="28"/>
          <w:szCs w:val="28"/>
          <w14:ligatures w14:val="none"/>
        </w:rPr>
        <w:t xml:space="preserve"> (41,717) </w:t>
      </w:r>
      <w:r w:rsidRPr="00C330FB">
        <w:rPr>
          <w:rFonts w:ascii="Simplified Arabic" w:eastAsia="Times New Roman" w:hAnsi="Simplified Arabic" w:cs="Simplified Arabic"/>
          <w:color w:val="000000" w:themeColor="text1"/>
          <w:kern w:val="0"/>
          <w:sz w:val="28"/>
          <w:szCs w:val="28"/>
          <w:rtl/>
          <w14:ligatures w14:val="none"/>
        </w:rPr>
        <w:t>رحلة بحرية لأكثر من (5,632) سفينة فريدة، تم دمج مواقعها عبر نظام</w:t>
      </w:r>
      <w:r w:rsidRPr="00C330FB">
        <w:rPr>
          <w:rFonts w:ascii="Simplified Arabic" w:eastAsia="Times New Roman" w:hAnsi="Simplified Arabic" w:cs="Simplified Arabic"/>
          <w:color w:val="000000" w:themeColor="text1"/>
          <w:kern w:val="0"/>
          <w:sz w:val="28"/>
          <w:szCs w:val="28"/>
          <w14:ligatures w14:val="none"/>
        </w:rPr>
        <w:t xml:space="preserve"> AIS </w:t>
      </w:r>
      <w:r w:rsidRPr="00C330FB">
        <w:rPr>
          <w:rFonts w:ascii="Simplified Arabic" w:eastAsia="Times New Roman" w:hAnsi="Simplified Arabic" w:cs="Simplified Arabic"/>
          <w:color w:val="000000" w:themeColor="text1"/>
          <w:kern w:val="0"/>
          <w:sz w:val="28"/>
          <w:szCs w:val="28"/>
          <w:rtl/>
          <w14:ligatures w14:val="none"/>
        </w:rPr>
        <w:t>(نحو 600 مليون موقع) مع بيانات الطقس الساعية من قاعدة</w:t>
      </w:r>
      <w:r w:rsidRPr="00C330FB">
        <w:rPr>
          <w:rFonts w:ascii="Simplified Arabic" w:eastAsia="Times New Roman" w:hAnsi="Simplified Arabic" w:cs="Simplified Arabic"/>
          <w:color w:val="000000" w:themeColor="text1"/>
          <w:kern w:val="0"/>
          <w:sz w:val="28"/>
          <w:szCs w:val="28"/>
          <w14:ligatures w14:val="none"/>
        </w:rPr>
        <w:t xml:space="preserve"> ERA5 </w:t>
      </w:r>
      <w:r w:rsidRPr="00C330FB">
        <w:rPr>
          <w:rFonts w:ascii="Simplified Arabic" w:eastAsia="Times New Roman" w:hAnsi="Simplified Arabic" w:cs="Simplified Arabic"/>
          <w:color w:val="000000" w:themeColor="text1"/>
          <w:kern w:val="0"/>
          <w:sz w:val="28"/>
          <w:szCs w:val="28"/>
          <w:rtl/>
          <w14:ligatures w14:val="none"/>
        </w:rPr>
        <w:t xml:space="preserve">لمشروع كوبرنيكوس الأوروبي، خلال الفترة من يناير 2013 إلى أغسطس 2019. بلغ عدد المطالبات التأمينية 86 حالة فقط بنسبة 0.206% مما يعكس ندرة شديدة في البيانات. وتوصلت النتائج إلى أن إضافة المتغيرات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حسّنت مقياس </w:t>
      </w:r>
      <w:r w:rsidRPr="00C330FB">
        <w:rPr>
          <w:rFonts w:ascii="Simplified Arabic" w:eastAsia="Times New Roman" w:hAnsi="Simplified Arabic" w:cs="Simplified Arabic"/>
          <w:color w:val="000000" w:themeColor="text1"/>
          <w:kern w:val="0"/>
          <w:sz w:val="28"/>
          <w:szCs w:val="28"/>
          <w14:ligatures w14:val="none"/>
        </w:rPr>
        <w:t xml:space="preserve">AUROC </w:t>
      </w:r>
      <w:r w:rsidRPr="00C330FB">
        <w:rPr>
          <w:rFonts w:ascii="Simplified Arabic" w:eastAsia="Times New Roman" w:hAnsi="Simplified Arabic" w:cs="Simplified Arabic"/>
          <w:color w:val="000000" w:themeColor="text1"/>
          <w:kern w:val="0"/>
          <w:sz w:val="28"/>
          <w:szCs w:val="28"/>
          <w:rtl/>
          <w14:ligatures w14:val="none"/>
        </w:rPr>
        <w:t xml:space="preserve">من 0.666 إلى 0.716 في الانحدار اللوجستي (بتحسن 7.5%) ومن 0.592 إلى </w:t>
      </w:r>
      <w:r w:rsidRPr="00C330FB">
        <w:rPr>
          <w:rFonts w:ascii="Simplified Arabic" w:eastAsia="Times New Roman" w:hAnsi="Simplified Arabic" w:cs="Simplified Arabic"/>
          <w:color w:val="000000" w:themeColor="text1"/>
          <w:kern w:val="0"/>
          <w:sz w:val="28"/>
          <w:szCs w:val="28"/>
          <w14:ligatures w14:val="none"/>
        </w:rPr>
        <w:t xml:space="preserve">0.696 </w:t>
      </w:r>
      <w:r w:rsidRPr="00C330FB">
        <w:rPr>
          <w:rFonts w:ascii="Simplified Arabic" w:eastAsia="Times New Roman" w:hAnsi="Simplified Arabic" w:cs="Simplified Arabic"/>
          <w:color w:val="000000" w:themeColor="text1"/>
          <w:kern w:val="0"/>
          <w:sz w:val="28"/>
          <w:szCs w:val="28"/>
          <w:rtl/>
          <w14:ligatures w14:val="none"/>
        </w:rPr>
        <w:t>في</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XGBoost</w:t>
      </w:r>
      <w:proofErr w:type="spellEnd"/>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(بتحسن 17.6%). وكشف تحليل</w:t>
      </w:r>
      <w:r w:rsidRPr="00C330FB">
        <w:rPr>
          <w:rFonts w:ascii="Simplified Arabic" w:eastAsia="Times New Roman" w:hAnsi="Simplified Arabic" w:cs="Simplified Arabic"/>
          <w:color w:val="000000" w:themeColor="text1"/>
          <w:kern w:val="0"/>
          <w:sz w:val="28"/>
          <w:szCs w:val="28"/>
          <w14:ligatures w14:val="none"/>
        </w:rPr>
        <w:t xml:space="preserve"> SHAP </w:t>
      </w:r>
      <w:r w:rsidRPr="00C330FB">
        <w:rPr>
          <w:rFonts w:ascii="Simplified Arabic" w:eastAsia="Times New Roman" w:hAnsi="Simplified Arabic" w:cs="Simplified Arabic"/>
          <w:color w:val="000000" w:themeColor="text1"/>
          <w:kern w:val="0"/>
          <w:sz w:val="28"/>
          <w:szCs w:val="28"/>
          <w:rtl/>
          <w14:ligatures w14:val="none"/>
        </w:rPr>
        <w:t xml:space="preserve">أن أقصى سرعة رياح وضغط السطح واتجاه الرياح بالنسبة لمقدمة السفينة وارتفاع الموج المعنوي هي العوامل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الأكثر تأثيراً في التنبؤ بالمطالبات. وأوصت الدراسة بتطوير نموذج تأمين بحري قائم على الاستخدام</w:t>
      </w:r>
      <w:r w:rsidRPr="00C330FB">
        <w:rPr>
          <w:rFonts w:ascii="Simplified Arabic" w:eastAsia="Times New Roman" w:hAnsi="Simplified Arabic" w:cs="Simplified Arabic"/>
          <w:color w:val="000000" w:themeColor="text1"/>
          <w:kern w:val="0"/>
          <w:sz w:val="28"/>
          <w:szCs w:val="28"/>
          <w14:ligatures w14:val="none"/>
        </w:rPr>
        <w:t xml:space="preserve"> (Usage-Based Insurance) </w:t>
      </w:r>
      <w:r w:rsidRPr="00C330FB">
        <w:rPr>
          <w:rFonts w:ascii="Simplified Arabic" w:eastAsia="Times New Roman" w:hAnsi="Simplified Arabic" w:cs="Simplified Arabic"/>
          <w:color w:val="000000" w:themeColor="text1"/>
          <w:kern w:val="0"/>
          <w:sz w:val="28"/>
          <w:szCs w:val="28"/>
          <w:rtl/>
          <w14:ligatures w14:val="none"/>
        </w:rPr>
        <w:t xml:space="preserve">يربط أقساط التأمين بسلوك الإبحار الفعلي والتعرض للظروف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14:ligatures w14:val="none"/>
        </w:rPr>
        <w:t>.</w:t>
      </w:r>
    </w:p>
    <w:p w14:paraId="5226DF75"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Potter</w:t>
      </w:r>
      <w:r w:rsidR="002322E4" w:rsidRPr="00C330F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322E4" w:rsidRPr="00C330FB">
        <w:rPr>
          <w:rFonts w:ascii="Simplified Arabic" w:eastAsia="Times New Roman" w:hAnsi="Simplified Arabic" w:cs="Simplified Arabic"/>
          <w:b/>
          <w:bCs/>
          <w:color w:val="000000" w:themeColor="text1"/>
          <w:kern w:val="0"/>
          <w:sz w:val="28"/>
          <w:szCs w:val="28"/>
          <w14:ligatures w14:val="none"/>
        </w:rPr>
        <w:t>etal</w:t>
      </w:r>
      <w:proofErr w:type="spellEnd"/>
      <w:r w:rsidR="002322E4" w:rsidRPr="00C330FB">
        <w:rPr>
          <w:rFonts w:ascii="Simplified Arabic" w:eastAsia="Times New Roman" w:hAnsi="Simplified Arabic" w:cs="Simplified Arabic"/>
          <w:b/>
          <w:bCs/>
          <w:color w:val="000000" w:themeColor="text1"/>
          <w:kern w:val="0"/>
          <w:sz w:val="28"/>
          <w:szCs w:val="28"/>
          <w14:ligatures w14:val="none"/>
        </w:rPr>
        <w:t>.,</w:t>
      </w:r>
      <w:r w:rsidRPr="00C330FB">
        <w:rPr>
          <w:rFonts w:ascii="Simplified Arabic" w:eastAsia="Times New Roman" w:hAnsi="Simplified Arabic" w:cs="Simplified Arabic"/>
          <w:b/>
          <w:bCs/>
          <w:color w:val="000000" w:themeColor="text1"/>
          <w:kern w:val="0"/>
          <w:sz w:val="28"/>
          <w:szCs w:val="28"/>
          <w14:ligatures w14:val="none"/>
        </w:rPr>
        <w:t xml:space="preserve"> (2021): "The benefits and challenges of implementing impact-based severe weather warning systems." </w:t>
      </w:r>
    </w:p>
    <w:p w14:paraId="3239061C" w14:textId="385764F8"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الفوائد والتحديات المؤسسية لتنفيذ أنظمة التحذير من الطقس القاسي المبنية على الأثر </w:t>
      </w:r>
      <w:r w:rsidRPr="00C330FB">
        <w:rPr>
          <w:rFonts w:ascii="Simplified Arabic" w:eastAsia="Times New Roman" w:hAnsi="Simplified Arabic" w:cs="Simplified Arabic"/>
          <w:color w:val="000000" w:themeColor="text1"/>
          <w:kern w:val="0"/>
          <w:sz w:val="28"/>
          <w:szCs w:val="28"/>
          <w14:ligatures w14:val="none"/>
        </w:rPr>
        <w:t xml:space="preserve">(Impact-Based Forecast and Warning - IBFW) </w:t>
      </w:r>
      <w:r w:rsidRPr="00C330FB">
        <w:rPr>
          <w:rFonts w:ascii="Simplified Arabic" w:eastAsia="Times New Roman" w:hAnsi="Simplified Arabic" w:cs="Simplified Arabic"/>
          <w:color w:val="000000" w:themeColor="text1"/>
          <w:kern w:val="0"/>
          <w:sz w:val="28"/>
          <w:szCs w:val="28"/>
          <w:rtl/>
          <w14:ligatures w14:val="none"/>
        </w:rPr>
        <w:t xml:space="preserve">من وجهة نظر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الأرصاديين</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والهيدرولوجيين ومديري الطوارئ، بدلاً من أنظمة التحذير التقليدية المبنية على عتبات الظاهرة الجوية فقط. استخدمت الدراسة المنهج النوعي الاستكشافي القائم على المقابلات شبه المنظمة وورش العمل </w:t>
      </w:r>
      <w:r w:rsidRPr="00C330FB">
        <w:rPr>
          <w:rFonts w:ascii="Simplified Arabic" w:eastAsia="Times New Roman" w:hAnsi="Simplified Arabic" w:cs="Simplified Arabic"/>
          <w:color w:val="000000" w:themeColor="text1"/>
          <w:kern w:val="0"/>
          <w:sz w:val="28"/>
          <w:szCs w:val="28"/>
          <w:rtl/>
          <w14:ligatures w14:val="none"/>
        </w:rPr>
        <w:lastRenderedPageBreak/>
        <w:t>والتحليل الموضوعي</w:t>
      </w:r>
      <w:r w:rsidRPr="00C330FB">
        <w:rPr>
          <w:rFonts w:ascii="Simplified Arabic" w:eastAsia="Times New Roman" w:hAnsi="Simplified Arabic" w:cs="Simplified Arabic"/>
          <w:color w:val="000000" w:themeColor="text1"/>
          <w:kern w:val="0"/>
          <w:sz w:val="28"/>
          <w:szCs w:val="28"/>
          <w14:ligatures w14:val="none"/>
        </w:rPr>
        <w:t xml:space="preserve"> (Thematic Analysis) </w:t>
      </w:r>
      <w:r w:rsidRPr="00C330FB">
        <w:rPr>
          <w:rFonts w:ascii="Simplified Arabic" w:eastAsia="Times New Roman" w:hAnsi="Simplified Arabic" w:cs="Simplified Arabic"/>
          <w:color w:val="000000" w:themeColor="text1"/>
          <w:kern w:val="0"/>
          <w:sz w:val="28"/>
          <w:szCs w:val="28"/>
          <w:rtl/>
          <w14:ligatures w14:val="none"/>
        </w:rPr>
        <w:t>باستخدام برنامج</w:t>
      </w:r>
      <w:r w:rsidRPr="00C330FB">
        <w:rPr>
          <w:rFonts w:ascii="Simplified Arabic" w:eastAsia="Times New Roman" w:hAnsi="Simplified Arabic" w:cs="Simplified Arabic"/>
          <w:color w:val="000000" w:themeColor="text1"/>
          <w:kern w:val="0"/>
          <w:sz w:val="28"/>
          <w:szCs w:val="28"/>
          <w14:ligatures w14:val="none"/>
        </w:rPr>
        <w:t xml:space="preserve"> NVivo 10. </w:t>
      </w:r>
      <w:r w:rsidRPr="00C330FB">
        <w:rPr>
          <w:rFonts w:ascii="Simplified Arabic" w:eastAsia="Times New Roman" w:hAnsi="Simplified Arabic" w:cs="Simplified Arabic"/>
          <w:color w:val="000000" w:themeColor="text1"/>
          <w:kern w:val="0"/>
          <w:sz w:val="28"/>
          <w:szCs w:val="28"/>
          <w:rtl/>
          <w14:ligatures w14:val="none"/>
        </w:rPr>
        <w:t>تكونت العينة من مرحلتين: الأولى (6</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مقابلات مع (9) خبراء في المملكة المتحدة وفرنسا وسويسرا خلال ديسمبر 2014 ويناير 2015، والثانية (3) ورش عمل في نيوزيلندا بين أبريل وأغسطس 2015 شارك فيها (58) مشاركاً (40 هيدرولوجياً من جميع هيئات التحذير من الفيضانات، و9 مديري طوارئ مدنية، و9 </w:t>
      </w:r>
      <w:proofErr w:type="spellStart"/>
      <w:r w:rsidRPr="00C330FB">
        <w:rPr>
          <w:rFonts w:ascii="Simplified Arabic" w:eastAsia="Times New Roman" w:hAnsi="Simplified Arabic" w:cs="Simplified Arabic"/>
          <w:color w:val="000000" w:themeColor="text1"/>
          <w:kern w:val="0"/>
          <w:sz w:val="28"/>
          <w:szCs w:val="28"/>
          <w:rtl/>
          <w14:ligatures w14:val="none"/>
        </w:rPr>
        <w:t>أرصاديين</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من</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MetService</w:t>
      </w:r>
      <w:proofErr w:type="spellEnd"/>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وتوصلت النتائج إلى أربع فوائد رئيسية: تحسين فهم الجمهور للتحذيرات من خلال إضافة سياق الأثر المتوقع، زيادة وعي المنبئين بالظروف السابقة والأخطار المتسلسلة، تقليل الإنذارات الكاذبة والأحداث المفقودة عبر عتبات مبنية على الأثر المحلي، وتعزيز التواصل بين الجهات المعنية. بينما شملت التحديات</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صعوبة تحديد ما إذا كان النظام مصمماً للفرد أم المجتمع ككل، إشكالية التحقق من دقة التحذيرات المبنية على الأثر عندما تنجح في تقليل الأضرار، نقص بيانات الأثر وقواعد البيانات المنظمة، وعدم وضوح الأدوار والمسؤوليات بين الهيئات. وأوصت بإنشاء قواعد بيانات وطنية للأثر وتعزيز الشراكة بين هيئات الأرصاد والطوارئ والهيدرولوجيا</w:t>
      </w:r>
      <w:r w:rsidRPr="00C330FB">
        <w:rPr>
          <w:rFonts w:ascii="Simplified Arabic" w:eastAsia="Times New Roman" w:hAnsi="Simplified Arabic" w:cs="Simplified Arabic"/>
          <w:color w:val="000000" w:themeColor="text1"/>
          <w:kern w:val="0"/>
          <w:sz w:val="28"/>
          <w:szCs w:val="28"/>
          <w14:ligatures w14:val="none"/>
        </w:rPr>
        <w:t>.</w:t>
      </w:r>
    </w:p>
    <w:p w14:paraId="154C6873" w14:textId="77777777" w:rsidR="005F3EA8" w:rsidRPr="00C330FB" w:rsidRDefault="005F3EA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Zhang, Li &amp; Wang (2022): "Meteorological risk assessment of major activities based on risk matrix." </w:t>
      </w:r>
    </w:p>
    <w:p w14:paraId="3DFF3F2F" w14:textId="2F4FC69D" w:rsidR="005F3EA8" w:rsidRPr="00C330FB" w:rsidRDefault="005F3EA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منهجية موحدة لتقييم المخاطر الارصاد المرتبطة بالأنشطة والفعاليات الكبرى باستخدام أسلوب مصفوفة المخاطر</w:t>
      </w:r>
      <w:r w:rsidRPr="00C330FB">
        <w:rPr>
          <w:rFonts w:ascii="Simplified Arabic" w:eastAsia="Times New Roman" w:hAnsi="Simplified Arabic" w:cs="Simplified Arabic"/>
          <w:color w:val="000000" w:themeColor="text1"/>
          <w:kern w:val="0"/>
          <w:sz w:val="28"/>
          <w:szCs w:val="28"/>
          <w14:ligatures w14:val="none"/>
        </w:rPr>
        <w:t xml:space="preserve"> (Risk Matrix) </w:t>
      </w:r>
      <w:r w:rsidRPr="00C330FB">
        <w:rPr>
          <w:rFonts w:ascii="Simplified Arabic" w:eastAsia="Times New Roman" w:hAnsi="Simplified Arabic" w:cs="Simplified Arabic"/>
          <w:color w:val="000000" w:themeColor="text1"/>
          <w:kern w:val="0"/>
          <w:sz w:val="28"/>
          <w:szCs w:val="28"/>
          <w:rtl/>
          <w14:ligatures w14:val="none"/>
        </w:rPr>
        <w:t xml:space="preserve">الذي يجمع بين بُعدي احتمالية حدوث الظاهرة الارصاد الخطرة ومستوى شدة تأثيرها على الفعالية. استخدمت الدراسة المنهج الكمي التحليلي القائم على تحليل البيانات الارصاد التاريخية وبناء مصفوفة خماسية الأبعاد تصنف المخاطر من منخفضة جداً إلى عالية جداً. لم تعتمد الدراسة على عينة بشرية بل على 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تاريخية لمنطقة الدراسة مرتبطة بفترات إقامة الأنشطة الكبرى. وتوصلت النتائج إلى أن المخاطر الارصاد الرئيسية أثناء الأنشطة الكبرى تمثلت في: هطول الأمطار أو الأيام الغائمة في المرتبة الأولى، ثم الرياح القوية النهارية، يليها الضباب والعوائق البصرية، ثم الرياح القوية الليلية، وأن أسلوب مصفوفة المخاطر يوفر إطاراً معيارياً كفؤاً وقابلاً للتكرار يُمكّن من ترتيب أولويات المخاطر وتخصيص الموارد الوقائية بناءً على مستوى الخطورة. وأوصت الدراسة بتعميم تطبيق هذه المنهجية لتوحيد عمليات تقييم المخاطر الارصاد في التخطيط للمشاريع والفعاليات الكبرى على المستوى الوطني، وتطوير معايير تصنيف الأثر بحسب طبيعة النشاط وموقعه الجغرافي</w:t>
      </w:r>
      <w:r w:rsidRPr="00C330FB">
        <w:rPr>
          <w:rFonts w:ascii="Simplified Arabic" w:eastAsia="Times New Roman" w:hAnsi="Simplified Arabic" w:cs="Simplified Arabic"/>
          <w:color w:val="000000" w:themeColor="text1"/>
          <w:kern w:val="0"/>
          <w:sz w:val="28"/>
          <w:szCs w:val="28"/>
          <w14:ligatures w14:val="none"/>
        </w:rPr>
        <w:t>.</w:t>
      </w:r>
    </w:p>
    <w:p w14:paraId="22834FC7"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lastRenderedPageBreak/>
        <w:t>دراسة</w:t>
      </w:r>
      <w:r w:rsidRPr="00C330FB">
        <w:rPr>
          <w:rFonts w:ascii="Simplified Arabic" w:eastAsia="Times New Roman" w:hAnsi="Simplified Arabic" w:cs="Simplified Arabic"/>
          <w:b/>
          <w:bCs/>
          <w:color w:val="000000" w:themeColor="text1"/>
          <w:kern w:val="0"/>
          <w:sz w:val="28"/>
          <w:szCs w:val="28"/>
          <w14:ligatures w14:val="none"/>
        </w:rPr>
        <w:t xml:space="preserve"> Parisse et al. (2024): "</w:t>
      </w:r>
      <w:proofErr w:type="spellStart"/>
      <w:r w:rsidRPr="00C330FB">
        <w:rPr>
          <w:rFonts w:ascii="Simplified Arabic" w:eastAsia="Times New Roman" w:hAnsi="Simplified Arabic" w:cs="Simplified Arabic"/>
          <w:b/>
          <w:bCs/>
          <w:color w:val="000000" w:themeColor="text1"/>
          <w:kern w:val="0"/>
          <w:sz w:val="28"/>
          <w:szCs w:val="28"/>
          <w14:ligatures w14:val="none"/>
        </w:rPr>
        <w:t>Agro</w:t>
      </w:r>
      <w:proofErr w:type="spellEnd"/>
      <w:r w:rsidRPr="00C330FB">
        <w:rPr>
          <w:rFonts w:ascii="Simplified Arabic" w:eastAsia="Times New Roman" w:hAnsi="Simplified Arabic" w:cs="Simplified Arabic"/>
          <w:b/>
          <w:bCs/>
          <w:color w:val="000000" w:themeColor="text1"/>
          <w:kern w:val="0"/>
          <w:sz w:val="28"/>
          <w:szCs w:val="28"/>
          <w14:ligatures w14:val="none"/>
        </w:rPr>
        <w:t xml:space="preserve">-meteorological hazard analysis for risk management in Campania, Italy." </w:t>
      </w:r>
    </w:p>
    <w:p w14:paraId="78856A6B" w14:textId="2298377F"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حدوث واتجاهات وأنماط التوزيع المكاني للأحداث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المتطرفة ذات الأثر الزراعي في إقليم كامبانيا بجنوب إيطاليا، وتقييم مدى ملاءمة سياسات إدارة المخاطر الحالية (المعتمدة شبه حصرياً على التأمين كاستراتيجية لنقل المخاطر) في ضوء التغيرات المناخية المتسارعة. استخدمت الدراسة المنهج الكمي التحليلي بتطبيق مؤشرات </w:t>
      </w:r>
      <w:proofErr w:type="spellStart"/>
      <w:r w:rsidRPr="00C330FB">
        <w:rPr>
          <w:rFonts w:ascii="Simplified Arabic" w:eastAsia="Times New Roman" w:hAnsi="Simplified Arabic" w:cs="Simplified Arabic"/>
          <w:color w:val="000000" w:themeColor="text1"/>
          <w:kern w:val="0"/>
          <w:sz w:val="28"/>
          <w:szCs w:val="28"/>
          <w:rtl/>
          <w14:ligatures w14:val="none"/>
        </w:rPr>
        <w:t>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زراعية متخصصة (مؤشرات الأمطار الغزيرة، الجفاف الشديد، الحرارة القصوى، الصقيع المتأخر) على بيانات إعادة التحليل المناخية</w:t>
      </w:r>
      <w:r w:rsidRPr="00C330FB">
        <w:rPr>
          <w:rFonts w:ascii="Simplified Arabic" w:eastAsia="Times New Roman" w:hAnsi="Simplified Arabic" w:cs="Simplified Arabic"/>
          <w:color w:val="000000" w:themeColor="text1"/>
          <w:kern w:val="0"/>
          <w:sz w:val="28"/>
          <w:szCs w:val="28"/>
          <w14:ligatures w14:val="none"/>
        </w:rPr>
        <w:t xml:space="preserve"> (reanalysis datasets) </w:t>
      </w:r>
      <w:r w:rsidRPr="00C330FB">
        <w:rPr>
          <w:rFonts w:ascii="Simplified Arabic" w:eastAsia="Times New Roman" w:hAnsi="Simplified Arabic" w:cs="Simplified Arabic"/>
          <w:color w:val="000000" w:themeColor="text1"/>
          <w:kern w:val="0"/>
          <w:sz w:val="28"/>
          <w:szCs w:val="28"/>
          <w:rtl/>
          <w14:ligatures w14:val="none"/>
        </w:rPr>
        <w:t xml:space="preserve">للفترة الممتدة من 1981 إلى 2021. لم تعتمد الدراسة على عينة بشرية بل على بيانات مناخية مكانية زمنية مُجمَّعة على مستوى خمس مقاطعات إدارية </w:t>
      </w:r>
      <w:r w:rsidRPr="00C330FB">
        <w:rPr>
          <w:rFonts w:ascii="Simplified Arabic" w:eastAsia="Times New Roman" w:hAnsi="Simplified Arabic" w:cs="Simplified Arabic"/>
          <w:color w:val="000000" w:themeColor="text1"/>
          <w:kern w:val="0"/>
          <w:sz w:val="28"/>
          <w:szCs w:val="28"/>
          <w14:ligatures w14:val="none"/>
        </w:rPr>
        <w:t xml:space="preserve">(Avellino, Benevento, Caserta, Naples, Salerno). </w:t>
      </w:r>
      <w:r w:rsidRPr="00C330FB">
        <w:rPr>
          <w:rFonts w:ascii="Simplified Arabic" w:eastAsia="Times New Roman" w:hAnsi="Simplified Arabic" w:cs="Simplified Arabic"/>
          <w:color w:val="000000" w:themeColor="text1"/>
          <w:kern w:val="0"/>
          <w:sz w:val="28"/>
          <w:szCs w:val="28"/>
          <w:rtl/>
          <w14:ligatures w14:val="none"/>
        </w:rPr>
        <w:t>وتوصلت النتائج إلى تكثيف عام في الظواهر المتطرفة تكراراً وشدة خلال العقود الأخيرة: تجاوزت معدلات نمو الأمطار الغزيرة المسببة للفيضانات 3–4 مم/سنة محلياً، وازداد عدد أشهر الجفاف الشديد والقاسي خاصة خلال موسم النمو، وتجاوزت نسبة أيام درجات الحرارة القصوى (فوق 35 درجة مئوية) أو اقتربت من 50% بين يونيو وسبتمبر في معظم المناطق، بينما لم تُكتشف اتجاهات معنوية للصقيع المتأخر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وأوصت الدراسة بأن بعض الظواهر المتطرفة لم تعد استثنائية وبالتالي لم تعد مناسبة لاستراتيجية التأمين وحدها، ودعت إلى تحسين تصميم سياسات إدارة المخاطر بما يعزز مرونة المزارع والتكيف مع تغير المناخ وتنويع أدوات الحماية</w:t>
      </w:r>
      <w:r w:rsidRPr="00C330FB">
        <w:rPr>
          <w:rFonts w:ascii="Simplified Arabic" w:eastAsia="Times New Roman" w:hAnsi="Simplified Arabic" w:cs="Simplified Arabic"/>
          <w:color w:val="000000" w:themeColor="text1"/>
          <w:kern w:val="0"/>
          <w:sz w:val="28"/>
          <w:szCs w:val="28"/>
          <w14:ligatures w14:val="none"/>
        </w:rPr>
        <w:t>.</w:t>
      </w:r>
    </w:p>
    <w:p w14:paraId="33F8E76D"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Deng et al. (2025): "Deep learning-based meteorological forecast and dynamic risk assessment for built cultural heritage." </w:t>
      </w:r>
    </w:p>
    <w:p w14:paraId="760616E9" w14:textId="6ED31650"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كيفية استخدام نماذج التعلم العميق</w:t>
      </w:r>
      <w:r w:rsidRPr="00C330FB">
        <w:rPr>
          <w:rFonts w:ascii="Simplified Arabic" w:eastAsia="Times New Roman" w:hAnsi="Simplified Arabic" w:cs="Simplified Arabic"/>
          <w:color w:val="000000" w:themeColor="text1"/>
          <w:kern w:val="0"/>
          <w:sz w:val="28"/>
          <w:szCs w:val="28"/>
          <w14:ligatures w14:val="none"/>
        </w:rPr>
        <w:t xml:space="preserve"> (LSTM - Long Short-Term Memory) </w:t>
      </w:r>
      <w:r w:rsidRPr="00C330FB">
        <w:rPr>
          <w:rFonts w:ascii="Simplified Arabic" w:eastAsia="Times New Roman" w:hAnsi="Simplified Arabic" w:cs="Simplified Arabic"/>
          <w:color w:val="000000" w:themeColor="text1"/>
          <w:kern w:val="0"/>
          <w:sz w:val="28"/>
          <w:szCs w:val="28"/>
          <w:rtl/>
          <w14:ligatures w14:val="none"/>
        </w:rPr>
        <w:t xml:space="preserve">في التنبؤ بالعوامل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الرئيسية (درجة الحرارة، الرطوبة، هطول الأمطار، سرعة الرياح) وبناء نظام تقييم ديناميكي للمخاطر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على مباني التراث الثقافي المبني، بدلاً من التقييمات الثابتة التقليدية التي لا تراعي التغيرات الزمنية. استخدمت الدراسة المنهج الكمي التجريبي بتطوير إطار ثلاثي المكونات يجمع بين: التنبؤ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بنماذج</w:t>
      </w:r>
      <w:r w:rsidRPr="00C330FB">
        <w:rPr>
          <w:rFonts w:ascii="Simplified Arabic" w:eastAsia="Times New Roman" w:hAnsi="Simplified Arabic" w:cs="Simplified Arabic"/>
          <w:color w:val="000000" w:themeColor="text1"/>
          <w:kern w:val="0"/>
          <w:sz w:val="28"/>
          <w:szCs w:val="28"/>
          <w14:ligatures w14:val="none"/>
        </w:rPr>
        <w:t xml:space="preserve"> LSTM</w:t>
      </w:r>
      <w:r w:rsidRPr="00C330FB">
        <w:rPr>
          <w:rFonts w:ascii="Simplified Arabic" w:eastAsia="Times New Roman" w:hAnsi="Simplified Arabic" w:cs="Simplified Arabic"/>
          <w:color w:val="000000" w:themeColor="text1"/>
          <w:kern w:val="0"/>
          <w:sz w:val="28"/>
          <w:szCs w:val="28"/>
          <w:rtl/>
          <w14:ligatures w14:val="none"/>
        </w:rPr>
        <w:t xml:space="preserve">، وتقييم هشاشة المباني التراثية، وتحليل التعرض. لم يُذكر حجم عينة بشرية بل استُخدمت 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تاريخية لمواقع تراثية. وتوصلت النتائج إلى أن نماذج</w:t>
      </w:r>
      <w:r w:rsidRPr="00C330FB">
        <w:rPr>
          <w:rFonts w:ascii="Simplified Arabic" w:eastAsia="Times New Roman" w:hAnsi="Simplified Arabic" w:cs="Simplified Arabic"/>
          <w:color w:val="000000" w:themeColor="text1"/>
          <w:kern w:val="0"/>
          <w:sz w:val="28"/>
          <w:szCs w:val="28"/>
          <w14:ligatures w14:val="none"/>
        </w:rPr>
        <w:t xml:space="preserve"> LSTM </w:t>
      </w:r>
      <w:r w:rsidRPr="00C330FB">
        <w:rPr>
          <w:rFonts w:ascii="Simplified Arabic" w:eastAsia="Times New Roman" w:hAnsi="Simplified Arabic" w:cs="Simplified Arabic"/>
          <w:color w:val="000000" w:themeColor="text1"/>
          <w:kern w:val="0"/>
          <w:sz w:val="28"/>
          <w:szCs w:val="28"/>
          <w:rtl/>
          <w14:ligatures w14:val="none"/>
        </w:rPr>
        <w:t xml:space="preserve">تتفوق بشكل واضح على النماذج الإحصائية التقليدية في دقة التنبؤ بجميع المتغيرات </w:t>
      </w:r>
      <w:r w:rsidR="001C398F" w:rsidRPr="00C330FB">
        <w:rPr>
          <w:rFonts w:ascii="Simplified Arabic" w:eastAsia="Times New Roman" w:hAnsi="Simplified Arabic" w:cs="Simplified Arabic"/>
          <w:color w:val="000000" w:themeColor="text1"/>
          <w:kern w:val="0"/>
          <w:sz w:val="28"/>
          <w:szCs w:val="28"/>
          <w:rtl/>
          <w14:ligatures w14:val="none"/>
        </w:rPr>
        <w:lastRenderedPageBreak/>
        <w:t>الارصاد</w:t>
      </w:r>
      <w:r w:rsidRPr="00C330FB">
        <w:rPr>
          <w:rFonts w:ascii="Simplified Arabic" w:eastAsia="Times New Roman" w:hAnsi="Simplified Arabic" w:cs="Simplified Arabic"/>
          <w:color w:val="000000" w:themeColor="text1"/>
          <w:kern w:val="0"/>
          <w:sz w:val="28"/>
          <w:szCs w:val="28"/>
          <w:rtl/>
          <w14:ligatures w14:val="none"/>
        </w:rPr>
        <w:t xml:space="preserve"> المختبرة، مما يتيح تحديثاً ديناميكياً ومستمراً لمستويات المخاطر بدلاً من التقييم اللحظي الثابت. كما أثبتت الدراسة إمكانية دمج هذه التنبؤات مع بيانات الهشاشة والتعرض لإنتاج خرائط مخاطر ديناميكية قابلة للتحديث. وأوصت الدراسة باعتماد تقنيات التعلم العميق كأداة أساسية في منظومات المراقبة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المستمرة لمواقع التراث الثقافي، ودمجها في خطط إدارة المخاطر الوقائية للمباني التراثية لتمكين اتخاذ إجراءات استباقية قبل وقوع الأضرار بدلاً من الاستجابة اللاحقة</w:t>
      </w:r>
      <w:r w:rsidRPr="00C330FB">
        <w:rPr>
          <w:rFonts w:ascii="Simplified Arabic" w:eastAsia="Times New Roman" w:hAnsi="Simplified Arabic" w:cs="Simplified Arabic"/>
          <w:color w:val="000000" w:themeColor="text1"/>
          <w:kern w:val="0"/>
          <w:sz w:val="28"/>
          <w:szCs w:val="28"/>
          <w14:ligatures w14:val="none"/>
        </w:rPr>
        <w:t>.</w:t>
      </w:r>
    </w:p>
    <w:p w14:paraId="0FCA07B6" w14:textId="77777777" w:rsidR="009E1558" w:rsidRPr="00C330FB" w:rsidRDefault="009E1558" w:rsidP="005F3EA8">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9" w:name="_Toc223916815"/>
      <w:r w:rsidRPr="00C330FB">
        <w:rPr>
          <w:rFonts w:ascii="Simplified Arabic" w:eastAsia="Times New Roman" w:hAnsi="Simplified Arabic" w:cs="Simplified Arabic"/>
          <w:b/>
          <w:bCs/>
          <w:color w:val="000000" w:themeColor="text1"/>
          <w:kern w:val="0"/>
          <w:sz w:val="32"/>
          <w:szCs w:val="32"/>
          <w:rtl/>
          <w14:ligatures w14:val="none"/>
        </w:rPr>
        <w:t>المحور الثاني: تقليل المخاطر التشغيلية وعلاقته بمتغيرات أخرى</w:t>
      </w:r>
      <w:bookmarkEnd w:id="9"/>
    </w:p>
    <w:p w14:paraId="00B5CB99"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 xml:space="preserve">دراسة خوجة </w:t>
      </w:r>
      <w:r w:rsidR="002322E4" w:rsidRPr="00C330FB">
        <w:rPr>
          <w:rFonts w:ascii="Simplified Arabic" w:eastAsia="Times New Roman" w:hAnsi="Simplified Arabic" w:cs="Simplified Arabic"/>
          <w:b/>
          <w:bCs/>
          <w:color w:val="000000" w:themeColor="text1"/>
          <w:kern w:val="0"/>
          <w:sz w:val="28"/>
          <w:szCs w:val="28"/>
          <w:rtl/>
          <w14:ligatures w14:val="none"/>
        </w:rPr>
        <w:t>واخرون</w:t>
      </w:r>
      <w:r w:rsidRPr="00C330FB">
        <w:rPr>
          <w:rFonts w:ascii="Simplified Arabic" w:eastAsia="Times New Roman" w:hAnsi="Simplified Arabic" w:cs="Simplified Arabic"/>
          <w:b/>
          <w:bCs/>
          <w:color w:val="000000" w:themeColor="text1"/>
          <w:kern w:val="0"/>
          <w:sz w:val="28"/>
          <w:szCs w:val="28"/>
          <w14:ligatures w14:val="none"/>
        </w:rPr>
        <w:t xml:space="preserve"> (2022): "</w:t>
      </w:r>
      <w:r w:rsidRPr="00C330FB">
        <w:rPr>
          <w:rFonts w:ascii="Simplified Arabic" w:eastAsia="Times New Roman" w:hAnsi="Simplified Arabic" w:cs="Simplified Arabic"/>
          <w:b/>
          <w:bCs/>
          <w:color w:val="000000" w:themeColor="text1"/>
          <w:kern w:val="0"/>
          <w:sz w:val="28"/>
          <w:szCs w:val="28"/>
          <w:rtl/>
          <w14:ligatures w14:val="none"/>
        </w:rPr>
        <w:t xml:space="preserve">أثر مؤشرات المخاطر الرئيسية على المخاطر التشغيلية بالتطبيق على شركات التأمين الجزائرية." </w:t>
      </w:r>
    </w:p>
    <w:p w14:paraId="309FA7E8" w14:textId="59505797"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أثر مؤشرات المخاطر الرئيسية بأبعادها المختلفة (بما يشمل التغيرات في ظروف السوق، والعيوب الاستراتيجية، ومؤشرات أخرى) على المخاطر التشغيلية في شركات التأمين الجزائرية، وذلك ضمن إطار تطبيقي يهدف لفهم العلاقة بين هذه المؤشرات ومستوى المخاطر التشغيلية. استخدمت الدراسة المنهج الوصفي التحليلي بأداة الاستبانة كمصدر أولي لجمع البيانات، وتم تفريغها وتحليلها باستخدام برنامج الرزمة الإحصائية للعلوم الاجتماعية</w:t>
      </w:r>
      <w:r w:rsidRPr="00C330FB">
        <w:rPr>
          <w:rFonts w:ascii="Simplified Arabic" w:eastAsia="Times New Roman" w:hAnsi="Simplified Arabic" w:cs="Simplified Arabic"/>
          <w:color w:val="000000" w:themeColor="text1"/>
          <w:kern w:val="0"/>
          <w:sz w:val="28"/>
          <w:szCs w:val="28"/>
          <w14:ligatures w14:val="none"/>
        </w:rPr>
        <w:t xml:space="preserve"> (SPSS V.20) </w:t>
      </w:r>
      <w:r w:rsidRPr="00C330FB">
        <w:rPr>
          <w:rFonts w:ascii="Simplified Arabic" w:eastAsia="Times New Roman" w:hAnsi="Simplified Arabic" w:cs="Simplified Arabic"/>
          <w:color w:val="000000" w:themeColor="text1"/>
          <w:kern w:val="0"/>
          <w:sz w:val="28"/>
          <w:szCs w:val="28"/>
          <w:rtl/>
          <w14:ligatures w14:val="none"/>
        </w:rPr>
        <w:t>لتحليل الإحصاء الوصفي، وطريقة المربعات الجزئية الصغرى للمعادلات الهيكلية</w:t>
      </w:r>
      <w:r w:rsidRPr="00C330FB">
        <w:rPr>
          <w:rFonts w:ascii="Simplified Arabic" w:eastAsia="Times New Roman" w:hAnsi="Simplified Arabic" w:cs="Simplified Arabic"/>
          <w:color w:val="000000" w:themeColor="text1"/>
          <w:kern w:val="0"/>
          <w:sz w:val="28"/>
          <w:szCs w:val="28"/>
          <w14:ligatures w14:val="none"/>
        </w:rPr>
        <w:t xml:space="preserve"> (PLS-SEM) </w:t>
      </w:r>
      <w:r w:rsidRPr="00C330FB">
        <w:rPr>
          <w:rFonts w:ascii="Simplified Arabic" w:eastAsia="Times New Roman" w:hAnsi="Simplified Arabic" w:cs="Simplified Arabic"/>
          <w:color w:val="000000" w:themeColor="text1"/>
          <w:kern w:val="0"/>
          <w:sz w:val="28"/>
          <w:szCs w:val="28"/>
          <w:rtl/>
          <w14:ligatures w14:val="none"/>
        </w:rPr>
        <w:t>بالاستعانة ببرنامج</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SmartPLS</w:t>
      </w:r>
      <w:proofErr w:type="spellEnd"/>
      <w:r w:rsidRPr="00C330FB">
        <w:rPr>
          <w:rFonts w:ascii="Simplified Arabic" w:eastAsia="Times New Roman" w:hAnsi="Simplified Arabic" w:cs="Simplified Arabic"/>
          <w:color w:val="000000" w:themeColor="text1"/>
          <w:kern w:val="0"/>
          <w:sz w:val="28"/>
          <w:szCs w:val="28"/>
          <w14:ligatures w14:val="none"/>
        </w:rPr>
        <w:t xml:space="preserve"> v3.2.8 </w:t>
      </w:r>
      <w:r w:rsidRPr="00C330FB">
        <w:rPr>
          <w:rFonts w:ascii="Simplified Arabic" w:eastAsia="Times New Roman" w:hAnsi="Simplified Arabic" w:cs="Simplified Arabic"/>
          <w:color w:val="000000" w:themeColor="text1"/>
          <w:kern w:val="0"/>
          <w:sz w:val="28"/>
          <w:szCs w:val="28"/>
          <w:rtl/>
          <w14:ligatures w14:val="none"/>
        </w:rPr>
        <w:t>لاختبار نموذج الدراسة وفرضياتها. لم يُحدَّد حجم العينة صراحةً في ملخص الدراسة المنشور. وتوصلت نتائج الدراسة إلى وجود أثر إيجابي ودال إحصائياً لجميع مؤشرات المخاطر الرئيسية على المخاطر التشغيلية في شركات التأمين الجزائرية، باستثناء بُعدين اثنين وهما</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التغيرات في ظروف السوق والعيوب الاستراتيجية اللذان لم يظهرا أثراً دالاً إحصائياً. وأوصت الدراسة بضرورة تفعيل وظيفة الرقابة الداخلية في شركات التأمين لتعزيز قدرتها على رصد المخاطر التشغيلية مبكراً، وتصميم هيكل تنظيمي مرن قادر على التكيف مع المتغيرات، وتبني نظام حوكمة فعال ومتكامل لتدنية المخاطر التشغيلية التي تتعرض لها هذه الشركات</w:t>
      </w:r>
      <w:r w:rsidRPr="00C330FB">
        <w:rPr>
          <w:rFonts w:ascii="Simplified Arabic" w:eastAsia="Times New Roman" w:hAnsi="Simplified Arabic" w:cs="Simplified Arabic"/>
          <w:color w:val="000000" w:themeColor="text1"/>
          <w:kern w:val="0"/>
          <w:sz w:val="28"/>
          <w:szCs w:val="28"/>
          <w14:ligatures w14:val="none"/>
        </w:rPr>
        <w:t>.</w:t>
      </w:r>
    </w:p>
    <w:p w14:paraId="7A3D1FBC" w14:textId="77777777" w:rsidR="005F3EA8" w:rsidRPr="00C330FB" w:rsidRDefault="009E1558" w:rsidP="005F3EA8">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 مسعود وشهاب</w:t>
      </w:r>
      <w:r w:rsidRPr="00C330FB">
        <w:rPr>
          <w:rFonts w:ascii="Simplified Arabic" w:eastAsia="Times New Roman" w:hAnsi="Simplified Arabic" w:cs="Simplified Arabic"/>
          <w:b/>
          <w:bCs/>
          <w:color w:val="000000" w:themeColor="text1"/>
          <w:kern w:val="0"/>
          <w:sz w:val="28"/>
          <w:szCs w:val="28"/>
          <w14:ligatures w14:val="none"/>
        </w:rPr>
        <w:t xml:space="preserve"> (2024): "</w:t>
      </w:r>
      <w:r w:rsidRPr="00C330FB">
        <w:rPr>
          <w:rFonts w:ascii="Simplified Arabic" w:eastAsia="Times New Roman" w:hAnsi="Simplified Arabic" w:cs="Simplified Arabic"/>
          <w:b/>
          <w:bCs/>
          <w:color w:val="000000" w:themeColor="text1"/>
          <w:kern w:val="0"/>
          <w:sz w:val="28"/>
          <w:szCs w:val="28"/>
          <w:rtl/>
          <w14:ligatures w14:val="none"/>
        </w:rPr>
        <w:t xml:space="preserve">الحوكمة المصرفية ودورها في الحد من المخاطر التشغيلية: دراسة تطبيقية على المصرف التجاري الوطني." </w:t>
      </w:r>
    </w:p>
    <w:p w14:paraId="2D3E2C90" w14:textId="15F75979" w:rsidR="009E1558" w:rsidRPr="00C330FB" w:rsidRDefault="009E1558"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دور الحوكمة المصرفية بأبعادها الخمسة (مسؤوليات مجلس الإدارة، الإفصاح والشفافية، اللجان المنبثقة عن مجلس الإدارة، ضمان حقوق المساهمين، الرقابة والمراجعة الداخلية) في الحد من المخاطر التشغيلية بفروع المصرف التجاري الوطني بمدينة طرابلس الليبية. استخدمت الدراسة المنهج الوصفي التحليلي بالاعتماد على أداة الاستبيان كأداة رئيسية لجمع البيانات الأولية. تكونت العينة من </w:t>
      </w:r>
      <w:r w:rsidRPr="00C330FB">
        <w:rPr>
          <w:rFonts w:ascii="Simplified Arabic" w:eastAsia="Times New Roman" w:hAnsi="Simplified Arabic" w:cs="Simplified Arabic"/>
          <w:color w:val="000000" w:themeColor="text1"/>
          <w:kern w:val="0"/>
          <w:sz w:val="28"/>
          <w:szCs w:val="28"/>
          <w14:ligatures w14:val="none"/>
        </w:rPr>
        <w:t xml:space="preserve">(121) </w:t>
      </w:r>
      <w:r w:rsidRPr="00C330FB">
        <w:rPr>
          <w:rFonts w:ascii="Simplified Arabic" w:eastAsia="Times New Roman" w:hAnsi="Simplified Arabic" w:cs="Simplified Arabic"/>
          <w:color w:val="000000" w:themeColor="text1"/>
          <w:kern w:val="0"/>
          <w:sz w:val="28"/>
          <w:szCs w:val="28"/>
          <w:rtl/>
          <w14:ligatures w14:val="none"/>
        </w:rPr>
        <w:t>مفردة تم اختيارها بطريقة عشوائية من موظفي فروع المصرف التجاري الوطني بطرابلس. وتوصلت النتائج إلى أن جميع أبعاد الحوكمة المصرفية لها دور إيجابي ودال في الحد من المخاطر التشغيلية، وجاء ترتيبها حسب الأثر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بُعد ضمان حقوق المساهمين في المرتبة الأولى، يليه مسؤوليات مجلس الإدارة في المرتبة الثانية، ثم اللجان المنبثقة عن مجلس الإدارة في المرتبة الثالثة، فالرقابة والمراجعة الداخلية في المرتبة الرابعة، وأخيراً الإفصاح والشفافية. وأوصت الدراسة بالعمل على زيادة مستوى الوعي بالحوكمة داخل الإدارة العليا وعلى المستويات المختلفة بالمصرف، وضرورة تطبيق الحوكمة المصرفية على نطاق واسع للإسهام في زيادة كفاءة الأداء وتعزيز قدرة المصرف على إدارة المخاطر التشغيلية، ومضاعفة قدرة مجلس الإدارة على الرقابة الداخلية</w:t>
      </w:r>
      <w:r w:rsidRPr="00C330FB">
        <w:rPr>
          <w:rFonts w:ascii="Simplified Arabic" w:eastAsia="Times New Roman" w:hAnsi="Simplified Arabic" w:cs="Simplified Arabic"/>
          <w:color w:val="000000" w:themeColor="text1"/>
          <w:kern w:val="0"/>
          <w:sz w:val="28"/>
          <w:szCs w:val="28"/>
          <w14:ligatures w14:val="none"/>
        </w:rPr>
        <w:t>.</w:t>
      </w:r>
    </w:p>
    <w:p w14:paraId="3E132556" w14:textId="77777777" w:rsidR="005F3EA8" w:rsidRPr="00C330FB" w:rsidRDefault="005F3EA8" w:rsidP="00EC3F4A">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 وهدان</w:t>
      </w:r>
      <w:r w:rsidRPr="00C330FB">
        <w:rPr>
          <w:rFonts w:ascii="Simplified Arabic" w:eastAsia="Times New Roman" w:hAnsi="Simplified Arabic" w:cs="Simplified Arabic"/>
          <w:b/>
          <w:bCs/>
          <w:color w:val="000000" w:themeColor="text1"/>
          <w:kern w:val="0"/>
          <w:sz w:val="28"/>
          <w:szCs w:val="28"/>
          <w14:ligatures w14:val="none"/>
        </w:rPr>
        <w:t xml:space="preserve"> (2024): "</w:t>
      </w:r>
      <w:r w:rsidRPr="00C330FB">
        <w:rPr>
          <w:rFonts w:ascii="Simplified Arabic" w:eastAsia="Times New Roman" w:hAnsi="Simplified Arabic" w:cs="Simplified Arabic"/>
          <w:b/>
          <w:bCs/>
          <w:color w:val="000000" w:themeColor="text1"/>
          <w:kern w:val="0"/>
          <w:sz w:val="28"/>
          <w:szCs w:val="28"/>
          <w:rtl/>
          <w14:ligatures w14:val="none"/>
        </w:rPr>
        <w:t xml:space="preserve">أثر التدقيق الداخلي في الحد من المخاطر التشغيلية في البنوك الإسلامية العاملة في فلسطين." </w:t>
      </w:r>
    </w:p>
    <w:p w14:paraId="42329EBF" w14:textId="7F8C3C2A" w:rsidR="005F3EA8" w:rsidRPr="00C330FB" w:rsidRDefault="005F3EA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هدفت الدراسة إلى التعرف على دور المدقق الداخلي بأبعاده </w:t>
      </w:r>
      <w:r w:rsidRPr="00C330FB">
        <w:rPr>
          <w:rFonts w:ascii="Simplified Arabic" w:eastAsia="Times New Roman" w:hAnsi="Simplified Arabic" w:cs="Simplified Arabic"/>
          <w:color w:val="000000" w:themeColor="text1"/>
          <w:kern w:val="0"/>
          <w:sz w:val="28"/>
          <w:szCs w:val="28"/>
          <w14:ligatures w14:val="none"/>
        </w:rPr>
        <w:t>(</w:t>
      </w:r>
      <w:r w:rsidRPr="00C330FB">
        <w:rPr>
          <w:rFonts w:ascii="Simplified Arabic" w:eastAsia="Times New Roman" w:hAnsi="Simplified Arabic" w:cs="Simplified Arabic"/>
          <w:color w:val="000000" w:themeColor="text1"/>
          <w:kern w:val="0"/>
          <w:sz w:val="28"/>
          <w:szCs w:val="28"/>
          <w:rtl/>
          <w14:ligatures w14:val="none"/>
        </w:rPr>
        <w:t xml:space="preserve">كفاءة المدقق الداخلي، الصلاحيات الممنوحة للمدقق، شمولية عمل المدقق، ضوابط الرقابة الداخلية) في الحد من المخاطر التشغيلية في ثلاثة بنوك إسلامية عاملة في فلسطين، وهي: البنك الإسلامي العربي، والبنك الإسلامي الفلسطيني، ومصرف الصفا. استخدمت الدراسة المنهج الوصفي التحليلي لوصف وتحليل متغيرات الدراسة، بالاعتماد على المصادر الثانوية (كتب، دوريات، دراسات سابقة) لبناء الإطار النظري، والمصادر الأولية من خلال بناء استبانة صُمِّمت خصيصاً لأغراض البحث. تكونت العينة من (25) استبانة وُزِّعت على المدققين الداخليين في البنوك الثلاثة، وتم استرداد (23) استبانة صالحة للتحليل. وتوصلت النتائج إلى وجود دور مهم وإيجابي للتدقيق الداخلي في الحد من المخاطر التشغيلية، تحديداً: كفاءة المدقق الداخلي لها تأثير إيجابي في الحد من مخاطر التشغيل، والصلاحيات الممنوحة للمدقق لعبت أثراً إيجابياً، كما أن مراجعة ضوابط الرقابة الداخلية وعنصر الشمولية في عمل المدقق لهما دور فعّال. وأوصت الدراسة بضرورة تعيين عدد كافٍ من </w:t>
      </w:r>
      <w:r w:rsidRPr="00C330FB">
        <w:rPr>
          <w:rFonts w:ascii="Simplified Arabic" w:eastAsia="Times New Roman" w:hAnsi="Simplified Arabic" w:cs="Simplified Arabic"/>
          <w:color w:val="000000" w:themeColor="text1"/>
          <w:kern w:val="0"/>
          <w:sz w:val="28"/>
          <w:szCs w:val="28"/>
          <w:rtl/>
          <w14:ligatures w14:val="none"/>
        </w:rPr>
        <w:lastRenderedPageBreak/>
        <w:t>المدققين الداخليين المؤهلين الحاملين لشهادات متخصصة، وتوفير التدريب المستمر، ومنح الصلاحيات اللازمة للمدققين، وقيام دائرة التدقيق بتقييم عمل دائرة إدارة المخاطر بشكل دوري</w:t>
      </w:r>
      <w:r w:rsidRPr="00C330FB">
        <w:rPr>
          <w:rFonts w:ascii="Simplified Arabic" w:eastAsia="Times New Roman" w:hAnsi="Simplified Arabic" w:cs="Simplified Arabic"/>
          <w:color w:val="000000" w:themeColor="text1"/>
          <w:kern w:val="0"/>
          <w:sz w:val="28"/>
          <w:szCs w:val="28"/>
          <w14:ligatures w14:val="none"/>
        </w:rPr>
        <w:t>.</w:t>
      </w:r>
    </w:p>
    <w:p w14:paraId="3B4A2FDF" w14:textId="77777777" w:rsidR="00EC3F4A" w:rsidRPr="00C330FB" w:rsidRDefault="009E1558" w:rsidP="00EC3F4A">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 xml:space="preserve">دراسة أبو المليح </w:t>
      </w:r>
      <w:r w:rsidR="002322E4" w:rsidRPr="00C330FB">
        <w:rPr>
          <w:rFonts w:ascii="Simplified Arabic" w:eastAsia="Times New Roman" w:hAnsi="Simplified Arabic" w:cs="Simplified Arabic"/>
          <w:b/>
          <w:bCs/>
          <w:color w:val="000000" w:themeColor="text1"/>
          <w:kern w:val="0"/>
          <w:sz w:val="28"/>
          <w:szCs w:val="28"/>
          <w:rtl/>
          <w14:ligatures w14:val="none"/>
        </w:rPr>
        <w:t xml:space="preserve">واخرون </w:t>
      </w:r>
      <w:r w:rsidRPr="00C330FB">
        <w:rPr>
          <w:rFonts w:ascii="Simplified Arabic" w:eastAsia="Times New Roman" w:hAnsi="Simplified Arabic" w:cs="Simplified Arabic"/>
          <w:b/>
          <w:bCs/>
          <w:color w:val="000000" w:themeColor="text1"/>
          <w:kern w:val="0"/>
          <w:sz w:val="28"/>
          <w:szCs w:val="28"/>
          <w14:ligatures w14:val="none"/>
        </w:rPr>
        <w:t xml:space="preserve"> (2025): "</w:t>
      </w:r>
      <w:r w:rsidRPr="00C330FB">
        <w:rPr>
          <w:rFonts w:ascii="Simplified Arabic" w:eastAsia="Times New Roman" w:hAnsi="Simplified Arabic" w:cs="Simplified Arabic"/>
          <w:b/>
          <w:bCs/>
          <w:color w:val="000000" w:themeColor="text1"/>
          <w:kern w:val="0"/>
          <w:sz w:val="28"/>
          <w:szCs w:val="28"/>
          <w:rtl/>
          <w14:ligatures w14:val="none"/>
        </w:rPr>
        <w:t xml:space="preserve">المراجعة المستمرة ودورها في تقليل مخاطر التشغيل الإلكتروني: دراسة ميدانية على شركات التأمين بسوق الخرطوم للأوراق المالية." </w:t>
      </w:r>
    </w:p>
    <w:p w14:paraId="4FA8D4B5" w14:textId="281B5DFF"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دور المراجعة المستمرة</w:t>
      </w:r>
      <w:r w:rsidRPr="00C330FB">
        <w:rPr>
          <w:rFonts w:ascii="Simplified Arabic" w:eastAsia="Times New Roman" w:hAnsi="Simplified Arabic" w:cs="Simplified Arabic"/>
          <w:color w:val="000000" w:themeColor="text1"/>
          <w:kern w:val="0"/>
          <w:sz w:val="28"/>
          <w:szCs w:val="28"/>
          <w14:ligatures w14:val="none"/>
        </w:rPr>
        <w:t xml:space="preserve"> (Continuous Audit) </w:t>
      </w:r>
      <w:r w:rsidRPr="00C330FB">
        <w:rPr>
          <w:rFonts w:ascii="Simplified Arabic" w:eastAsia="Times New Roman" w:hAnsi="Simplified Arabic" w:cs="Simplified Arabic"/>
          <w:color w:val="000000" w:themeColor="text1"/>
          <w:kern w:val="0"/>
          <w:sz w:val="28"/>
          <w:szCs w:val="28"/>
          <w:rtl/>
          <w14:ligatures w14:val="none"/>
        </w:rPr>
        <w:t>في تقليل مخاطر التشغيل الإلكتروني في شركات التأمين السودانية المدرجة بسوق الخرطوم للأوراق المالية، وذلك في ظل التوسع في استخدام التشغيل الإلكتروني ونشر التقارير المالية عبر الإنترنت وما يترتب عليه من مخاطر فقدان البيانات والهجمات الإلكترونية. استخدمت الدراسة أربعة مناهج: المنهج التاريخي لتتبع الدراسات السابقة، والمنهج الاستنباطي لصياغة الفرضيات، والمنهج الاستقرائي لاختبارها، والمنهج الوصفي التحليلي لتحليل البيانات الميدانية باستخدام أداة الاستبانة كمصدر أولي والكتب والدوريات والرسائل الجامعية كمصادر ثانوية. الحدود الزمنية للدراسة 2020–2024 والحدود المكانية شركات التأمين بسوق الخرطوم. لم يُحدَّد حجم العينة صراحة في الملخص المنشور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وتوصلت النتائج إلى وجود علاقة ذات دلالة إحصائية بين المراجعة المستمرة وتقليل مخاطر التشغيل الإلكتروني، وأن المراجعة المستمرة تساعد في الكشف المبكر عن الأخطاء والمخاطر المحتملة المرتبطة بأنظمة التشغيل الإلكتروني</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وأوصت بتعزيز فاعلية المراجعة المستمرة من خلال تكامل التكنولوجيا مع الممارسات المحاسبية التقليدية، وتحديث معايير المراجعة لتشمل تقنيات حديثة كالذكاء الاصطناعي والبرمجيات المتطورة، وتحقيق تعاون مؤسسي بين أقسام المراجعة وتكنولوجيا المعلومات</w:t>
      </w:r>
      <w:r w:rsidRPr="00C330FB">
        <w:rPr>
          <w:rFonts w:ascii="Simplified Arabic" w:eastAsia="Times New Roman" w:hAnsi="Simplified Arabic" w:cs="Simplified Arabic"/>
          <w:color w:val="000000" w:themeColor="text1"/>
          <w:kern w:val="0"/>
          <w:sz w:val="28"/>
          <w:szCs w:val="28"/>
          <w14:ligatures w14:val="none"/>
        </w:rPr>
        <w:t>.</w:t>
      </w:r>
    </w:p>
    <w:p w14:paraId="63E2DA28" w14:textId="77777777" w:rsidR="00EC3F4A" w:rsidRPr="00C330FB" w:rsidRDefault="009E1558" w:rsidP="00EC3F4A">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 xml:space="preserve">دراسة </w:t>
      </w:r>
      <w:proofErr w:type="spellStart"/>
      <w:r w:rsidRPr="00C330FB">
        <w:rPr>
          <w:rFonts w:ascii="Simplified Arabic" w:eastAsia="Times New Roman" w:hAnsi="Simplified Arabic" w:cs="Simplified Arabic"/>
          <w:b/>
          <w:bCs/>
          <w:color w:val="000000" w:themeColor="text1"/>
          <w:kern w:val="0"/>
          <w:sz w:val="28"/>
          <w:szCs w:val="28"/>
          <w:rtl/>
          <w14:ligatures w14:val="none"/>
        </w:rPr>
        <w:t>الكلش</w:t>
      </w:r>
      <w:proofErr w:type="spellEnd"/>
      <w:r w:rsidRPr="00C330FB">
        <w:rPr>
          <w:rFonts w:ascii="Simplified Arabic" w:eastAsia="Times New Roman" w:hAnsi="Simplified Arabic" w:cs="Simplified Arabic"/>
          <w:b/>
          <w:bCs/>
          <w:color w:val="000000" w:themeColor="text1"/>
          <w:kern w:val="0"/>
          <w:sz w:val="28"/>
          <w:szCs w:val="28"/>
          <w14:ligatures w14:val="none"/>
        </w:rPr>
        <w:t xml:space="preserve"> (2025): "</w:t>
      </w:r>
      <w:r w:rsidRPr="00C330FB">
        <w:rPr>
          <w:rFonts w:ascii="Simplified Arabic" w:eastAsia="Times New Roman" w:hAnsi="Simplified Arabic" w:cs="Simplified Arabic"/>
          <w:b/>
          <w:bCs/>
          <w:color w:val="000000" w:themeColor="text1"/>
          <w:kern w:val="0"/>
          <w:sz w:val="28"/>
          <w:szCs w:val="28"/>
          <w:rtl/>
          <w14:ligatures w14:val="none"/>
        </w:rPr>
        <w:t xml:space="preserve">إدارة المخاطر في القطاع المصرفي: دراسة شاملة للمخاطر المالية وغير المالية وأثرها على الاستقرار." </w:t>
      </w:r>
    </w:p>
    <w:p w14:paraId="773A48AC" w14:textId="10D80B7F"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أنواع المخاطر المتعددة التي يتعرض لها القطاع المصرفي بأبعادها المالية (مخاطر الائتمان، مخاطر السوق، مخاطر السيولة) وغير المالية (مخاطر التشغيل، المخاطر القانونية، المخاطر الاستراتيجية، مخاطر السمعة)، واستعراض استراتيجيات إدارتها وأثر ذلك على استقرار البنوك واستدامتها. استخدمت الدراسة المنهج الاستعراضي التحليلي</w:t>
      </w:r>
      <w:r w:rsidRPr="00C330FB">
        <w:rPr>
          <w:rFonts w:ascii="Simplified Arabic" w:eastAsia="Times New Roman" w:hAnsi="Simplified Arabic" w:cs="Simplified Arabic"/>
          <w:color w:val="000000" w:themeColor="text1"/>
          <w:kern w:val="0"/>
          <w:sz w:val="28"/>
          <w:szCs w:val="28"/>
          <w14:ligatures w14:val="none"/>
        </w:rPr>
        <w:t xml:space="preserve"> (Literature Review)</w:t>
      </w:r>
      <w:r w:rsidRPr="00C330FB">
        <w:rPr>
          <w:rFonts w:ascii="Simplified Arabic" w:eastAsia="Times New Roman" w:hAnsi="Simplified Arabic" w:cs="Simplified Arabic"/>
          <w:color w:val="000000" w:themeColor="text1"/>
          <w:kern w:val="0"/>
          <w:sz w:val="28"/>
          <w:szCs w:val="28"/>
          <w:rtl/>
          <w14:ligatures w14:val="none"/>
        </w:rPr>
        <w:t xml:space="preserve">، فهي دراسة مراجعة شاملة نظرية لا تعتمد على جمع بيانات أولية ميدانية. لا تتضمن الدراسة عينة أو بيانات تجريبية </w:t>
      </w:r>
      <w:r w:rsidRPr="00C330FB">
        <w:rPr>
          <w:rFonts w:ascii="Simplified Arabic" w:eastAsia="Times New Roman" w:hAnsi="Simplified Arabic" w:cs="Simplified Arabic"/>
          <w:color w:val="000000" w:themeColor="text1"/>
          <w:kern w:val="0"/>
          <w:sz w:val="28"/>
          <w:szCs w:val="28"/>
          <w:rtl/>
          <w14:ligatures w14:val="none"/>
        </w:rPr>
        <w:lastRenderedPageBreak/>
        <w:t xml:space="preserve">محددة كونها بحثاً </w:t>
      </w:r>
      <w:proofErr w:type="spellStart"/>
      <w:r w:rsidRPr="00C330FB">
        <w:rPr>
          <w:rFonts w:ascii="Simplified Arabic" w:eastAsia="Times New Roman" w:hAnsi="Simplified Arabic" w:cs="Simplified Arabic"/>
          <w:color w:val="000000" w:themeColor="text1"/>
          <w:kern w:val="0"/>
          <w:sz w:val="28"/>
          <w:szCs w:val="28"/>
          <w:rtl/>
          <w14:ligatures w14:val="none"/>
        </w:rPr>
        <w:t>مراجعياً</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يستعرض الأدبيات والدراسات والتقارير السابقة في مجال إدارة المخاطر المصرفية. وتوصلت الدراسة إلى أن البنوك تتعرض لتشكيلة واسعة من المخاطر المتداخلة، وأن المخاطر التشغيلية الناجمة عن فشل الأنظمة أو الإجراءات الداخلية تهدد الاستقرار المصرفي بشكل جوهري، وأن تطبيق استراتيجيات التحوط وتنويع الاستثمارات وضمان الامتثال للمتطلبات التنظيمية يُحسّن استقرار البنك ويعزز قدرته على اتخاذ القرارات المالية السليمة ويقلل الخسائر المحتملة ويحافظ على رأس المال ويرفع ثقة العملاء والمستثمرين. وأوصت الدراسة بضرورة تبني إدارة مخاطر شاملة ومتكاملة تغطي جميع أنواع المخاطر في القطاع المصرفي</w:t>
      </w:r>
      <w:r w:rsidRPr="00C330FB">
        <w:rPr>
          <w:rFonts w:ascii="Simplified Arabic" w:eastAsia="Times New Roman" w:hAnsi="Simplified Arabic" w:cs="Simplified Arabic"/>
          <w:color w:val="000000" w:themeColor="text1"/>
          <w:kern w:val="0"/>
          <w:sz w:val="28"/>
          <w:szCs w:val="28"/>
          <w14:ligatures w14:val="none"/>
        </w:rPr>
        <w:t>.</w:t>
      </w:r>
    </w:p>
    <w:p w14:paraId="4B3DCE3E" w14:textId="77777777" w:rsidR="00EC3F4A" w:rsidRPr="00C330FB" w:rsidRDefault="009E1558" w:rsidP="00EC3F4A">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Sanford</w:t>
      </w:r>
      <w:r w:rsidR="002322E4" w:rsidRPr="00C330FB">
        <w:rPr>
          <w:rFonts w:ascii="Simplified Arabic" w:eastAsia="Times New Roman" w:hAnsi="Simplified Arabic" w:cs="Simplified Arabic"/>
          <w:b/>
          <w:bCs/>
          <w:color w:val="000000" w:themeColor="text1"/>
          <w:kern w:val="0"/>
          <w:sz w:val="28"/>
          <w:szCs w:val="28"/>
          <w14:ligatures w14:val="none"/>
        </w:rPr>
        <w:t xml:space="preserve"> </w:t>
      </w:r>
      <w:proofErr w:type="spellStart"/>
      <w:r w:rsidR="002322E4" w:rsidRPr="00C330FB">
        <w:rPr>
          <w:rFonts w:ascii="Simplified Arabic" w:eastAsia="Times New Roman" w:hAnsi="Simplified Arabic" w:cs="Simplified Arabic"/>
          <w:b/>
          <w:bCs/>
          <w:color w:val="000000" w:themeColor="text1"/>
          <w:kern w:val="0"/>
          <w:sz w:val="28"/>
          <w:szCs w:val="28"/>
          <w14:ligatures w14:val="none"/>
        </w:rPr>
        <w:t>etal</w:t>
      </w:r>
      <w:proofErr w:type="spellEnd"/>
      <w:r w:rsidR="002322E4" w:rsidRPr="00C330FB">
        <w:rPr>
          <w:rFonts w:ascii="Simplified Arabic" w:eastAsia="Times New Roman" w:hAnsi="Simplified Arabic" w:cs="Simplified Arabic"/>
          <w:b/>
          <w:bCs/>
          <w:color w:val="000000" w:themeColor="text1"/>
          <w:kern w:val="0"/>
          <w:sz w:val="28"/>
          <w:szCs w:val="28"/>
          <w14:ligatures w14:val="none"/>
        </w:rPr>
        <w:t>.,</w:t>
      </w:r>
      <w:r w:rsidRPr="00C330FB">
        <w:rPr>
          <w:rFonts w:ascii="Simplified Arabic" w:eastAsia="Times New Roman" w:hAnsi="Simplified Arabic" w:cs="Simplified Arabic"/>
          <w:b/>
          <w:bCs/>
          <w:color w:val="000000" w:themeColor="text1"/>
          <w:kern w:val="0"/>
          <w:sz w:val="28"/>
          <w:szCs w:val="28"/>
          <w14:ligatures w14:val="none"/>
        </w:rPr>
        <w:t xml:space="preserve"> (2022): "The role of data analytics within operational risk management: A systematic review from the financial services and energy sectors." </w:t>
      </w:r>
    </w:p>
    <w:p w14:paraId="142177FB" w14:textId="1D1E08D3"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كيفية استخدام تحليلات البيانات وأنواعها (وصفية، تشخيصية، تنبؤية، توجيهية) والبيانات المستخدمة في إدارة المخاطر التشغيلية عبر قطاعي الخدمات المالية (بنوك، تأمين) والطاقة والموارد الطبيعية (نفط وغاز، تعدين)، وتحديد مسارات البحث المستقبلية. استخدمت الدراسة منهج المراجعة المنهجية للأدبيات</w:t>
      </w:r>
      <w:r w:rsidRPr="00C330FB">
        <w:rPr>
          <w:rFonts w:ascii="Simplified Arabic" w:eastAsia="Times New Roman" w:hAnsi="Simplified Arabic" w:cs="Simplified Arabic"/>
          <w:color w:val="000000" w:themeColor="text1"/>
          <w:kern w:val="0"/>
          <w:sz w:val="28"/>
          <w:szCs w:val="28"/>
          <w14:ligatures w14:val="none"/>
        </w:rPr>
        <w:t xml:space="preserve"> (Systematic Literature Review - SLR) </w:t>
      </w:r>
      <w:r w:rsidRPr="00C330FB">
        <w:rPr>
          <w:rFonts w:ascii="Simplified Arabic" w:eastAsia="Times New Roman" w:hAnsi="Simplified Arabic" w:cs="Simplified Arabic"/>
          <w:color w:val="000000" w:themeColor="text1"/>
          <w:kern w:val="0"/>
          <w:sz w:val="28"/>
          <w:szCs w:val="28"/>
          <w:rtl/>
          <w14:ligatures w14:val="none"/>
        </w:rPr>
        <w:t xml:space="preserve">مع تحليل </w:t>
      </w:r>
      <w:proofErr w:type="spellStart"/>
      <w:r w:rsidRPr="00C330FB">
        <w:rPr>
          <w:rFonts w:ascii="Simplified Arabic" w:eastAsia="Times New Roman" w:hAnsi="Simplified Arabic" w:cs="Simplified Arabic"/>
          <w:color w:val="000000" w:themeColor="text1"/>
          <w:kern w:val="0"/>
          <w:sz w:val="28"/>
          <w:szCs w:val="28"/>
          <w:rtl/>
          <w14:ligatures w14:val="none"/>
        </w:rPr>
        <w:t>بيبلومتري</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باستخدام حزمة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Bibliometrix</w:t>
      </w:r>
      <w:proofErr w:type="spellEnd"/>
      <w:r w:rsidRPr="00C330FB">
        <w:rPr>
          <w:rFonts w:ascii="Simplified Arabic" w:eastAsia="Times New Roman" w:hAnsi="Simplified Arabic" w:cs="Simplified Arabic"/>
          <w:color w:val="000000" w:themeColor="text1"/>
          <w:kern w:val="0"/>
          <w:sz w:val="28"/>
          <w:szCs w:val="28"/>
          <w14:ligatures w14:val="none"/>
        </w:rPr>
        <w:t xml:space="preserve"> R </w:t>
      </w:r>
      <w:r w:rsidRPr="00C330FB">
        <w:rPr>
          <w:rFonts w:ascii="Simplified Arabic" w:eastAsia="Times New Roman" w:hAnsi="Simplified Arabic" w:cs="Simplified Arabic"/>
          <w:color w:val="000000" w:themeColor="text1"/>
          <w:kern w:val="0"/>
          <w:sz w:val="28"/>
          <w:szCs w:val="28"/>
          <w:rtl/>
          <w14:ligatures w14:val="none"/>
        </w:rPr>
        <w:t>وتحليل محتوى يدوي. تكونت العينة الأولية من (2,538) منشوراً علمياً من قواعد</w:t>
      </w:r>
      <w:r w:rsidRPr="00C330FB">
        <w:rPr>
          <w:rFonts w:ascii="Simplified Arabic" w:eastAsia="Times New Roman" w:hAnsi="Simplified Arabic" w:cs="Simplified Arabic"/>
          <w:color w:val="000000" w:themeColor="text1"/>
          <w:kern w:val="0"/>
          <w:sz w:val="28"/>
          <w:szCs w:val="28"/>
          <w14:ligatures w14:val="none"/>
        </w:rPr>
        <w:t xml:space="preserve"> Scopus </w:t>
      </w:r>
      <w:r w:rsidRPr="00C330FB">
        <w:rPr>
          <w:rFonts w:ascii="Simplified Arabic" w:eastAsia="Times New Roman" w:hAnsi="Simplified Arabic" w:cs="Simplified Arabic"/>
          <w:color w:val="000000" w:themeColor="text1"/>
          <w:kern w:val="0"/>
          <w:sz w:val="28"/>
          <w:szCs w:val="28"/>
          <w:rtl/>
          <w14:ligatures w14:val="none"/>
        </w:rPr>
        <w:t>و</w:t>
      </w:r>
      <w:r w:rsidRPr="00C330FB">
        <w:rPr>
          <w:rFonts w:ascii="Simplified Arabic" w:eastAsia="Times New Roman" w:hAnsi="Simplified Arabic" w:cs="Simplified Arabic"/>
          <w:color w:val="000000" w:themeColor="text1"/>
          <w:kern w:val="0"/>
          <w:sz w:val="28"/>
          <w:szCs w:val="28"/>
          <w14:ligatures w14:val="none"/>
        </w:rPr>
        <w:t>Web of Science</w:t>
      </w:r>
      <w:r w:rsidRPr="00C330FB">
        <w:rPr>
          <w:rFonts w:ascii="Simplified Arabic" w:eastAsia="Times New Roman" w:hAnsi="Simplified Arabic" w:cs="Simplified Arabic"/>
          <w:color w:val="000000" w:themeColor="text1"/>
          <w:kern w:val="0"/>
          <w:sz w:val="28"/>
          <w:szCs w:val="28"/>
          <w:rtl/>
          <w14:ligatures w14:val="none"/>
        </w:rPr>
        <w:t xml:space="preserve">، صُفِّيت بعملية تنقيح مرحلتين إلى (191) دراسة ذات صلة خضعت للتحليل التفصيلي (منها 40.3% أوراق مؤتمرات). وتوصلت الدراسة إلى خمسة محاور بحثية أساسية: تحديد المخاطر (11%)، العوامل السببية (25%)، </w:t>
      </w:r>
      <w:proofErr w:type="spellStart"/>
      <w:r w:rsidRPr="00C330FB">
        <w:rPr>
          <w:rFonts w:ascii="Simplified Arabic" w:eastAsia="Times New Roman" w:hAnsi="Simplified Arabic" w:cs="Simplified Arabic"/>
          <w:color w:val="000000" w:themeColor="text1"/>
          <w:kern w:val="0"/>
          <w:sz w:val="28"/>
          <w:szCs w:val="28"/>
          <w:rtl/>
          <w14:ligatures w14:val="none"/>
        </w:rPr>
        <w:t>تكمية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المخاطر </w:t>
      </w:r>
      <w:r w:rsidRPr="00C330FB">
        <w:rPr>
          <w:rFonts w:ascii="Simplified Arabic" w:eastAsia="Times New Roman" w:hAnsi="Simplified Arabic" w:cs="Simplified Arabic"/>
          <w:color w:val="000000" w:themeColor="text1"/>
          <w:kern w:val="0"/>
          <w:sz w:val="28"/>
          <w:szCs w:val="28"/>
          <w14:ligatures w14:val="none"/>
        </w:rPr>
        <w:t>(17%)</w:t>
      </w:r>
      <w:r w:rsidRPr="00C330FB">
        <w:rPr>
          <w:rFonts w:ascii="Simplified Arabic" w:eastAsia="Times New Roman" w:hAnsi="Simplified Arabic" w:cs="Simplified Arabic"/>
          <w:color w:val="000000" w:themeColor="text1"/>
          <w:kern w:val="0"/>
          <w:sz w:val="28"/>
          <w:szCs w:val="28"/>
          <w:rtl/>
          <w14:ligatures w14:val="none"/>
        </w:rPr>
        <w:t xml:space="preserve">، التنبؤ بالمخاطر (21%)، واتخاذ قرارات المخاطر (6%). وكشفت أن دراسات قطاع الطاقة تركز على تشخيص العوامل السببية والتنبؤ بحوادث السلامة والمعدات، بينما تطبيقات الخدمات المالية أكثر نضجاً في </w:t>
      </w:r>
      <w:proofErr w:type="spellStart"/>
      <w:r w:rsidRPr="00C330FB">
        <w:rPr>
          <w:rFonts w:ascii="Simplified Arabic" w:eastAsia="Times New Roman" w:hAnsi="Simplified Arabic" w:cs="Simplified Arabic"/>
          <w:color w:val="000000" w:themeColor="text1"/>
          <w:kern w:val="0"/>
          <w:sz w:val="28"/>
          <w:szCs w:val="28"/>
          <w:rtl/>
          <w14:ligatures w14:val="none"/>
        </w:rPr>
        <w:t>تكمية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المخاطر (تقدير رأس المال وفق بازل). وأوصت بتبني منظور متعدد المخاطر بدلاً من المنظور الجزئي، وتطوير نماذج تعلم آلي متقدمة واستخدام شبكات </w:t>
      </w:r>
      <w:proofErr w:type="spellStart"/>
      <w:r w:rsidRPr="00C330FB">
        <w:rPr>
          <w:rFonts w:ascii="Simplified Arabic" w:eastAsia="Times New Roman" w:hAnsi="Simplified Arabic" w:cs="Simplified Arabic"/>
          <w:color w:val="000000" w:themeColor="text1"/>
          <w:kern w:val="0"/>
          <w:sz w:val="28"/>
          <w:szCs w:val="28"/>
          <w:rtl/>
          <w14:ligatures w14:val="none"/>
        </w:rPr>
        <w:t>بايزية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لفهم العلاقات السببية المعقدة</w:t>
      </w:r>
      <w:r w:rsidRPr="00C330FB">
        <w:rPr>
          <w:rFonts w:ascii="Simplified Arabic" w:eastAsia="Times New Roman" w:hAnsi="Simplified Arabic" w:cs="Simplified Arabic"/>
          <w:color w:val="000000" w:themeColor="text1"/>
          <w:kern w:val="0"/>
          <w:sz w:val="28"/>
          <w:szCs w:val="28"/>
          <w14:ligatures w14:val="none"/>
        </w:rPr>
        <w:t>.</w:t>
      </w:r>
    </w:p>
    <w:p w14:paraId="05A1614D" w14:textId="77777777" w:rsidR="00EC3F4A" w:rsidRPr="00C330FB" w:rsidRDefault="009E1558" w:rsidP="00EC3F4A">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Cornwell </w:t>
      </w:r>
      <w:proofErr w:type="spellStart"/>
      <w:r w:rsidR="002322E4" w:rsidRPr="00C330FB">
        <w:rPr>
          <w:rFonts w:ascii="Simplified Arabic" w:eastAsia="Times New Roman" w:hAnsi="Simplified Arabic" w:cs="Simplified Arabic"/>
          <w:b/>
          <w:bCs/>
          <w:color w:val="000000" w:themeColor="text1"/>
          <w:kern w:val="0"/>
          <w:sz w:val="28"/>
          <w:szCs w:val="28"/>
          <w14:ligatures w14:val="none"/>
        </w:rPr>
        <w:t>etal</w:t>
      </w:r>
      <w:proofErr w:type="spellEnd"/>
      <w:r w:rsidR="002322E4" w:rsidRPr="00C330FB">
        <w:rPr>
          <w:rFonts w:ascii="Simplified Arabic" w:eastAsia="Times New Roman" w:hAnsi="Simplified Arabic" w:cs="Simplified Arabic"/>
          <w:b/>
          <w:bCs/>
          <w:color w:val="000000" w:themeColor="text1"/>
          <w:kern w:val="0"/>
          <w:sz w:val="28"/>
          <w:szCs w:val="28"/>
          <w14:ligatures w14:val="none"/>
        </w:rPr>
        <w:t>.,</w:t>
      </w:r>
      <w:r w:rsidRPr="00C330FB">
        <w:rPr>
          <w:rFonts w:ascii="Simplified Arabic" w:eastAsia="Times New Roman" w:hAnsi="Simplified Arabic" w:cs="Simplified Arabic"/>
          <w:b/>
          <w:bCs/>
          <w:color w:val="000000" w:themeColor="text1"/>
          <w:kern w:val="0"/>
          <w:sz w:val="28"/>
          <w:szCs w:val="28"/>
          <w14:ligatures w14:val="none"/>
        </w:rPr>
        <w:t xml:space="preserve"> (2023): "</w:t>
      </w:r>
      <w:proofErr w:type="spellStart"/>
      <w:r w:rsidRPr="00C330FB">
        <w:rPr>
          <w:rFonts w:ascii="Simplified Arabic" w:eastAsia="Times New Roman" w:hAnsi="Simplified Arabic" w:cs="Simplified Arabic"/>
          <w:b/>
          <w:bCs/>
          <w:color w:val="000000" w:themeColor="text1"/>
          <w:kern w:val="0"/>
          <w:sz w:val="28"/>
          <w:szCs w:val="28"/>
          <w14:ligatures w14:val="none"/>
        </w:rPr>
        <w:t>Modernising</w:t>
      </w:r>
      <w:proofErr w:type="spellEnd"/>
      <w:r w:rsidRPr="00C330FB">
        <w:rPr>
          <w:rFonts w:ascii="Simplified Arabic" w:eastAsia="Times New Roman" w:hAnsi="Simplified Arabic" w:cs="Simplified Arabic"/>
          <w:b/>
          <w:bCs/>
          <w:color w:val="000000" w:themeColor="text1"/>
          <w:kern w:val="0"/>
          <w:sz w:val="28"/>
          <w:szCs w:val="28"/>
          <w14:ligatures w14:val="none"/>
        </w:rPr>
        <w:t xml:space="preserve"> operational risk management in financial institutions via data-driven causal factors analysis: A pre-registered study." </w:t>
      </w:r>
    </w:p>
    <w:p w14:paraId="447C5561" w14:textId="1B1E7B46"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 xml:space="preserve">هدفت الدراسة إلى التعرف على جدوى استخدام الشبكات </w:t>
      </w:r>
      <w:proofErr w:type="spellStart"/>
      <w:r w:rsidRPr="00C330FB">
        <w:rPr>
          <w:rFonts w:ascii="Simplified Arabic" w:eastAsia="Times New Roman" w:hAnsi="Simplified Arabic" w:cs="Simplified Arabic"/>
          <w:color w:val="000000" w:themeColor="text1"/>
          <w:kern w:val="0"/>
          <w:sz w:val="28"/>
          <w:szCs w:val="28"/>
          <w:rtl/>
          <w14:ligatures w14:val="none"/>
        </w:rPr>
        <w:t>البايزية</w:t>
      </w:r>
      <w:proofErr w:type="spellEnd"/>
      <w:r w:rsidRPr="00C330FB">
        <w:rPr>
          <w:rFonts w:ascii="Simplified Arabic" w:eastAsia="Times New Roman" w:hAnsi="Simplified Arabic" w:cs="Simplified Arabic"/>
          <w:color w:val="000000" w:themeColor="text1"/>
          <w:kern w:val="0"/>
          <w:sz w:val="28"/>
          <w:szCs w:val="28"/>
          <w14:ligatures w14:val="none"/>
        </w:rPr>
        <w:t xml:space="preserve"> (Bayesian Networks) </w:t>
      </w:r>
      <w:r w:rsidRPr="00C330FB">
        <w:rPr>
          <w:rFonts w:ascii="Simplified Arabic" w:eastAsia="Times New Roman" w:hAnsi="Simplified Arabic" w:cs="Simplified Arabic"/>
          <w:color w:val="000000" w:themeColor="text1"/>
          <w:kern w:val="0"/>
          <w:sz w:val="28"/>
          <w:szCs w:val="28"/>
          <w:rtl/>
          <w14:ligatures w14:val="none"/>
        </w:rPr>
        <w:t xml:space="preserve">كأداة كمية مبنية على البيانات للتحليل السببي لعوامل المخاطر التشغيلية في المؤسسات المالية، ومقارنة نموذج المخاطر المتعددة بالنماذج أحادية المخاطر. استخدمت الدراسة المنهج الكمي التحليلي ضمن تصميم مسجل مسبقاً </w:t>
      </w:r>
      <w:r w:rsidRPr="00C330FB">
        <w:rPr>
          <w:rFonts w:ascii="Simplified Arabic" w:eastAsia="Times New Roman" w:hAnsi="Simplified Arabic" w:cs="Simplified Arabic"/>
          <w:color w:val="000000" w:themeColor="text1"/>
          <w:kern w:val="0"/>
          <w:sz w:val="28"/>
          <w:szCs w:val="28"/>
          <w14:ligatures w14:val="none"/>
        </w:rPr>
        <w:t xml:space="preserve">(Pre-registered) </w:t>
      </w:r>
      <w:r w:rsidRPr="00C330FB">
        <w:rPr>
          <w:rFonts w:ascii="Simplified Arabic" w:eastAsia="Times New Roman" w:hAnsi="Simplified Arabic" w:cs="Simplified Arabic"/>
          <w:color w:val="000000" w:themeColor="text1"/>
          <w:kern w:val="0"/>
          <w:sz w:val="28"/>
          <w:szCs w:val="28"/>
          <w:rtl/>
          <w14:ligatures w14:val="none"/>
        </w:rPr>
        <w:t>في مجلة</w:t>
      </w:r>
      <w:r w:rsidRPr="00C330FB">
        <w:rPr>
          <w:rFonts w:ascii="Simplified Arabic" w:eastAsia="Times New Roman" w:hAnsi="Simplified Arabic" w:cs="Simplified Arabic"/>
          <w:color w:val="000000" w:themeColor="text1"/>
          <w:kern w:val="0"/>
          <w:sz w:val="28"/>
          <w:szCs w:val="28"/>
          <w14:ligatures w14:val="none"/>
        </w:rPr>
        <w:t xml:space="preserve"> Pacific-Basin Finance Journal</w:t>
      </w:r>
      <w:r w:rsidRPr="00C330FB">
        <w:rPr>
          <w:rFonts w:ascii="Simplified Arabic" w:eastAsia="Times New Roman" w:hAnsi="Simplified Arabic" w:cs="Simplified Arabic"/>
          <w:color w:val="000000" w:themeColor="text1"/>
          <w:kern w:val="0"/>
          <w:sz w:val="28"/>
          <w:szCs w:val="28"/>
          <w:rtl/>
          <w14:ligatures w14:val="none"/>
        </w:rPr>
        <w:t xml:space="preserve">، حيث بُنيت أربعة نماذج شبكات </w:t>
      </w:r>
      <w:proofErr w:type="spellStart"/>
      <w:r w:rsidRPr="00C330FB">
        <w:rPr>
          <w:rFonts w:ascii="Simplified Arabic" w:eastAsia="Times New Roman" w:hAnsi="Simplified Arabic" w:cs="Simplified Arabic"/>
          <w:color w:val="000000" w:themeColor="text1"/>
          <w:kern w:val="0"/>
          <w:sz w:val="28"/>
          <w:szCs w:val="28"/>
          <w:rtl/>
          <w14:ligatures w14:val="none"/>
        </w:rPr>
        <w:t>بايزية</w:t>
      </w:r>
      <w:proofErr w:type="spellEnd"/>
      <w:r w:rsidRPr="00C330FB">
        <w:rPr>
          <w:rFonts w:ascii="Simplified Arabic" w:eastAsia="Times New Roman" w:hAnsi="Simplified Arabic" w:cs="Simplified Arabic"/>
          <w:color w:val="000000" w:themeColor="text1"/>
          <w:kern w:val="0"/>
          <w:sz w:val="28"/>
          <w:szCs w:val="28"/>
          <w14:ligatures w14:val="none"/>
        </w:rPr>
        <w:t xml:space="preserve"> (BN1–BN4) </w:t>
      </w:r>
      <w:r w:rsidRPr="00C330FB">
        <w:rPr>
          <w:rFonts w:ascii="Simplified Arabic" w:eastAsia="Times New Roman" w:hAnsi="Simplified Arabic" w:cs="Simplified Arabic"/>
          <w:color w:val="000000" w:themeColor="text1"/>
          <w:kern w:val="0"/>
          <w:sz w:val="28"/>
          <w:szCs w:val="28"/>
          <w:rtl/>
          <w14:ligatures w14:val="none"/>
        </w:rPr>
        <w:t>بمتوسط 5,000 شبكة مدربة لكل نموذج. تكونت العينة من (13,562) مكالمة مُراجَعة</w:t>
      </w:r>
      <w:r w:rsidRPr="00C330FB">
        <w:rPr>
          <w:rFonts w:ascii="Simplified Arabic" w:eastAsia="Times New Roman" w:hAnsi="Simplified Arabic" w:cs="Simplified Arabic"/>
          <w:color w:val="000000" w:themeColor="text1"/>
          <w:kern w:val="0"/>
          <w:sz w:val="28"/>
          <w:szCs w:val="28"/>
          <w14:ligatures w14:val="none"/>
        </w:rPr>
        <w:t xml:space="preserve"> (audited calls) </w:t>
      </w:r>
      <w:r w:rsidRPr="00C330FB">
        <w:rPr>
          <w:rFonts w:ascii="Simplified Arabic" w:eastAsia="Times New Roman" w:hAnsi="Simplified Arabic" w:cs="Simplified Arabic"/>
          <w:color w:val="000000" w:themeColor="text1"/>
          <w:kern w:val="0"/>
          <w:sz w:val="28"/>
          <w:szCs w:val="28"/>
          <w:rtl/>
          <w14:ligatures w14:val="none"/>
        </w:rPr>
        <w:t>تتعلق بـ</w:t>
      </w:r>
      <w:r w:rsidRPr="00C330FB">
        <w:rPr>
          <w:rFonts w:ascii="Simplified Arabic" w:eastAsia="Times New Roman" w:hAnsi="Simplified Arabic" w:cs="Simplified Arabic"/>
          <w:color w:val="000000" w:themeColor="text1"/>
          <w:kern w:val="0"/>
          <w:sz w:val="28"/>
          <w:szCs w:val="28"/>
          <w14:ligatures w14:val="none"/>
        </w:rPr>
        <w:t xml:space="preserve">(531) </w:t>
      </w:r>
      <w:r w:rsidRPr="00C330FB">
        <w:rPr>
          <w:rFonts w:ascii="Simplified Arabic" w:eastAsia="Times New Roman" w:hAnsi="Simplified Arabic" w:cs="Simplified Arabic"/>
          <w:color w:val="000000" w:themeColor="text1"/>
          <w:kern w:val="0"/>
          <w:sz w:val="28"/>
          <w:szCs w:val="28"/>
          <w:rtl/>
          <w14:ligatures w14:val="none"/>
        </w:rPr>
        <w:t xml:space="preserve">مستشاراً في شركة تأمين أسترالية خلال الفترة من يناير 2019 إلى يونيو </w:t>
      </w:r>
      <w:r w:rsidRPr="00C330FB">
        <w:rPr>
          <w:rFonts w:ascii="Simplified Arabic" w:eastAsia="Times New Roman" w:hAnsi="Simplified Arabic" w:cs="Simplified Arabic"/>
          <w:color w:val="000000" w:themeColor="text1"/>
          <w:kern w:val="0"/>
          <w:sz w:val="28"/>
          <w:szCs w:val="28"/>
          <w14:ligatures w14:val="none"/>
        </w:rPr>
        <w:t>2021</w:t>
      </w:r>
      <w:r w:rsidRPr="00C330FB">
        <w:rPr>
          <w:rFonts w:ascii="Simplified Arabic" w:eastAsia="Times New Roman" w:hAnsi="Simplified Arabic" w:cs="Simplified Arabic"/>
          <w:color w:val="000000" w:themeColor="text1"/>
          <w:kern w:val="0"/>
          <w:sz w:val="28"/>
          <w:szCs w:val="28"/>
          <w:rtl/>
          <w14:ligatures w14:val="none"/>
        </w:rPr>
        <w:t>، مع تحديد (1,039) حالة عدم امتثال من ثلاثة أنواع: تقديم معلومات منتج غير صحيحة (4.05%)، عدم اتباع المتطلبات التشريعية العامة</w:t>
      </w:r>
      <w:r w:rsidRPr="00C330FB">
        <w:rPr>
          <w:rFonts w:ascii="Simplified Arabic" w:eastAsia="Times New Roman" w:hAnsi="Simplified Arabic" w:cs="Simplified Arabic"/>
          <w:color w:val="000000" w:themeColor="text1"/>
          <w:kern w:val="0"/>
          <w:sz w:val="28"/>
          <w:szCs w:val="28"/>
          <w14:ligatures w14:val="none"/>
        </w:rPr>
        <w:t xml:space="preserve"> (2.04%)</w:t>
      </w:r>
      <w:r w:rsidRPr="00C330FB">
        <w:rPr>
          <w:rFonts w:ascii="Simplified Arabic" w:eastAsia="Times New Roman" w:hAnsi="Simplified Arabic" w:cs="Simplified Arabic"/>
          <w:color w:val="000000" w:themeColor="text1"/>
          <w:kern w:val="0"/>
          <w:sz w:val="28"/>
          <w:szCs w:val="28"/>
          <w:rtl/>
          <w14:ligatures w14:val="none"/>
        </w:rPr>
        <w:t>، وعدم اتباع متطلبات تسجيل المكالمات (1.57%). وتوصلت النتائج إلى أن النموذج متعدد المخاطر</w:t>
      </w:r>
      <w:r w:rsidRPr="00C330FB">
        <w:rPr>
          <w:rFonts w:ascii="Simplified Arabic" w:eastAsia="Times New Roman" w:hAnsi="Simplified Arabic" w:cs="Simplified Arabic"/>
          <w:color w:val="000000" w:themeColor="text1"/>
          <w:kern w:val="0"/>
          <w:sz w:val="28"/>
          <w:szCs w:val="28"/>
          <w14:ligatures w14:val="none"/>
        </w:rPr>
        <w:t xml:space="preserve"> (BN4) </w:t>
      </w:r>
      <w:r w:rsidRPr="00C330FB">
        <w:rPr>
          <w:rFonts w:ascii="Simplified Arabic" w:eastAsia="Times New Roman" w:hAnsi="Simplified Arabic" w:cs="Simplified Arabic"/>
          <w:color w:val="000000" w:themeColor="text1"/>
          <w:kern w:val="0"/>
          <w:sz w:val="28"/>
          <w:szCs w:val="28"/>
          <w:rtl/>
          <w14:ligatures w14:val="none"/>
        </w:rPr>
        <w:t>يتفوق باستمرار على النماذج أحادية المخاطر في دقة التنبؤ لجميع أنواع الحوادث، ويكشف عن ظاهرة عدوى المخاطر بين أنواع الحوادث المختلفة، وأن عوامل مثل القسم ومجموعة العمل والخبرة السابقة هي الأكثر تأثيراً. وأوصت بتبني التحليل السببي القائم على البيانات في إدارة المخاطر التشغيلية وتصميم ضوابط ذكية تستهدف العوامل الأكثر انتشاراً وتأثيراً</w:t>
      </w:r>
      <w:r w:rsidRPr="00C330FB">
        <w:rPr>
          <w:rFonts w:ascii="Simplified Arabic" w:eastAsia="Times New Roman" w:hAnsi="Simplified Arabic" w:cs="Simplified Arabic"/>
          <w:color w:val="000000" w:themeColor="text1"/>
          <w:kern w:val="0"/>
          <w:sz w:val="28"/>
          <w:szCs w:val="28"/>
          <w14:ligatures w14:val="none"/>
        </w:rPr>
        <w:t>.</w:t>
      </w:r>
    </w:p>
    <w:p w14:paraId="7B6BFE06" w14:textId="77777777" w:rsidR="00EC3F4A" w:rsidRPr="00C330FB" w:rsidRDefault="009E1558" w:rsidP="00EC3F4A">
      <w:pPr>
        <w:pStyle w:val="a6"/>
        <w:numPr>
          <w:ilvl w:val="0"/>
          <w:numId w:val="40"/>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rtl/>
          <w14:ligatures w14:val="none"/>
        </w:rPr>
      </w:pPr>
      <w:r w:rsidRPr="00C330FB">
        <w:rPr>
          <w:rFonts w:ascii="Simplified Arabic" w:eastAsia="Times New Roman" w:hAnsi="Simplified Arabic" w:cs="Simplified Arabic"/>
          <w:b/>
          <w:bCs/>
          <w:color w:val="000000" w:themeColor="text1"/>
          <w:kern w:val="0"/>
          <w:sz w:val="28"/>
          <w:szCs w:val="28"/>
          <w:rtl/>
          <w14:ligatures w14:val="none"/>
        </w:rPr>
        <w:t>دراسة</w:t>
      </w:r>
      <w:r w:rsidRPr="00C330FB">
        <w:rPr>
          <w:rFonts w:ascii="Simplified Arabic" w:eastAsia="Times New Roman" w:hAnsi="Simplified Arabic" w:cs="Simplified Arabic"/>
          <w:b/>
          <w:bCs/>
          <w:color w:val="000000" w:themeColor="text1"/>
          <w:kern w:val="0"/>
          <w:sz w:val="28"/>
          <w:szCs w:val="28"/>
          <w14:ligatures w14:val="none"/>
        </w:rPr>
        <w:t xml:space="preserve"> Mahembe &amp; </w:t>
      </w:r>
      <w:proofErr w:type="spellStart"/>
      <w:r w:rsidRPr="00C330FB">
        <w:rPr>
          <w:rFonts w:ascii="Simplified Arabic" w:eastAsia="Times New Roman" w:hAnsi="Simplified Arabic" w:cs="Simplified Arabic"/>
          <w:b/>
          <w:bCs/>
          <w:color w:val="000000" w:themeColor="text1"/>
          <w:kern w:val="0"/>
          <w:sz w:val="28"/>
          <w:szCs w:val="28"/>
          <w14:ligatures w14:val="none"/>
        </w:rPr>
        <w:t>Mutezo</w:t>
      </w:r>
      <w:proofErr w:type="spellEnd"/>
      <w:r w:rsidRPr="00C330FB">
        <w:rPr>
          <w:rFonts w:ascii="Simplified Arabic" w:eastAsia="Times New Roman" w:hAnsi="Simplified Arabic" w:cs="Simplified Arabic"/>
          <w:b/>
          <w:bCs/>
          <w:color w:val="000000" w:themeColor="text1"/>
          <w:kern w:val="0"/>
          <w:sz w:val="28"/>
          <w:szCs w:val="28"/>
          <w14:ligatures w14:val="none"/>
        </w:rPr>
        <w:t xml:space="preserve"> (2025): "Operational risk management during disasters: A case of South African tourism small businesses." </w:t>
      </w:r>
    </w:p>
    <w:p w14:paraId="4D36958F" w14:textId="78FD24F6"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هدفت الدراسة إلى التعرف على إمكانية تطوير وتقييم إطار مُبسَّط لإدارة المخاطر التشغيلية يتناسب مع طبيعة المشاريع الصغيرة والمتناهية الصغر والمتوسطة</w:t>
      </w:r>
      <w:r w:rsidRPr="00C330FB">
        <w:rPr>
          <w:rFonts w:ascii="Simplified Arabic" w:eastAsia="Times New Roman" w:hAnsi="Simplified Arabic" w:cs="Simplified Arabic"/>
          <w:color w:val="000000" w:themeColor="text1"/>
          <w:kern w:val="0"/>
          <w:sz w:val="28"/>
          <w:szCs w:val="28"/>
          <w14:ligatures w14:val="none"/>
        </w:rPr>
        <w:t xml:space="preserve"> (SMMEs) </w:t>
      </w:r>
      <w:r w:rsidRPr="00C330FB">
        <w:rPr>
          <w:rFonts w:ascii="Simplified Arabic" w:eastAsia="Times New Roman" w:hAnsi="Simplified Arabic" w:cs="Simplified Arabic"/>
          <w:color w:val="000000" w:themeColor="text1"/>
          <w:kern w:val="0"/>
          <w:sz w:val="28"/>
          <w:szCs w:val="28"/>
          <w:rtl/>
          <w14:ligatures w14:val="none"/>
        </w:rPr>
        <w:t>في قطاع السياحة لإدارة تعرضها لمخاطر الكوارث مثل جائحة كوفيد-19، وذلك كبديل عن أطر مثل</w:t>
      </w:r>
      <w:r w:rsidRPr="00C330FB">
        <w:rPr>
          <w:rFonts w:ascii="Simplified Arabic" w:eastAsia="Times New Roman" w:hAnsi="Simplified Arabic" w:cs="Simplified Arabic"/>
          <w:color w:val="000000" w:themeColor="text1"/>
          <w:kern w:val="0"/>
          <w:sz w:val="28"/>
          <w:szCs w:val="28"/>
          <w14:ligatures w14:val="none"/>
        </w:rPr>
        <w:t xml:space="preserve"> ISO 31000 </w:t>
      </w:r>
      <w:r w:rsidRPr="00C330FB">
        <w:rPr>
          <w:rFonts w:ascii="Simplified Arabic" w:eastAsia="Times New Roman" w:hAnsi="Simplified Arabic" w:cs="Simplified Arabic"/>
          <w:color w:val="000000" w:themeColor="text1"/>
          <w:kern w:val="0"/>
          <w:sz w:val="28"/>
          <w:szCs w:val="28"/>
          <w:rtl/>
          <w14:ligatures w14:val="none"/>
        </w:rPr>
        <w:t>التي ثبت أنها معقدة ومكثفة الموارد بالنسبة لهذه المشاريع. يتألف الإطار المقترح من ثلاث مراحل: تحديد المخاطر/الاستعداد للكوارث، تحليل المخاطر/التعلم من الكوارث، ومعالجة المخاطر/بناء المرونة المؤسسية</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استخدمت الدراسة المنهج الكمي بأسلوب نمذجة المعادلات الهيكلية</w:t>
      </w:r>
      <w:r w:rsidRPr="00C330FB">
        <w:rPr>
          <w:rFonts w:ascii="Simplified Arabic" w:eastAsia="Times New Roman" w:hAnsi="Simplified Arabic" w:cs="Simplified Arabic"/>
          <w:color w:val="000000" w:themeColor="text1"/>
          <w:kern w:val="0"/>
          <w:sz w:val="28"/>
          <w:szCs w:val="28"/>
          <w14:ligatures w14:val="none"/>
        </w:rPr>
        <w:t xml:space="preserve"> (SEM) </w:t>
      </w:r>
      <w:r w:rsidRPr="00C330FB">
        <w:rPr>
          <w:rFonts w:ascii="Simplified Arabic" w:eastAsia="Times New Roman" w:hAnsi="Simplified Arabic" w:cs="Simplified Arabic"/>
          <w:color w:val="000000" w:themeColor="text1"/>
          <w:kern w:val="0"/>
          <w:sz w:val="28"/>
          <w:szCs w:val="28"/>
          <w:rtl/>
          <w14:ligatures w14:val="none"/>
        </w:rPr>
        <w:t>لاختبار فاعلية الإطار، وتحليل الارتباط، وتحليل التباين</w:t>
      </w:r>
      <w:r w:rsidRPr="00C330FB">
        <w:rPr>
          <w:rFonts w:ascii="Simplified Arabic" w:eastAsia="Times New Roman" w:hAnsi="Simplified Arabic" w:cs="Simplified Arabic"/>
          <w:color w:val="000000" w:themeColor="text1"/>
          <w:kern w:val="0"/>
          <w:sz w:val="28"/>
          <w:szCs w:val="28"/>
          <w14:ligatures w14:val="none"/>
        </w:rPr>
        <w:t xml:space="preserve"> (ANOVA) </w:t>
      </w:r>
      <w:r w:rsidRPr="00C330FB">
        <w:rPr>
          <w:rFonts w:ascii="Simplified Arabic" w:eastAsia="Times New Roman" w:hAnsi="Simplified Arabic" w:cs="Simplified Arabic"/>
          <w:color w:val="000000" w:themeColor="text1"/>
          <w:kern w:val="0"/>
          <w:sz w:val="28"/>
          <w:szCs w:val="28"/>
          <w:rtl/>
          <w14:ligatures w14:val="none"/>
        </w:rPr>
        <w:t xml:space="preserve">لتقييم قابلية تطبيقه عبر أحجام وأعمار وقطاعات فرعية مختلفة. تكونت العينة من </w:t>
      </w:r>
      <w:r w:rsidRPr="00C330FB">
        <w:rPr>
          <w:rFonts w:ascii="Simplified Arabic" w:eastAsia="Times New Roman" w:hAnsi="Simplified Arabic" w:cs="Simplified Arabic"/>
          <w:color w:val="000000" w:themeColor="text1"/>
          <w:kern w:val="0"/>
          <w:sz w:val="28"/>
          <w:szCs w:val="28"/>
          <w14:ligatures w14:val="none"/>
        </w:rPr>
        <w:t xml:space="preserve">(208) </w:t>
      </w:r>
      <w:r w:rsidRPr="00C330FB">
        <w:rPr>
          <w:rFonts w:ascii="Simplified Arabic" w:eastAsia="Times New Roman" w:hAnsi="Simplified Arabic" w:cs="Simplified Arabic"/>
          <w:color w:val="000000" w:themeColor="text1"/>
          <w:kern w:val="0"/>
          <w:sz w:val="28"/>
          <w:szCs w:val="28"/>
          <w:rtl/>
          <w14:ligatures w14:val="none"/>
        </w:rPr>
        <w:t>مشروعاً سياحياً صغيراً ومتوسطاً في جنوب إفريقيا. وتوصلت النتائج من تحليلي الارتباط و</w:t>
      </w:r>
      <w:r w:rsidRPr="00C330FB">
        <w:rPr>
          <w:rFonts w:ascii="Simplified Arabic" w:eastAsia="Times New Roman" w:hAnsi="Simplified Arabic" w:cs="Simplified Arabic"/>
          <w:color w:val="000000" w:themeColor="text1"/>
          <w:kern w:val="0"/>
          <w:sz w:val="28"/>
          <w:szCs w:val="28"/>
          <w14:ligatures w14:val="none"/>
        </w:rPr>
        <w:t xml:space="preserve">SEM </w:t>
      </w:r>
      <w:r w:rsidRPr="00C330FB">
        <w:rPr>
          <w:rFonts w:ascii="Simplified Arabic" w:eastAsia="Times New Roman" w:hAnsi="Simplified Arabic" w:cs="Simplified Arabic"/>
          <w:color w:val="000000" w:themeColor="text1"/>
          <w:kern w:val="0"/>
          <w:sz w:val="28"/>
          <w:szCs w:val="28"/>
          <w:rtl/>
          <w14:ligatures w14:val="none"/>
        </w:rPr>
        <w:t>إلى فاعلية الإطار المقترح في تفسير الاستعداد للكوارث والتعلم والمرونة، بينما أظهر تحليل</w:t>
      </w:r>
      <w:r w:rsidRPr="00C330FB">
        <w:rPr>
          <w:rFonts w:ascii="Simplified Arabic" w:eastAsia="Times New Roman" w:hAnsi="Simplified Arabic" w:cs="Simplified Arabic"/>
          <w:color w:val="000000" w:themeColor="text1"/>
          <w:kern w:val="0"/>
          <w:sz w:val="28"/>
          <w:szCs w:val="28"/>
          <w14:ligatures w14:val="none"/>
        </w:rPr>
        <w:t xml:space="preserve"> ANOVA </w:t>
      </w:r>
      <w:r w:rsidRPr="00C330FB">
        <w:rPr>
          <w:rFonts w:ascii="Simplified Arabic" w:eastAsia="Times New Roman" w:hAnsi="Simplified Arabic" w:cs="Simplified Arabic"/>
          <w:color w:val="000000" w:themeColor="text1"/>
          <w:kern w:val="0"/>
          <w:sz w:val="28"/>
          <w:szCs w:val="28"/>
          <w:rtl/>
          <w14:ligatures w14:val="none"/>
        </w:rPr>
        <w:t xml:space="preserve">أن الإطار قابل للتطبيق بالتساوي عبر القطاعات الفرعية السياحية، لكنه ليس متساوياً عبر عمر المشروع </w:t>
      </w:r>
      <w:r w:rsidRPr="00C330FB">
        <w:rPr>
          <w:rFonts w:ascii="Simplified Arabic" w:eastAsia="Times New Roman" w:hAnsi="Simplified Arabic" w:cs="Simplified Arabic"/>
          <w:color w:val="000000" w:themeColor="text1"/>
          <w:kern w:val="0"/>
          <w:sz w:val="28"/>
          <w:szCs w:val="28"/>
          <w:rtl/>
          <w14:ligatures w14:val="none"/>
        </w:rPr>
        <w:lastRenderedPageBreak/>
        <w:t>وحجمه: المشاريع الأكبر والأقدم كانت أقدر على تنفيذ التعلم من الكوارث وبناء المرونة مقارنة بالمشاريع الأصغر والأحدث. وأوصت بتوفير أدوات إدارة مخاطر مبسطة وبرامج تدريب حكومية موجهة للمشاريع الصغيرة</w:t>
      </w:r>
      <w:r w:rsidRPr="00C330FB">
        <w:rPr>
          <w:rFonts w:ascii="Simplified Arabic" w:eastAsia="Times New Roman" w:hAnsi="Simplified Arabic" w:cs="Simplified Arabic"/>
          <w:color w:val="000000" w:themeColor="text1"/>
          <w:kern w:val="0"/>
          <w:sz w:val="28"/>
          <w:szCs w:val="28"/>
          <w14:ligatures w14:val="none"/>
        </w:rPr>
        <w:t>.</w:t>
      </w:r>
    </w:p>
    <w:p w14:paraId="5CC99D0B" w14:textId="181F9E7D" w:rsidR="00EC3F4A" w:rsidRPr="00C330FB" w:rsidRDefault="00EC3F4A" w:rsidP="00EC3F4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rtl/>
          <w14:ligatures w14:val="none"/>
        </w:rPr>
      </w:pPr>
      <w:bookmarkStart w:id="10" w:name="_Toc233816274"/>
      <w:r w:rsidRPr="00C330FB">
        <w:rPr>
          <w:rFonts w:ascii="Simplified Arabic" w:eastAsia="Times New Roman" w:hAnsi="Simplified Arabic" w:cs="Simplified Arabic"/>
          <w:b/>
          <w:bCs/>
          <w:color w:val="000000" w:themeColor="text1"/>
          <w:kern w:val="0"/>
          <w:sz w:val="36"/>
          <w:szCs w:val="36"/>
          <w:rtl/>
          <w14:ligatures w14:val="none"/>
        </w:rPr>
        <w:t>8.1 الفجوة البحثية</w:t>
      </w:r>
      <w:bookmarkEnd w:id="10"/>
    </w:p>
    <w:p w14:paraId="02653E4A" w14:textId="4428F8DC"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تتفق الدراسة الحالية مع عدد من الدراسات السابقة في جوانب متعددة تتصل بالهدف العام والمنهجية المستخدمة وبيئة التطبيق. فمن حيث الهدف البحثي، تتقاطع الدراسة الحالية مع دراسة مسعود وشهاب (2024) ودراسة خوجة وحسيبة (2022) ودراسة وحدان (2024) في سعيها جميعاً إلى تحليل العوامل المؤثرة على إدارة المخاطر التشغيلية في المؤسسات المالية والتأمينية، وإن اختلفت طبيعة المتغير المستقل في كل منها. كما تلتقي مع دراسة</w:t>
      </w:r>
      <w:r w:rsidRPr="00C330FB">
        <w:rPr>
          <w:rFonts w:ascii="Simplified Arabic" w:eastAsia="Times New Roman" w:hAnsi="Simplified Arabic" w:cs="Simplified Arabic"/>
          <w:color w:val="000000" w:themeColor="text1"/>
          <w:kern w:val="0"/>
          <w:sz w:val="28"/>
          <w:szCs w:val="28"/>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ودراسة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Adland</w:t>
      </w:r>
      <w:proofErr w:type="spellEnd"/>
      <w:r w:rsidRPr="00C330FB">
        <w:rPr>
          <w:rFonts w:ascii="Simplified Arabic" w:eastAsia="Times New Roman" w:hAnsi="Simplified Arabic" w:cs="Simplified Arabic"/>
          <w:color w:val="000000" w:themeColor="text1"/>
          <w:kern w:val="0"/>
          <w:sz w:val="28"/>
          <w:szCs w:val="28"/>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 xml:space="preserve">في التأكيد على أهمية توظيف البيانات والتحليلات المتقدمة في تحسين دقة تقدير المخاطر التشغيلية والتأمينية، وتتفق مع دراسة أبو شقير (2020) ودراسة </w:t>
      </w:r>
      <w:r w:rsidRPr="00C330FB">
        <w:rPr>
          <w:rFonts w:ascii="Simplified Arabic" w:eastAsia="Times New Roman" w:hAnsi="Simplified Arabic" w:cs="Simplified Arabic"/>
          <w:color w:val="000000" w:themeColor="text1"/>
          <w:kern w:val="0"/>
          <w:sz w:val="28"/>
          <w:szCs w:val="28"/>
          <w14:ligatures w14:val="none"/>
        </w:rPr>
        <w:t xml:space="preserve">Potter et al. (2021) </w:t>
      </w:r>
      <w:r w:rsidRPr="00C330FB">
        <w:rPr>
          <w:rFonts w:ascii="Simplified Arabic" w:eastAsia="Times New Roman" w:hAnsi="Simplified Arabic" w:cs="Simplified Arabic"/>
          <w:color w:val="000000" w:themeColor="text1"/>
          <w:kern w:val="0"/>
          <w:sz w:val="28"/>
          <w:szCs w:val="28"/>
          <w:rtl/>
          <w14:ligatures w14:val="none"/>
        </w:rPr>
        <w:t>ودراسة</w:t>
      </w:r>
      <w:r w:rsidRPr="00C330FB">
        <w:rPr>
          <w:rFonts w:ascii="Simplified Arabic" w:eastAsia="Times New Roman" w:hAnsi="Simplified Arabic" w:cs="Simplified Arabic"/>
          <w:color w:val="000000" w:themeColor="text1"/>
          <w:kern w:val="0"/>
          <w:sz w:val="28"/>
          <w:szCs w:val="28"/>
          <w14:ligatures w14:val="none"/>
        </w:rPr>
        <w:t xml:space="preserve"> Zhang et al. (2022) </w:t>
      </w:r>
      <w:r w:rsidRPr="00C330FB">
        <w:rPr>
          <w:rFonts w:ascii="Simplified Arabic" w:eastAsia="Times New Roman" w:hAnsi="Simplified Arabic" w:cs="Simplified Arabic"/>
          <w:color w:val="000000" w:themeColor="text1"/>
          <w:kern w:val="0"/>
          <w:sz w:val="28"/>
          <w:szCs w:val="28"/>
          <w:rtl/>
          <w14:ligatures w14:val="none"/>
        </w:rPr>
        <w:t xml:space="preserve">في اهتمامها بالبيانات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وأنظمة الإنذار المبكر وتقييم المخاطر المناخية. أما من حيث المنهجية، فتتفق الدراسة الحالية مع غالبية الدراسات السابقة في اعتمادها على المنهج الوصفي التحليلي، إذ استخدمت دراسة مسعود وشهاب (2024) ودراسة وحدان (2024) ودراسة أبو شقير (2020) ودراسة خوجة وحسيبة (2022) المنهج ذاته، كما تتفق مع هذه الدراسات في استخدام الاستبانة أداةً رئيسية لجمع البيانات الأولية ومعالجتها إحصائياً. وفيما يخص بيئة التطبيق، تتقاطع الدراسة الحالية مع دراسة</w:t>
      </w:r>
      <w:r w:rsidRPr="00C330FB">
        <w:rPr>
          <w:rFonts w:ascii="Simplified Arabic" w:eastAsia="Times New Roman" w:hAnsi="Simplified Arabic" w:cs="Simplified Arabic"/>
          <w:color w:val="000000" w:themeColor="text1"/>
          <w:kern w:val="0"/>
          <w:sz w:val="28"/>
          <w:szCs w:val="28"/>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في تطبيقها على قطاع التأمين تحديداً، ومع دراسة مسعود وشهاب (2024) ودراسة وحدان (2024) ودراسة كلش (2025) في تركيزها على المؤسسات المالية في البيئة العربية، كما تتفق مع دراسة</w:t>
      </w:r>
      <w:r w:rsidRPr="00C330FB">
        <w:rPr>
          <w:rFonts w:ascii="Simplified Arabic" w:eastAsia="Times New Roman" w:hAnsi="Simplified Arabic" w:cs="Simplified Arabic"/>
          <w:color w:val="000000" w:themeColor="text1"/>
          <w:kern w:val="0"/>
          <w:sz w:val="28"/>
          <w:szCs w:val="28"/>
          <w14:ligatures w14:val="none"/>
        </w:rPr>
        <w:t xml:space="preserve"> Parisse et al. (2024) </w:t>
      </w:r>
      <w:r w:rsidRPr="00C330FB">
        <w:rPr>
          <w:rFonts w:ascii="Simplified Arabic" w:eastAsia="Times New Roman" w:hAnsi="Simplified Arabic" w:cs="Simplified Arabic"/>
          <w:color w:val="000000" w:themeColor="text1"/>
          <w:kern w:val="0"/>
          <w:sz w:val="28"/>
          <w:szCs w:val="28"/>
          <w:rtl/>
          <w14:ligatures w14:val="none"/>
        </w:rPr>
        <w:t>ودراسة</w:t>
      </w:r>
      <w:r w:rsidRPr="00C330FB">
        <w:rPr>
          <w:rFonts w:ascii="Simplified Arabic" w:eastAsia="Times New Roman" w:hAnsi="Simplified Arabic" w:cs="Simplified Arabic"/>
          <w:color w:val="000000" w:themeColor="text1"/>
          <w:kern w:val="0"/>
          <w:sz w:val="28"/>
          <w:szCs w:val="28"/>
          <w14:ligatures w14:val="none"/>
        </w:rPr>
        <w:t xml:space="preserve"> Deng et al. (2025) </w:t>
      </w:r>
      <w:r w:rsidRPr="00C330FB">
        <w:rPr>
          <w:rFonts w:ascii="Simplified Arabic" w:eastAsia="Times New Roman" w:hAnsi="Simplified Arabic" w:cs="Simplified Arabic"/>
          <w:color w:val="000000" w:themeColor="text1"/>
          <w:kern w:val="0"/>
          <w:sz w:val="28"/>
          <w:szCs w:val="28"/>
          <w:rtl/>
          <w14:ligatures w14:val="none"/>
        </w:rPr>
        <w:t>في اهتمامها بالسياق المناخي وأثره على المخاطر المؤسسية</w:t>
      </w:r>
      <w:r w:rsidRPr="00C330FB">
        <w:rPr>
          <w:rFonts w:ascii="Simplified Arabic" w:eastAsia="Times New Roman" w:hAnsi="Simplified Arabic" w:cs="Simplified Arabic"/>
          <w:color w:val="000000" w:themeColor="text1"/>
          <w:kern w:val="0"/>
          <w:sz w:val="28"/>
          <w:szCs w:val="28"/>
          <w14:ligatures w14:val="none"/>
        </w:rPr>
        <w:t>.</w:t>
      </w:r>
    </w:p>
    <w:p w14:paraId="72ED8942" w14:textId="77777777" w:rsidR="002322E4"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تتميز الدراسة الحالية عن الدراسات السابقة في عدة جوانب جوهرية تمنحها إضافة علمية واضحة. فمن حيث الهدف البحثي، تنفرد هذه الدراسة بالربط المنهجي المباشر بين توظيف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 كمتغير مستقل متعدد الأبعاد  وإدارة المخاطر التشغيلية  كمتغير تابع  في نموذج تحليلي واحد، وهو ما لم تتناوله أيٌّ من الدراسات السابقة المستعرضة بهذه الصورة التكاملية؛ إذ ركزت دراسة مسعود وشهاب (2024) على أبعاد الحوكمة، وتناولت دراسة خوجة وحسيبة (2022) مؤشرات المخاطر الرئيسية، وبحثت </w:t>
      </w:r>
      <w:r w:rsidRPr="00C330FB">
        <w:rPr>
          <w:rFonts w:ascii="Simplified Arabic" w:eastAsia="Times New Roman" w:hAnsi="Simplified Arabic" w:cs="Simplified Arabic"/>
          <w:color w:val="000000" w:themeColor="text1"/>
          <w:kern w:val="0"/>
          <w:sz w:val="28"/>
          <w:szCs w:val="28"/>
          <w:rtl/>
          <w14:ligatures w14:val="none"/>
        </w:rPr>
        <w:lastRenderedPageBreak/>
        <w:t>دراسة وحدان (2024) دور المراجعة الداخلية، بينما اقتصرت دراسة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Adland</w:t>
      </w:r>
      <w:proofErr w:type="spellEnd"/>
      <w:r w:rsidRPr="00C330FB">
        <w:rPr>
          <w:rFonts w:ascii="Simplified Arabic" w:eastAsia="Times New Roman" w:hAnsi="Simplified Arabic" w:cs="Simplified Arabic"/>
          <w:color w:val="000000" w:themeColor="text1"/>
          <w:kern w:val="0"/>
          <w:sz w:val="28"/>
          <w:szCs w:val="28"/>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على المخاطر البحرية دون ربطها بإطار إدارة المخاطر التشغيلية المؤسسية، واكتفت دراسة أبو شقير (2020) بالمقارنة بين نماذج التنبؤ دون تطبيقها على القطاع التأميني.</w:t>
      </w:r>
    </w:p>
    <w:p w14:paraId="5C9CEF7E" w14:textId="19F36FCA"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 فتختلف الدراسة الحالية عن دراسة</w:t>
      </w:r>
      <w:r w:rsidRPr="00C330FB">
        <w:rPr>
          <w:rFonts w:ascii="Simplified Arabic" w:eastAsia="Times New Roman" w:hAnsi="Simplified Arabic" w:cs="Simplified Arabic"/>
          <w:color w:val="000000" w:themeColor="text1"/>
          <w:kern w:val="0"/>
          <w:sz w:val="28"/>
          <w:szCs w:val="28"/>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 xml:space="preserve">التي اعتمدت على الشبكات </w:t>
      </w:r>
      <w:proofErr w:type="spellStart"/>
      <w:r w:rsidRPr="00C330FB">
        <w:rPr>
          <w:rFonts w:ascii="Simplified Arabic" w:eastAsia="Times New Roman" w:hAnsi="Simplified Arabic" w:cs="Simplified Arabic"/>
          <w:color w:val="000000" w:themeColor="text1"/>
          <w:kern w:val="0"/>
          <w:sz w:val="28"/>
          <w:szCs w:val="28"/>
          <w:rtl/>
          <w14:ligatures w14:val="none"/>
        </w:rPr>
        <w:t>البايزية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وبيانات ثانوية </w:t>
      </w:r>
      <w:proofErr w:type="spellStart"/>
      <w:r w:rsidRPr="00C330FB">
        <w:rPr>
          <w:rFonts w:ascii="Simplified Arabic" w:eastAsia="Times New Roman" w:hAnsi="Simplified Arabic" w:cs="Simplified Arabic"/>
          <w:color w:val="000000" w:themeColor="text1"/>
          <w:kern w:val="0"/>
          <w:sz w:val="28"/>
          <w:szCs w:val="28"/>
          <w:rtl/>
          <w14:ligatures w14:val="none"/>
        </w:rPr>
        <w:t>مؤرشفة</w:t>
      </w:r>
      <w:proofErr w:type="spellEnd"/>
      <w:r w:rsidRPr="00C330FB">
        <w:rPr>
          <w:rFonts w:ascii="Simplified Arabic" w:eastAsia="Times New Roman" w:hAnsi="Simplified Arabic" w:cs="Simplified Arabic"/>
          <w:color w:val="000000" w:themeColor="text1"/>
          <w:kern w:val="0"/>
          <w:sz w:val="28"/>
          <w:szCs w:val="28"/>
          <w:rtl/>
          <w14:ligatures w14:val="none"/>
        </w:rPr>
        <w:t>، وعن دراسة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Adland</w:t>
      </w:r>
      <w:proofErr w:type="spellEnd"/>
      <w:r w:rsidRPr="00C330FB">
        <w:rPr>
          <w:rFonts w:ascii="Simplified Arabic" w:eastAsia="Times New Roman" w:hAnsi="Simplified Arabic" w:cs="Simplified Arabic"/>
          <w:color w:val="000000" w:themeColor="text1"/>
          <w:kern w:val="0"/>
          <w:sz w:val="28"/>
          <w:szCs w:val="28"/>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التي استخدمت نماذج الانحدار اللوجستي وخوارزمية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XGBoost</w:t>
      </w:r>
      <w:proofErr w:type="spellEnd"/>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على بيانات ملاحية ومناخية ضخمة، وعن دراسة</w:t>
      </w:r>
      <w:r w:rsidRPr="00C330FB">
        <w:rPr>
          <w:rFonts w:ascii="Simplified Arabic" w:eastAsia="Times New Roman" w:hAnsi="Simplified Arabic" w:cs="Simplified Arabic"/>
          <w:color w:val="000000" w:themeColor="text1"/>
          <w:kern w:val="0"/>
          <w:sz w:val="28"/>
          <w:szCs w:val="28"/>
          <w14:ligatures w14:val="none"/>
        </w:rPr>
        <w:t xml:space="preserve"> Potter et al. (2021) </w:t>
      </w:r>
      <w:r w:rsidRPr="00C330FB">
        <w:rPr>
          <w:rFonts w:ascii="Simplified Arabic" w:eastAsia="Times New Roman" w:hAnsi="Simplified Arabic" w:cs="Simplified Arabic"/>
          <w:color w:val="000000" w:themeColor="text1"/>
          <w:kern w:val="0"/>
          <w:sz w:val="28"/>
          <w:szCs w:val="28"/>
          <w:rtl/>
          <w14:ligatures w14:val="none"/>
        </w:rPr>
        <w:t>التي تبنت منهجاً نوعياً قائماً على المقابلات وورش العمل، إذ تعتمد الدراسة الحالية على استبانة ميدانية مُحكّمة تستهدف قياس تصورات العاملين وتحليلها بأساليب الانحدار المتعدد. وفيما يتعلق ببيئة التطبيق، تتميز الدراسة الحالية بتطبيقها على شركات التأمين المصرية</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البالغ عددها (40) شركة وهي بيئة لم تُدرس في هذا السياق التكاملي من قبل، خلافاً لدراسة</w:t>
      </w:r>
      <w:r w:rsidRPr="00C330FB">
        <w:rPr>
          <w:rFonts w:ascii="Simplified Arabic" w:eastAsia="Times New Roman" w:hAnsi="Simplified Arabic" w:cs="Simplified Arabic"/>
          <w:color w:val="000000" w:themeColor="text1"/>
          <w:kern w:val="0"/>
          <w:sz w:val="28"/>
          <w:szCs w:val="28"/>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 xml:space="preserve">التي طُبقت في أستراليا، ودراسة </w:t>
      </w:r>
      <w:r w:rsidRPr="00C330FB">
        <w:rPr>
          <w:rFonts w:ascii="Simplified Arabic" w:eastAsia="Times New Roman" w:hAnsi="Simplified Arabic" w:cs="Simplified Arabic"/>
          <w:color w:val="000000" w:themeColor="text1"/>
          <w:kern w:val="0"/>
          <w:sz w:val="28"/>
          <w:szCs w:val="28"/>
          <w14:ligatures w14:val="none"/>
        </w:rPr>
        <w:t xml:space="preserve">Mahembe and </w:t>
      </w:r>
      <w:proofErr w:type="spellStart"/>
      <w:r w:rsidRPr="00C330FB">
        <w:rPr>
          <w:rFonts w:ascii="Simplified Arabic" w:eastAsia="Times New Roman" w:hAnsi="Simplified Arabic" w:cs="Simplified Arabic"/>
          <w:color w:val="000000" w:themeColor="text1"/>
          <w:kern w:val="0"/>
          <w:sz w:val="28"/>
          <w:szCs w:val="28"/>
          <w14:ligatures w14:val="none"/>
        </w:rPr>
        <w:t>Mutezo</w:t>
      </w:r>
      <w:proofErr w:type="spellEnd"/>
      <w:r w:rsidRPr="00C330FB">
        <w:rPr>
          <w:rFonts w:ascii="Simplified Arabic" w:eastAsia="Times New Roman" w:hAnsi="Simplified Arabic" w:cs="Simplified Arabic"/>
          <w:color w:val="000000" w:themeColor="text1"/>
          <w:kern w:val="0"/>
          <w:sz w:val="28"/>
          <w:szCs w:val="28"/>
          <w14:ligatures w14:val="none"/>
        </w:rPr>
        <w:t xml:space="preserve"> (2025) </w:t>
      </w:r>
      <w:r w:rsidRPr="00C330FB">
        <w:rPr>
          <w:rFonts w:ascii="Simplified Arabic" w:eastAsia="Times New Roman" w:hAnsi="Simplified Arabic" w:cs="Simplified Arabic"/>
          <w:color w:val="000000" w:themeColor="text1"/>
          <w:kern w:val="0"/>
          <w:sz w:val="28"/>
          <w:szCs w:val="28"/>
          <w:rtl/>
          <w14:ligatures w14:val="none"/>
        </w:rPr>
        <w:t>في جنوب أفريقيا، ودراسة</w:t>
      </w:r>
      <w:r w:rsidRPr="00C330FB">
        <w:rPr>
          <w:rFonts w:ascii="Simplified Arabic" w:eastAsia="Times New Roman" w:hAnsi="Simplified Arabic" w:cs="Simplified Arabic"/>
          <w:color w:val="000000" w:themeColor="text1"/>
          <w:kern w:val="0"/>
          <w:sz w:val="28"/>
          <w:szCs w:val="28"/>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14:ligatures w14:val="none"/>
        </w:rPr>
        <w:t>Hud</w:t>
      </w:r>
      <w:r w:rsidRPr="00C330FB">
        <w:rPr>
          <w:rFonts w:ascii="Cambria" w:eastAsia="Times New Roman" w:hAnsi="Cambria" w:cs="Cambria"/>
          <w:color w:val="000000" w:themeColor="text1"/>
          <w:kern w:val="0"/>
          <w:sz w:val="28"/>
          <w:szCs w:val="28"/>
          <w14:ligatures w14:val="none"/>
        </w:rPr>
        <w:t>á</w:t>
      </w:r>
      <w:r w:rsidRPr="00C330FB">
        <w:rPr>
          <w:rFonts w:ascii="Simplified Arabic" w:eastAsia="Times New Roman" w:hAnsi="Simplified Arabic" w:cs="Simplified Arabic"/>
          <w:color w:val="000000" w:themeColor="text1"/>
          <w:kern w:val="0"/>
          <w:sz w:val="28"/>
          <w:szCs w:val="28"/>
          <w14:ligatures w14:val="none"/>
        </w:rPr>
        <w:t>kov</w:t>
      </w:r>
      <w:r w:rsidRPr="00C330FB">
        <w:rPr>
          <w:rFonts w:ascii="Cambria" w:eastAsia="Times New Roman" w:hAnsi="Cambria" w:cs="Cambria"/>
          <w:color w:val="000000" w:themeColor="text1"/>
          <w:kern w:val="0"/>
          <w:sz w:val="28"/>
          <w:szCs w:val="28"/>
          <w14:ligatures w14:val="none"/>
        </w:rPr>
        <w:t>á</w:t>
      </w:r>
      <w:proofErr w:type="spellEnd"/>
      <w:r w:rsidRPr="00C330FB">
        <w:rPr>
          <w:rFonts w:ascii="Simplified Arabic" w:eastAsia="Times New Roman" w:hAnsi="Simplified Arabic" w:cs="Simplified Arabic"/>
          <w:color w:val="000000" w:themeColor="text1"/>
          <w:kern w:val="0"/>
          <w:sz w:val="28"/>
          <w:szCs w:val="28"/>
          <w14:ligatures w14:val="none"/>
        </w:rPr>
        <w:t xml:space="preserve"> et al. (2023) </w:t>
      </w:r>
      <w:r w:rsidRPr="00C330FB">
        <w:rPr>
          <w:rFonts w:ascii="Simplified Arabic" w:eastAsia="Times New Roman" w:hAnsi="Simplified Arabic" w:cs="Simplified Arabic"/>
          <w:color w:val="000000" w:themeColor="text1"/>
          <w:kern w:val="0"/>
          <w:sz w:val="28"/>
          <w:szCs w:val="28"/>
          <w:rtl/>
          <w14:ligatures w14:val="none"/>
        </w:rPr>
        <w:t>في دول أوروبا الوسطى، ودراسة مسعود وشهاب (2024) على القطاع المصرفي الليبي، ودراسة وحدان (2024) على المصارف الإسلامية الفلسطينية، مما يُضفي على الدراسة الحالية خصوصية سياقية تُثري الأدبيات العربية في هذا الحقل البحثي الناشئ</w:t>
      </w:r>
      <w:r w:rsidRPr="00C330FB">
        <w:rPr>
          <w:rFonts w:ascii="Simplified Arabic" w:eastAsia="Times New Roman" w:hAnsi="Simplified Arabic" w:cs="Simplified Arabic"/>
          <w:color w:val="000000" w:themeColor="text1"/>
          <w:kern w:val="0"/>
          <w:sz w:val="28"/>
          <w:szCs w:val="28"/>
          <w14:ligatures w14:val="none"/>
        </w:rPr>
        <w:t>.</w:t>
      </w:r>
    </w:p>
    <w:p w14:paraId="3D97BC86" w14:textId="77777777" w:rsidR="00EC3F4A" w:rsidRPr="00C330FB" w:rsidRDefault="00EC3F4A" w:rsidP="00EC3F4A">
      <w:pPr>
        <w:spacing w:before="100" w:beforeAutospacing="1" w:after="100" w:afterAutospacing="1" w:line="276" w:lineRule="auto"/>
        <w:outlineLvl w:val="1"/>
        <w:rPr>
          <w:rFonts w:ascii="Simplified Arabic" w:eastAsia="Times New Roman" w:hAnsi="Simplified Arabic" w:cs="Simplified Arabic"/>
          <w:b/>
          <w:bCs/>
          <w:color w:val="000000" w:themeColor="text1"/>
          <w:kern w:val="0"/>
          <w:sz w:val="36"/>
          <w:szCs w:val="36"/>
          <w:rtl/>
          <w14:ligatures w14:val="none"/>
        </w:rPr>
      </w:pPr>
      <w:bookmarkStart w:id="11" w:name="_Toc233816275"/>
      <w:bookmarkStart w:id="12" w:name="_Toc169790502"/>
      <w:bookmarkStart w:id="13" w:name="_Toc222622903"/>
      <w:bookmarkEnd w:id="2"/>
      <w:r w:rsidRPr="00C330FB">
        <w:rPr>
          <w:rFonts w:ascii="Simplified Arabic" w:eastAsia="Times New Roman" w:hAnsi="Simplified Arabic" w:cs="Simplified Arabic"/>
          <w:b/>
          <w:bCs/>
          <w:color w:val="000000" w:themeColor="text1"/>
          <w:kern w:val="0"/>
          <w:sz w:val="36"/>
          <w:szCs w:val="36"/>
          <w:rtl/>
          <w14:ligatures w14:val="none"/>
        </w:rPr>
        <w:t>9.1 المنطلقات النظرية للدراسة:</w:t>
      </w:r>
      <w:bookmarkEnd w:id="11"/>
    </w:p>
    <w:p w14:paraId="330BCECF" w14:textId="01283713" w:rsidR="00EC3F4A" w:rsidRPr="00C330FB" w:rsidRDefault="00EC3F4A" w:rsidP="00EC3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rtl/>
          <w14:ligatures w14:val="none"/>
        </w:rPr>
      </w:pPr>
      <w:r w:rsidRPr="00C330FB">
        <w:rPr>
          <w:rFonts w:ascii="Simplified Arabic" w:eastAsia="Times New Roman" w:hAnsi="Simplified Arabic" w:cs="Simplified Arabic"/>
          <w:b/>
          <w:bCs/>
          <w:color w:val="000000" w:themeColor="text1"/>
          <w:kern w:val="0"/>
          <w:sz w:val="32"/>
          <w:szCs w:val="32"/>
          <w:rtl/>
          <w14:ligatures w14:val="none"/>
        </w:rPr>
        <w:t>أولاً: الإطار المفاهيمي للبيانات الارصاد</w:t>
      </w:r>
    </w:p>
    <w:p w14:paraId="70E04718" w14:textId="0C03D083"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تُشكّل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المحور الأساسي الذي تنطلق منه هذه الدراسة في تحليل العلاقة بين المعلومات المناخية وإدارة المخاطر التشغيلية ويُقصد بالبيانات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مجموعة المعلومات الكمية والنوعية المتعلقة بعناصر الطقس والمناخ، والتي تشمل درجات الحرارة والرطوبة النسبية وسرعة الرياح واتجاهها وكميات الأمطار والضغط الجوي وارتفاع الأمواج والإشعاع الشمسي، ويتم جمعها من خلال شبكات محطات الرصد الأرضية والأقمار الاصطناعية ورادارات الطقس وعوامات المحيطات، ثم تُعالج بواسطة نماذج عددية حاسوبية لإنتاج تنبؤات جوية قصيرة ومتوسطة وطويلة المدى. وقد تعددت النماذج العالمية المستخدمة في هذا المجال وتفاوتت في بنيتها الرياضية ودقتها المكانية وأفقها الزمني، ومن أبرزها النموذج الأوروبي للتنبؤات الجوية المتوسطة المدى</w:t>
      </w:r>
      <w:r w:rsidRPr="00C330FB">
        <w:rPr>
          <w:rFonts w:ascii="Simplified Arabic" w:eastAsia="Times New Roman" w:hAnsi="Simplified Arabic" w:cs="Simplified Arabic"/>
          <w:color w:val="000000" w:themeColor="text1"/>
          <w:kern w:val="0"/>
          <w:sz w:val="28"/>
          <w:szCs w:val="28"/>
          <w14:ligatures w14:val="none"/>
        </w:rPr>
        <w:t xml:space="preserve"> (ECMWF) </w:t>
      </w:r>
      <w:r w:rsidRPr="00C330FB">
        <w:rPr>
          <w:rFonts w:ascii="Simplified Arabic" w:eastAsia="Times New Roman" w:hAnsi="Simplified Arabic" w:cs="Simplified Arabic"/>
          <w:color w:val="000000" w:themeColor="text1"/>
          <w:kern w:val="0"/>
          <w:sz w:val="28"/>
          <w:szCs w:val="28"/>
          <w:rtl/>
          <w14:ligatures w14:val="none"/>
        </w:rPr>
        <w:t xml:space="preserve">الذي يُعدّ من أكثر النماذج دقة وموثوقية على المستوى </w:t>
      </w:r>
      <w:r w:rsidRPr="00C330FB">
        <w:rPr>
          <w:rFonts w:ascii="Simplified Arabic" w:eastAsia="Times New Roman" w:hAnsi="Simplified Arabic" w:cs="Simplified Arabic"/>
          <w:color w:val="000000" w:themeColor="text1"/>
          <w:kern w:val="0"/>
          <w:sz w:val="28"/>
          <w:szCs w:val="28"/>
          <w:rtl/>
          <w14:ligatures w14:val="none"/>
        </w:rPr>
        <w:lastRenderedPageBreak/>
        <w:t xml:space="preserve">العالمي، إلى جانب نماذج أخرى كنموذج </w:t>
      </w:r>
      <w:r w:rsidRPr="00C330FB">
        <w:rPr>
          <w:rFonts w:ascii="Simplified Arabic" w:eastAsia="Times New Roman" w:hAnsi="Simplified Arabic" w:cs="Simplified Arabic"/>
          <w:color w:val="000000" w:themeColor="text1"/>
          <w:kern w:val="0"/>
          <w:sz w:val="28"/>
          <w:szCs w:val="28"/>
          <w14:ligatures w14:val="none"/>
        </w:rPr>
        <w:t xml:space="preserve">(NEMS) </w:t>
      </w:r>
      <w:r w:rsidRPr="00C330FB">
        <w:rPr>
          <w:rFonts w:ascii="Simplified Arabic" w:eastAsia="Times New Roman" w:hAnsi="Simplified Arabic" w:cs="Simplified Arabic"/>
          <w:color w:val="000000" w:themeColor="text1"/>
          <w:kern w:val="0"/>
          <w:sz w:val="28"/>
          <w:szCs w:val="28"/>
          <w:rtl/>
          <w14:ligatures w14:val="none"/>
        </w:rPr>
        <w:t>ونموذج</w:t>
      </w:r>
      <w:r w:rsidRPr="00C330FB">
        <w:rPr>
          <w:rFonts w:ascii="Simplified Arabic" w:eastAsia="Times New Roman" w:hAnsi="Simplified Arabic" w:cs="Simplified Arabic"/>
          <w:color w:val="000000" w:themeColor="text1"/>
          <w:kern w:val="0"/>
          <w:sz w:val="28"/>
          <w:szCs w:val="28"/>
          <w14:ligatures w14:val="none"/>
        </w:rPr>
        <w:t xml:space="preserve"> (ICON) </w:t>
      </w:r>
      <w:r w:rsidRPr="00C330FB">
        <w:rPr>
          <w:rFonts w:ascii="Simplified Arabic" w:eastAsia="Times New Roman" w:hAnsi="Simplified Arabic" w:cs="Simplified Arabic"/>
          <w:color w:val="000000" w:themeColor="text1"/>
          <w:kern w:val="0"/>
          <w:sz w:val="28"/>
          <w:szCs w:val="28"/>
          <w:rtl/>
          <w14:ligatures w14:val="none"/>
        </w:rPr>
        <w:t xml:space="preserve">اللذين يحتلان مكانة متقدمة في التنبؤات الإقليمية </w:t>
      </w:r>
      <w:r w:rsidR="002322E4" w:rsidRPr="00C330FB">
        <w:rPr>
          <w:rFonts w:ascii="Simplified Arabic" w:eastAsia="Times New Roman" w:hAnsi="Simplified Arabic" w:cs="Simplified Arabic"/>
          <w:color w:val="000000" w:themeColor="text1"/>
          <w:kern w:val="0"/>
          <w:sz w:val="28"/>
          <w:szCs w:val="28"/>
          <w:rtl/>
          <w14:ligatures w14:val="none"/>
        </w:rPr>
        <w:t>(</w:t>
      </w:r>
      <w:r w:rsidRPr="00C330FB">
        <w:rPr>
          <w:rFonts w:ascii="Simplified Arabic" w:eastAsia="Times New Roman" w:hAnsi="Simplified Arabic" w:cs="Simplified Arabic"/>
          <w:color w:val="000000" w:themeColor="text1"/>
          <w:kern w:val="0"/>
          <w:sz w:val="28"/>
          <w:szCs w:val="28"/>
          <w:rtl/>
          <w14:ligatures w14:val="none"/>
        </w:rPr>
        <w:t>أبو شقير، 2020</w:t>
      </w:r>
      <w:r w:rsidR="002322E4" w:rsidRPr="00C330FB">
        <w:rPr>
          <w:rFonts w:ascii="Simplified Arabic" w:eastAsia="Times New Roman" w:hAnsi="Simplified Arabic" w:cs="Simplified Arabic"/>
          <w:color w:val="000000" w:themeColor="text1"/>
          <w:kern w:val="0"/>
          <w:sz w:val="28"/>
          <w:szCs w:val="28"/>
          <w:rtl/>
          <w14:ligatures w14:val="none"/>
        </w:rPr>
        <w:t>)</w:t>
      </w:r>
    </w:p>
    <w:p w14:paraId="67145BD4" w14:textId="2634A6D1"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وقد أحدث التقدم في تقنيات الذكاء الاصطناعي والتعلم العميق نقلة نوعية في قدرات التنبؤ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w:t>
      </w:r>
      <w:proofErr w:type="spellEnd"/>
      <w:r w:rsidRPr="00C330FB">
        <w:rPr>
          <w:rFonts w:ascii="Simplified Arabic" w:eastAsia="Times New Roman" w:hAnsi="Simplified Arabic" w:cs="Simplified Arabic"/>
          <w:color w:val="000000" w:themeColor="text1"/>
          <w:kern w:val="0"/>
          <w:sz w:val="28"/>
          <w:szCs w:val="28"/>
          <w:rtl/>
          <w14:ligatures w14:val="none"/>
        </w:rPr>
        <w:t>، حيث أصبحت الشبكات العصبية العميقة ولا سيما شبكات الذاكرة الطويلة قصيرة المدى</w:t>
      </w:r>
      <w:r w:rsidRPr="00C330FB">
        <w:rPr>
          <w:rFonts w:ascii="Simplified Arabic" w:eastAsia="Times New Roman" w:hAnsi="Simplified Arabic" w:cs="Simplified Arabic"/>
          <w:color w:val="000000" w:themeColor="text1"/>
          <w:kern w:val="0"/>
          <w:sz w:val="28"/>
          <w:szCs w:val="28"/>
          <w14:ligatures w14:val="none"/>
        </w:rPr>
        <w:t xml:space="preserve"> (LSTM) </w:t>
      </w:r>
      <w:r w:rsidRPr="00C330FB">
        <w:rPr>
          <w:rFonts w:ascii="Simplified Arabic" w:eastAsia="Times New Roman" w:hAnsi="Simplified Arabic" w:cs="Simplified Arabic"/>
          <w:color w:val="000000" w:themeColor="text1"/>
          <w:kern w:val="0"/>
          <w:sz w:val="28"/>
          <w:szCs w:val="28"/>
          <w:rtl/>
          <w14:ligatures w14:val="none"/>
        </w:rPr>
        <w:t>قادرة على التقاط الأنماط الزمنية المعقدة في البيانات المناخية وإنتاج تنبؤات تفوق في دقتها النماذج الإحصائية التقليدية، مما أتاح بناء خرائط مخاطر ديناميكية تتحدث آنياً مع تغير الظروف الجوية</w:t>
      </w:r>
      <w:r w:rsidRPr="00C330FB">
        <w:rPr>
          <w:rFonts w:ascii="Simplified Arabic" w:eastAsia="Times New Roman" w:hAnsi="Simplified Arabic" w:cs="Simplified Arabic"/>
          <w:color w:val="000000" w:themeColor="text1"/>
          <w:kern w:val="0"/>
          <w:sz w:val="28"/>
          <w:szCs w:val="28"/>
          <w14:ligatures w14:val="none"/>
        </w:rPr>
        <w:t xml:space="preserve"> (Deng et al., 2025). </w:t>
      </w:r>
      <w:r w:rsidRPr="00C330FB">
        <w:rPr>
          <w:rFonts w:ascii="Simplified Arabic" w:eastAsia="Times New Roman" w:hAnsi="Simplified Arabic" w:cs="Simplified Arabic"/>
          <w:color w:val="000000" w:themeColor="text1"/>
          <w:kern w:val="0"/>
          <w:sz w:val="28"/>
          <w:szCs w:val="28"/>
          <w:rtl/>
          <w14:ligatures w14:val="none"/>
        </w:rPr>
        <w:t xml:space="preserve">وفي السياق ذاته، تطورت مفاهيم التنبؤ الجوي المبني على الأثر </w:t>
      </w:r>
      <w:r w:rsidRPr="00C330FB">
        <w:rPr>
          <w:rFonts w:ascii="Simplified Arabic" w:eastAsia="Times New Roman" w:hAnsi="Simplified Arabic" w:cs="Simplified Arabic"/>
          <w:color w:val="000000" w:themeColor="text1"/>
          <w:kern w:val="0"/>
          <w:sz w:val="28"/>
          <w:szCs w:val="28"/>
          <w14:ligatures w14:val="none"/>
        </w:rPr>
        <w:t xml:space="preserve">(Impact-Based Forecasting) </w:t>
      </w:r>
      <w:r w:rsidRPr="00C330FB">
        <w:rPr>
          <w:rFonts w:ascii="Simplified Arabic" w:eastAsia="Times New Roman" w:hAnsi="Simplified Arabic" w:cs="Simplified Arabic"/>
          <w:color w:val="000000" w:themeColor="text1"/>
          <w:kern w:val="0"/>
          <w:sz w:val="28"/>
          <w:szCs w:val="28"/>
          <w:rtl/>
          <w14:ligatures w14:val="none"/>
        </w:rPr>
        <w:t xml:space="preserve">التي تتجاوز التنبؤ بالظواهر الجوية ذاتها إلى التنبؤ بآثارها المحتملة على البشر والممتلكات والبنية التحتية، وهو ما يُعزز من قيمة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بوصفها أداة لصنع القرار المؤسسي وليس مجرد معلومات وصفية عن حالة الطقس</w:t>
      </w:r>
      <w:r w:rsidRPr="00C330FB">
        <w:rPr>
          <w:rFonts w:ascii="Simplified Arabic" w:eastAsia="Times New Roman" w:hAnsi="Simplified Arabic" w:cs="Simplified Arabic"/>
          <w:color w:val="000000" w:themeColor="text1"/>
          <w:kern w:val="0"/>
          <w:sz w:val="28"/>
          <w:szCs w:val="28"/>
          <w14:ligatures w14:val="none"/>
        </w:rPr>
        <w:t xml:space="preserve"> (Potter et al., 2021).</w:t>
      </w:r>
    </w:p>
    <w:p w14:paraId="3D3C2334" w14:textId="485854B1" w:rsidR="009E1558" w:rsidRPr="00C330FB" w:rsidRDefault="009E1558" w:rsidP="00EC3F4A">
      <w:pPr>
        <w:spacing w:before="100" w:beforeAutospacing="1" w:after="100" w:afterAutospacing="1" w:line="276" w:lineRule="auto"/>
        <w:jc w:val="both"/>
        <w:rPr>
          <w:rFonts w:ascii="Simplified Arabic" w:eastAsia="Times New Roman" w:hAnsi="Simplified Arabic" w:cs="Simplified Arabic"/>
          <w:b/>
          <w:bCs/>
          <w:color w:val="000000" w:themeColor="text1"/>
          <w:kern w:val="0"/>
          <w:sz w:val="32"/>
          <w:szCs w:val="32"/>
          <w14:ligatures w14:val="none"/>
        </w:rPr>
      </w:pPr>
      <w:bookmarkStart w:id="14" w:name="_Toc223916819"/>
      <w:r w:rsidRPr="00C330FB">
        <w:rPr>
          <w:rFonts w:ascii="Simplified Arabic" w:eastAsia="Times New Roman" w:hAnsi="Simplified Arabic" w:cs="Simplified Arabic"/>
          <w:b/>
          <w:bCs/>
          <w:color w:val="000000" w:themeColor="text1"/>
          <w:kern w:val="0"/>
          <w:sz w:val="32"/>
          <w:szCs w:val="32"/>
          <w:rtl/>
          <w14:ligatures w14:val="none"/>
        </w:rPr>
        <w:t>ثانياً: الإطار المفاهيمي لإدارة المخاطر التشغيلية</w:t>
      </w:r>
      <w:bookmarkEnd w:id="14"/>
      <w:r w:rsidRPr="00C330FB">
        <w:rPr>
          <w:rFonts w:ascii="Simplified Arabic" w:eastAsia="Times New Roman" w:hAnsi="Simplified Arabic" w:cs="Simplified Arabic"/>
          <w:b/>
          <w:bCs/>
          <w:color w:val="000000" w:themeColor="text1"/>
          <w:kern w:val="0"/>
          <w:sz w:val="32"/>
          <w:szCs w:val="32"/>
          <w:rtl/>
          <w14:ligatures w14:val="none"/>
        </w:rPr>
        <w:t xml:space="preserve"> </w:t>
      </w:r>
    </w:p>
    <w:p w14:paraId="471F4ACC" w14:textId="030EC773"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تحتل إدارة المخاطر التشغيلية مكانة محورية في الأدبيات المالية والتأمينية المعاصرة، وقد تبلور مفهومها بصورة واضحة مع صدور اتفاقيات بازل المتعاقبة التي وضعت أُطراً معيارية لتحديد المخاطر التشغيلية وقياسها وإدارتها في المؤسسات المالية. وتُعرَّف المخاطر التشغيلية وفقاً لإطار بازل الثاني بأنها مخاطر الخسارة الناتجة عن عدم كفاية أو إخفاق العمليات الداخلية أو الأفراد أو الأنظمة أو الأحداث الخارجية، وهو تعريف يتسع ليشمل الأخطاء البشرية وأعطال التقنية والاحتيال والكوارث الطبيعية والتغيرات التنظيمية والقانونية. وتتعدد مصادر المخاطر التشغيلية في المؤسسات المالية والتأمينية لتشمل الإخفاقات في أنظمة المعلومات، والقصور في الرقابة الداخلية، والأخطاء في عمليات الاكتتاب والتسعير، والتأخر في تسوية المطالبات، فضلاً عن المخاطر الناجمة عن الأحداث الخارجية كالكوارث الطبيعية المرتبطة بالتقلبات المناخية (كلش، </w:t>
      </w:r>
      <w:r w:rsidRPr="00C330FB">
        <w:rPr>
          <w:rFonts w:ascii="Simplified Arabic" w:eastAsia="Times New Roman" w:hAnsi="Simplified Arabic" w:cs="Simplified Arabic"/>
          <w:color w:val="000000" w:themeColor="text1"/>
          <w:kern w:val="0"/>
          <w:sz w:val="28"/>
          <w:szCs w:val="28"/>
          <w14:ligatures w14:val="none"/>
        </w:rPr>
        <w:t>2025</w:t>
      </w:r>
      <w:r w:rsidR="002322E4" w:rsidRPr="00C330FB">
        <w:rPr>
          <w:rFonts w:ascii="Simplified Arabic" w:eastAsia="Times New Roman" w:hAnsi="Simplified Arabic" w:cs="Simplified Arabic"/>
          <w:color w:val="000000" w:themeColor="text1"/>
          <w:kern w:val="0"/>
          <w:sz w:val="28"/>
          <w:szCs w:val="28"/>
          <w:rtl/>
          <w14:ligatures w14:val="none"/>
        </w:rPr>
        <w:t>)</w:t>
      </w:r>
    </w:p>
    <w:p w14:paraId="168543D6" w14:textId="77777777"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وتقوم إدارة المخاطر التشغيلية على عملية منهجية متكاملة تبدأ بمرحلة تحديد المخاطر وتصنيفها وفق طبيعتها ومصادرها، ثم مرحلة تقييمها وقياس احتمالات وقوعها وحجم أثرها المتوقع باستخدام أدوات كمية ونوعية متنوعة كمصفوفات المخاطر والنماذج الاحتمالية</w:t>
      </w:r>
      <w:r w:rsidRPr="00C330FB">
        <w:rPr>
          <w:rFonts w:ascii="Simplified Arabic" w:eastAsia="Times New Roman" w:hAnsi="Simplified Arabic" w:cs="Simplified Arabic"/>
          <w:color w:val="000000" w:themeColor="text1"/>
          <w:kern w:val="0"/>
          <w:sz w:val="28"/>
          <w:szCs w:val="28"/>
          <w14:ligatures w14:val="none"/>
        </w:rPr>
        <w:t xml:space="preserve"> (Zhang et al., 2022)</w:t>
      </w:r>
      <w:r w:rsidRPr="00C330FB">
        <w:rPr>
          <w:rFonts w:ascii="Simplified Arabic" w:eastAsia="Times New Roman" w:hAnsi="Simplified Arabic" w:cs="Simplified Arabic"/>
          <w:color w:val="000000" w:themeColor="text1"/>
          <w:kern w:val="0"/>
          <w:sz w:val="28"/>
          <w:szCs w:val="28"/>
          <w:rtl/>
          <w14:ligatures w14:val="none"/>
        </w:rPr>
        <w:t xml:space="preserve">، تليها مرحلة الاستجابة التي تتضمن اختيار الاستراتيجية المناسبة للتعامل مع كل خطر سواء بالتجنب أو التخفيف أو التحويل أو </w:t>
      </w:r>
      <w:r w:rsidRPr="00C330FB">
        <w:rPr>
          <w:rFonts w:ascii="Simplified Arabic" w:eastAsia="Times New Roman" w:hAnsi="Simplified Arabic" w:cs="Simplified Arabic"/>
          <w:color w:val="000000" w:themeColor="text1"/>
          <w:kern w:val="0"/>
          <w:sz w:val="28"/>
          <w:szCs w:val="28"/>
          <w:rtl/>
          <w14:ligatures w14:val="none"/>
        </w:rPr>
        <w:lastRenderedPageBreak/>
        <w:t>القبول، وأخيراً مرحلة المتابعة والمراقبة المستمرة التي تضمن فاعلية الإجراءات المتخذة وتحديثها في ضوء المستجدات. وقد أكدت الأدبيات أن فاعلية هذه العملية ترتبط ارتباطاً وثيقاً بعدة عوامل مؤسسية من بينها كفاءة الحوكمة ومسؤوليات مجلس الإدارة وحقوق المساهمين والإفصاح والشفافية ونظم الرقابة الداخلية (مسعود وشهاب، 2024)، وكذلك بكفاءة المراجعة الداخلية ومستوى تأهيل المراجعين والصلاحيات الممنوحة لهم ونطاق عمليات المراجعة وشمولها (وحدان، 2024)</w:t>
      </w:r>
      <w:r w:rsidRPr="00C330FB">
        <w:rPr>
          <w:rFonts w:ascii="Simplified Arabic" w:eastAsia="Times New Roman" w:hAnsi="Simplified Arabic" w:cs="Simplified Arabic"/>
          <w:color w:val="000000" w:themeColor="text1"/>
          <w:kern w:val="0"/>
          <w:sz w:val="28"/>
          <w:szCs w:val="28"/>
          <w14:ligatures w14:val="none"/>
        </w:rPr>
        <w:t>.</w:t>
      </w:r>
    </w:p>
    <w:p w14:paraId="11882669" w14:textId="77777777"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وقد شهدت منهجيات إدارة المخاطر التشغيلية تحولاً نوعياً مع ظهور المقاربات القائمة على البيانات والتحليلات المتقدمة، إذ أتاحت تقنيات الشبكات </w:t>
      </w:r>
      <w:proofErr w:type="spellStart"/>
      <w:r w:rsidRPr="00C330FB">
        <w:rPr>
          <w:rFonts w:ascii="Simplified Arabic" w:eastAsia="Times New Roman" w:hAnsi="Simplified Arabic" w:cs="Simplified Arabic"/>
          <w:color w:val="000000" w:themeColor="text1"/>
          <w:kern w:val="0"/>
          <w:sz w:val="28"/>
          <w:szCs w:val="28"/>
          <w:rtl/>
          <w14:ligatures w14:val="none"/>
        </w:rPr>
        <w:t>البايزية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والتعلم الآلي تحليل العوامل السببية للمخاطر التشغيلية بدقة أعلى وتحديد أنماط التزامن والعدوى بين أنواع الحوادث المختلفة، مما يُوفر رؤى أكثر شمولاً لصنّاع القرار مقارنة بالأساليب التقليدية التي تُعالج كل نوع من المخاطر بمعزل عن غيره </w:t>
      </w:r>
      <w:r w:rsidRPr="00C330FB">
        <w:rPr>
          <w:rFonts w:ascii="Simplified Arabic" w:eastAsia="Times New Roman" w:hAnsi="Simplified Arabic" w:cs="Simplified Arabic"/>
          <w:color w:val="000000" w:themeColor="text1"/>
          <w:kern w:val="0"/>
          <w:sz w:val="28"/>
          <w:szCs w:val="28"/>
          <w14:ligatures w14:val="none"/>
        </w:rPr>
        <w:t xml:space="preserve">(Cornwell et al., 2023). </w:t>
      </w:r>
      <w:r w:rsidRPr="00C330FB">
        <w:rPr>
          <w:rFonts w:ascii="Simplified Arabic" w:eastAsia="Times New Roman" w:hAnsi="Simplified Arabic" w:cs="Simplified Arabic"/>
          <w:color w:val="000000" w:themeColor="text1"/>
          <w:kern w:val="0"/>
          <w:sz w:val="28"/>
          <w:szCs w:val="28"/>
          <w:rtl/>
          <w14:ligatures w14:val="none"/>
        </w:rPr>
        <w:t>كما أظهرت الدراسات أن التحول الرقمي بشكل عام يُسهم في تخفيض المخاطر التشغيلية من خلال تحسين كفاءة سلاسل الإمداد وتعزيز القدرة على المراقبة والاستجابة في الزمن الحقيقي</w:t>
      </w:r>
      <w:r w:rsidRPr="00C330FB">
        <w:rPr>
          <w:rFonts w:ascii="Simplified Arabic" w:eastAsia="Times New Roman" w:hAnsi="Simplified Arabic" w:cs="Simplified Arabic"/>
          <w:color w:val="000000" w:themeColor="text1"/>
          <w:kern w:val="0"/>
          <w:sz w:val="28"/>
          <w:szCs w:val="28"/>
          <w14:ligatures w14:val="none"/>
        </w:rPr>
        <w:t xml:space="preserve"> (Yin et al., 2024).</w:t>
      </w:r>
    </w:p>
    <w:p w14:paraId="51B84DF9" w14:textId="0F18DACF" w:rsidR="009E1558" w:rsidRPr="00C330FB" w:rsidRDefault="00EC3F4A" w:rsidP="00EC3F4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5" w:name="_Toc223916820"/>
      <w:bookmarkStart w:id="16" w:name="_Toc233816276"/>
      <w:r w:rsidRPr="00C330FB">
        <w:rPr>
          <w:rFonts w:ascii="Simplified Arabic" w:eastAsia="Times New Roman" w:hAnsi="Simplified Arabic" w:cs="Simplified Arabic" w:hint="cs"/>
          <w:b/>
          <w:bCs/>
          <w:color w:val="000000" w:themeColor="text1"/>
          <w:kern w:val="0"/>
          <w:sz w:val="36"/>
          <w:szCs w:val="36"/>
          <w:rtl/>
          <w14:ligatures w14:val="none"/>
        </w:rPr>
        <w:t xml:space="preserve">10.1 </w:t>
      </w:r>
      <w:r w:rsidR="009E1558" w:rsidRPr="00C330FB">
        <w:rPr>
          <w:rFonts w:ascii="Simplified Arabic" w:eastAsia="Times New Roman" w:hAnsi="Simplified Arabic" w:cs="Simplified Arabic"/>
          <w:b/>
          <w:bCs/>
          <w:color w:val="000000" w:themeColor="text1"/>
          <w:kern w:val="0"/>
          <w:sz w:val="36"/>
          <w:szCs w:val="36"/>
          <w:rtl/>
          <w14:ligatures w14:val="none"/>
        </w:rPr>
        <w:t>مصطلحات الدراسة</w:t>
      </w:r>
      <w:bookmarkEnd w:id="15"/>
      <w:bookmarkEnd w:id="16"/>
    </w:p>
    <w:p w14:paraId="26942446" w14:textId="610CA1CB"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14:ligatures w14:val="none"/>
        </w:rPr>
        <w:t xml:space="preserve"> (Meteorological Data): </w:t>
      </w:r>
      <w:r w:rsidRPr="00C330FB">
        <w:rPr>
          <w:rFonts w:ascii="Simplified Arabic" w:eastAsia="Times New Roman" w:hAnsi="Simplified Arabic" w:cs="Simplified Arabic"/>
          <w:color w:val="000000" w:themeColor="text1"/>
          <w:kern w:val="0"/>
          <w:sz w:val="28"/>
          <w:szCs w:val="28"/>
          <w:rtl/>
          <w14:ligatures w14:val="none"/>
        </w:rPr>
        <w:t>تُعرَّف إجرائياً في هذه الدراسة بأنها مجموع المعلومات الكمية المتعلقة بعناصر الطقس والمناخ — كدرجات الحرارة والأمطار والرياح والضغط الجوي</w:t>
      </w:r>
      <w:r w:rsidRPr="00C330FB">
        <w:rPr>
          <w:rFonts w:ascii="Simplified Arabic" w:eastAsia="Times New Roman" w:hAnsi="Simplified Arabic" w:cs="Simplified Arabic"/>
          <w:color w:val="000000" w:themeColor="text1"/>
          <w:kern w:val="0"/>
          <w:sz w:val="28"/>
          <w:szCs w:val="28"/>
          <w14:ligatures w14:val="none"/>
        </w:rPr>
        <w:t xml:space="preserve"> — </w:t>
      </w:r>
      <w:r w:rsidRPr="00C330FB">
        <w:rPr>
          <w:rFonts w:ascii="Simplified Arabic" w:eastAsia="Times New Roman" w:hAnsi="Simplified Arabic" w:cs="Simplified Arabic"/>
          <w:color w:val="000000" w:themeColor="text1"/>
          <w:kern w:val="0"/>
          <w:sz w:val="28"/>
          <w:szCs w:val="28"/>
          <w:rtl/>
          <w14:ligatures w14:val="none"/>
        </w:rPr>
        <w:t>التي يتم جمعها من مصادر رصد متعددة ومعالجتها عبر نماذج عددية لإنتاج تنبؤات جوية يُمكن توظيفها في تقدير المخاطر واتخاذ القرارات المؤسسية في شركات التأمين، وتُقاس من خلال أربعة أبعاد هي: دقة التنبؤات، وتكامل أنظمة الإنذار المبكر، والتحليلات التنبؤية المناخية، والبنية التحتية التقنية</w:t>
      </w:r>
      <w:r w:rsidRPr="00C330FB">
        <w:rPr>
          <w:rFonts w:ascii="Simplified Arabic" w:eastAsia="Times New Roman" w:hAnsi="Simplified Arabic" w:cs="Simplified Arabic"/>
          <w:color w:val="000000" w:themeColor="text1"/>
          <w:kern w:val="0"/>
          <w:sz w:val="28"/>
          <w:szCs w:val="28"/>
          <w14:ligatures w14:val="none"/>
        </w:rPr>
        <w:t>.</w:t>
      </w:r>
    </w:p>
    <w:p w14:paraId="1C404A9A" w14:textId="77777777"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دقة التنبؤات الجوية وموثوقيتها</w:t>
      </w:r>
      <w:r w:rsidRPr="00C330FB">
        <w:rPr>
          <w:rFonts w:ascii="Simplified Arabic" w:eastAsia="Times New Roman" w:hAnsi="Simplified Arabic" w:cs="Simplified Arabic"/>
          <w:color w:val="000000" w:themeColor="text1"/>
          <w:kern w:val="0"/>
          <w:sz w:val="28"/>
          <w:szCs w:val="28"/>
          <w14:ligatures w14:val="none"/>
        </w:rPr>
        <w:t xml:space="preserve"> (Forecast Accuracy and Reliability): </w:t>
      </w:r>
      <w:r w:rsidRPr="00C330FB">
        <w:rPr>
          <w:rFonts w:ascii="Simplified Arabic" w:eastAsia="Times New Roman" w:hAnsi="Simplified Arabic" w:cs="Simplified Arabic"/>
          <w:color w:val="000000" w:themeColor="text1"/>
          <w:kern w:val="0"/>
          <w:sz w:val="28"/>
          <w:szCs w:val="28"/>
          <w:rtl/>
          <w14:ligatures w14:val="none"/>
        </w:rPr>
        <w:t>تُعرَّف إجرائياً بأنها الدرجة التي تتطابق عندها مخرجات النماذج المناخية المستخدمة مع الظروف الجوية الفعلية، من حيث نوع الظاهرة وشدتها وتوقيتها وموقعها الجغرافي، وتُقاس من خلال تقديرات المستجيبين لمستوى دقة النماذج المعتمدة واعتمادية مخرجاتها في قراراتهم التشغيلية</w:t>
      </w:r>
      <w:r w:rsidRPr="00C330FB">
        <w:rPr>
          <w:rFonts w:ascii="Simplified Arabic" w:eastAsia="Times New Roman" w:hAnsi="Simplified Arabic" w:cs="Simplified Arabic"/>
          <w:color w:val="000000" w:themeColor="text1"/>
          <w:kern w:val="0"/>
          <w:sz w:val="28"/>
          <w:szCs w:val="28"/>
          <w14:ligatures w14:val="none"/>
        </w:rPr>
        <w:t>.</w:t>
      </w:r>
    </w:p>
    <w:p w14:paraId="697AC01F" w14:textId="0C39B6A6"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تكامل أنظمة الإنذار المبكر</w:t>
      </w:r>
      <w:r w:rsidRPr="00C330FB">
        <w:rPr>
          <w:rFonts w:ascii="Simplified Arabic" w:eastAsia="Times New Roman" w:hAnsi="Simplified Arabic" w:cs="Simplified Arabic"/>
          <w:color w:val="000000" w:themeColor="text1"/>
          <w:kern w:val="0"/>
          <w:sz w:val="28"/>
          <w:szCs w:val="28"/>
          <w14:ligatures w14:val="none"/>
        </w:rPr>
        <w:t xml:space="preserve"> (Early Warning Systems Integration): </w:t>
      </w:r>
      <w:r w:rsidRPr="00C330FB">
        <w:rPr>
          <w:rFonts w:ascii="Simplified Arabic" w:eastAsia="Times New Roman" w:hAnsi="Simplified Arabic" w:cs="Simplified Arabic"/>
          <w:color w:val="000000" w:themeColor="text1"/>
          <w:kern w:val="0"/>
          <w:sz w:val="28"/>
          <w:szCs w:val="28"/>
          <w:rtl/>
          <w14:ligatures w14:val="none"/>
        </w:rPr>
        <w:t xml:space="preserve">يُعرَّف إجرائياً بأنه مدى الترابط المؤسسي والتقني بين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الواردة من هيئات الأرصاد ونماذج التنبؤ العالمية وبين </w:t>
      </w:r>
      <w:r w:rsidRPr="00C330FB">
        <w:rPr>
          <w:rFonts w:ascii="Simplified Arabic" w:eastAsia="Times New Roman" w:hAnsi="Simplified Arabic" w:cs="Simplified Arabic"/>
          <w:color w:val="000000" w:themeColor="text1"/>
          <w:kern w:val="0"/>
          <w:sz w:val="28"/>
          <w:szCs w:val="28"/>
          <w:rtl/>
          <w14:ligatures w14:val="none"/>
        </w:rPr>
        <w:lastRenderedPageBreak/>
        <w:t>أنظمة التحذير والاستجابة الداخلية في شركة التأمين، بما يضمن وصول المعلومات المناخية الحرجة إلى الإدارات المعنية في الوقت المناسب</w:t>
      </w:r>
      <w:r w:rsidRPr="00C330FB">
        <w:rPr>
          <w:rFonts w:ascii="Simplified Arabic" w:eastAsia="Times New Roman" w:hAnsi="Simplified Arabic" w:cs="Simplified Arabic"/>
          <w:color w:val="000000" w:themeColor="text1"/>
          <w:kern w:val="0"/>
          <w:sz w:val="28"/>
          <w:szCs w:val="28"/>
          <w14:ligatures w14:val="none"/>
        </w:rPr>
        <w:t>.</w:t>
      </w:r>
    </w:p>
    <w:p w14:paraId="25295EB9" w14:textId="0AE0D0DE"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التحليلات التنبؤية المناخية</w:t>
      </w:r>
      <w:r w:rsidRPr="00C330FB">
        <w:rPr>
          <w:rFonts w:ascii="Simplified Arabic" w:eastAsia="Times New Roman" w:hAnsi="Simplified Arabic" w:cs="Simplified Arabic"/>
          <w:color w:val="000000" w:themeColor="text1"/>
          <w:kern w:val="0"/>
          <w:sz w:val="28"/>
          <w:szCs w:val="28"/>
          <w14:ligatures w14:val="none"/>
        </w:rPr>
        <w:t xml:space="preserve"> (Climate-Based Predictive Analytics): </w:t>
      </w:r>
      <w:r w:rsidRPr="00C330FB">
        <w:rPr>
          <w:rFonts w:ascii="Simplified Arabic" w:eastAsia="Times New Roman" w:hAnsi="Simplified Arabic" w:cs="Simplified Arabic"/>
          <w:color w:val="000000" w:themeColor="text1"/>
          <w:kern w:val="0"/>
          <w:sz w:val="28"/>
          <w:szCs w:val="28"/>
          <w:rtl/>
          <w14:ligatures w14:val="none"/>
        </w:rPr>
        <w:t xml:space="preserve">تُعرَّف إجرائياً بأنها استخدام تقنيات التحليل الإحصائي المتقدم والذكاء الاصطناعي والتعلم الآلي في استثمار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التاريخية والآنية لبناء نماذج كمية تُقدّر احتمالات الخسائر التشغيلية المرتبطة بالظواهر المناخية وتُصنّف المخاطر وفق مستويات خطورة متدرجة</w:t>
      </w:r>
      <w:r w:rsidRPr="00C330FB">
        <w:rPr>
          <w:rFonts w:ascii="Simplified Arabic" w:eastAsia="Times New Roman" w:hAnsi="Simplified Arabic" w:cs="Simplified Arabic"/>
          <w:color w:val="000000" w:themeColor="text1"/>
          <w:kern w:val="0"/>
          <w:sz w:val="28"/>
          <w:szCs w:val="28"/>
          <w14:ligatures w14:val="none"/>
        </w:rPr>
        <w:t>.</w:t>
      </w:r>
    </w:p>
    <w:p w14:paraId="3F23A38B" w14:textId="7F749EA4"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البنية التحتية التقنية</w:t>
      </w:r>
      <w:r w:rsidRPr="00C330FB">
        <w:rPr>
          <w:rFonts w:ascii="Simplified Arabic" w:eastAsia="Times New Roman" w:hAnsi="Simplified Arabic" w:cs="Simplified Arabic"/>
          <w:color w:val="000000" w:themeColor="text1"/>
          <w:kern w:val="0"/>
          <w:sz w:val="28"/>
          <w:szCs w:val="28"/>
          <w14:ligatures w14:val="none"/>
        </w:rPr>
        <w:t xml:space="preserve"> (Technical Infrastructure): </w:t>
      </w:r>
      <w:r w:rsidRPr="00C330FB">
        <w:rPr>
          <w:rFonts w:ascii="Simplified Arabic" w:eastAsia="Times New Roman" w:hAnsi="Simplified Arabic" w:cs="Simplified Arabic"/>
          <w:color w:val="000000" w:themeColor="text1"/>
          <w:kern w:val="0"/>
          <w:sz w:val="28"/>
          <w:szCs w:val="28"/>
          <w:rtl/>
          <w14:ligatures w14:val="none"/>
        </w:rPr>
        <w:t xml:space="preserve">تُعرَّف إجرائياً بأنها مجموع الموارد التقنية والبشرية المتاحة لدى شركة التأمين لاستقبال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وتخزينها ومعالجتها وتحديثها، وتشمل الأنظمة الحاسوبية والبرمجيات المتخصصة والقدرات </w:t>
      </w:r>
      <w:proofErr w:type="spellStart"/>
      <w:r w:rsidRPr="00C330FB">
        <w:rPr>
          <w:rFonts w:ascii="Simplified Arabic" w:eastAsia="Times New Roman" w:hAnsi="Simplified Arabic" w:cs="Simplified Arabic"/>
          <w:color w:val="000000" w:themeColor="text1"/>
          <w:kern w:val="0"/>
          <w:sz w:val="28"/>
          <w:szCs w:val="28"/>
          <w:rtl/>
          <w14:ligatures w14:val="none"/>
        </w:rPr>
        <w:t>الحوسبية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وشبكات الاتصال والكوادر المؤهلة لتشغيلها</w:t>
      </w:r>
      <w:r w:rsidRPr="00C330FB">
        <w:rPr>
          <w:rFonts w:ascii="Simplified Arabic" w:eastAsia="Times New Roman" w:hAnsi="Simplified Arabic" w:cs="Simplified Arabic"/>
          <w:color w:val="000000" w:themeColor="text1"/>
          <w:kern w:val="0"/>
          <w:sz w:val="28"/>
          <w:szCs w:val="28"/>
          <w14:ligatures w14:val="none"/>
        </w:rPr>
        <w:t>.</w:t>
      </w:r>
    </w:p>
    <w:p w14:paraId="5545D826" w14:textId="77777777"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إدارة المخاطر التشغيلية</w:t>
      </w:r>
      <w:r w:rsidRPr="00C330FB">
        <w:rPr>
          <w:rFonts w:ascii="Simplified Arabic" w:eastAsia="Times New Roman" w:hAnsi="Simplified Arabic" w:cs="Simplified Arabic"/>
          <w:color w:val="000000" w:themeColor="text1"/>
          <w:kern w:val="0"/>
          <w:sz w:val="28"/>
          <w:szCs w:val="28"/>
          <w14:ligatures w14:val="none"/>
        </w:rPr>
        <w:t xml:space="preserve"> (Operational Risk Management): </w:t>
      </w:r>
      <w:r w:rsidRPr="00C330FB">
        <w:rPr>
          <w:rFonts w:ascii="Simplified Arabic" w:eastAsia="Times New Roman" w:hAnsi="Simplified Arabic" w:cs="Simplified Arabic"/>
          <w:color w:val="000000" w:themeColor="text1"/>
          <w:kern w:val="0"/>
          <w:sz w:val="28"/>
          <w:szCs w:val="28"/>
          <w:rtl/>
          <w14:ligatures w14:val="none"/>
        </w:rPr>
        <w:t>تُعرَّف إجرائياً بأنها العملية المنهجية المتكاملة التي تتبناها شركة التأمين لتحديد المخاطر الناجمة عن القصور في العمليات الداخلية والأنظمة والأفراد والأحداث الخارجية — بما فيها الأحداث المناخية — وتقييمها وقياسها والاستجابة لها ومتابعتها بصفة مستمرة بهدف تقليل الخسائر التشغيلية وتعزيز المرونة المؤسسية، وتُقاس من خلال محور أحادي يتضمن</w:t>
      </w:r>
      <w:r w:rsidRPr="00C330FB">
        <w:rPr>
          <w:rFonts w:ascii="Simplified Arabic" w:eastAsia="Times New Roman" w:hAnsi="Simplified Arabic" w:cs="Simplified Arabic"/>
          <w:color w:val="000000" w:themeColor="text1"/>
          <w:kern w:val="0"/>
          <w:sz w:val="28"/>
          <w:szCs w:val="28"/>
          <w14:ligatures w14:val="none"/>
        </w:rPr>
        <w:t xml:space="preserve"> (12) </w:t>
      </w:r>
      <w:r w:rsidRPr="00C330FB">
        <w:rPr>
          <w:rFonts w:ascii="Simplified Arabic" w:eastAsia="Times New Roman" w:hAnsi="Simplified Arabic" w:cs="Simplified Arabic"/>
          <w:color w:val="000000" w:themeColor="text1"/>
          <w:kern w:val="0"/>
          <w:sz w:val="28"/>
          <w:szCs w:val="28"/>
          <w:rtl/>
          <w14:ligatures w14:val="none"/>
        </w:rPr>
        <w:t>فقرة في أداة الدراسة</w:t>
      </w:r>
      <w:r w:rsidRPr="00C330FB">
        <w:rPr>
          <w:rFonts w:ascii="Simplified Arabic" w:eastAsia="Times New Roman" w:hAnsi="Simplified Arabic" w:cs="Simplified Arabic"/>
          <w:color w:val="000000" w:themeColor="text1"/>
          <w:kern w:val="0"/>
          <w:sz w:val="28"/>
          <w:szCs w:val="28"/>
          <w14:ligatures w14:val="none"/>
        </w:rPr>
        <w:t>.</w:t>
      </w:r>
    </w:p>
    <w:p w14:paraId="7381FCAC" w14:textId="77777777" w:rsidR="009E1558" w:rsidRPr="00C330FB" w:rsidRDefault="009E1558" w:rsidP="00EC3F4A">
      <w:pPr>
        <w:pStyle w:val="a6"/>
        <w:numPr>
          <w:ilvl w:val="0"/>
          <w:numId w:val="41"/>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شركات التأمين المصرية</w:t>
      </w:r>
      <w:r w:rsidRPr="00C330FB">
        <w:rPr>
          <w:rFonts w:ascii="Simplified Arabic" w:eastAsia="Times New Roman" w:hAnsi="Simplified Arabic" w:cs="Simplified Arabic"/>
          <w:color w:val="000000" w:themeColor="text1"/>
          <w:kern w:val="0"/>
          <w:sz w:val="28"/>
          <w:szCs w:val="28"/>
          <w14:ligatures w14:val="none"/>
        </w:rPr>
        <w:t xml:space="preserve"> (Egyptian Insurance Companies): </w:t>
      </w:r>
      <w:r w:rsidRPr="00C330FB">
        <w:rPr>
          <w:rFonts w:ascii="Simplified Arabic" w:eastAsia="Times New Roman" w:hAnsi="Simplified Arabic" w:cs="Simplified Arabic"/>
          <w:color w:val="000000" w:themeColor="text1"/>
          <w:kern w:val="0"/>
          <w:sz w:val="28"/>
          <w:szCs w:val="28"/>
          <w:rtl/>
          <w14:ligatures w14:val="none"/>
        </w:rPr>
        <w:t xml:space="preserve">يُقصد بها في هذه الدراسة جميع الشركات العاملة في نشاط التأمين بجمهورية مصر العربية والمرخصة من الهيئة العامة للرقابة المالية، والبالغ عددها </w:t>
      </w:r>
      <w:r w:rsidRPr="00C330FB">
        <w:rPr>
          <w:rFonts w:ascii="Simplified Arabic" w:eastAsia="Times New Roman" w:hAnsi="Simplified Arabic" w:cs="Simplified Arabic"/>
          <w:color w:val="000000" w:themeColor="text1"/>
          <w:kern w:val="0"/>
          <w:sz w:val="28"/>
          <w:szCs w:val="28"/>
          <w14:ligatures w14:val="none"/>
        </w:rPr>
        <w:t xml:space="preserve">(40) </w:t>
      </w:r>
      <w:r w:rsidRPr="00C330FB">
        <w:rPr>
          <w:rFonts w:ascii="Simplified Arabic" w:eastAsia="Times New Roman" w:hAnsi="Simplified Arabic" w:cs="Simplified Arabic"/>
          <w:color w:val="000000" w:themeColor="text1"/>
          <w:kern w:val="0"/>
          <w:sz w:val="28"/>
          <w:szCs w:val="28"/>
          <w:rtl/>
          <w14:ligatures w14:val="none"/>
        </w:rPr>
        <w:t>شركة تأمين، سواء كانت تعمل في تأمينات الممتلكات والمسؤوليات أو تأمينات الأشخاص وتكوين الأموال أو التأمين المتخصص</w:t>
      </w:r>
      <w:r w:rsidRPr="00C330FB">
        <w:rPr>
          <w:rFonts w:ascii="Simplified Arabic" w:eastAsia="Times New Roman" w:hAnsi="Simplified Arabic" w:cs="Simplified Arabic"/>
          <w:color w:val="000000" w:themeColor="text1"/>
          <w:kern w:val="0"/>
          <w:sz w:val="28"/>
          <w:szCs w:val="28"/>
          <w14:ligatures w14:val="none"/>
        </w:rPr>
        <w:t>.</w:t>
      </w:r>
    </w:p>
    <w:p w14:paraId="3B15F31B" w14:textId="6216F069" w:rsidR="00EC3F4A" w:rsidRPr="00C330FB" w:rsidRDefault="00EC3F4A" w:rsidP="00EC3F4A">
      <w:pPr>
        <w:pStyle w:val="a8"/>
        <w:bidi/>
        <w:spacing w:line="276" w:lineRule="auto"/>
        <w:jc w:val="both"/>
        <w:outlineLvl w:val="1"/>
        <w:rPr>
          <w:rFonts w:ascii="Simplified Arabic" w:hAnsi="Simplified Arabic" w:cs="Simplified Arabic"/>
          <w:b/>
          <w:bCs/>
          <w:color w:val="000000" w:themeColor="text1"/>
          <w:sz w:val="36"/>
          <w:szCs w:val="36"/>
          <w:rtl/>
        </w:rPr>
      </w:pPr>
      <w:bookmarkStart w:id="17" w:name="_Toc233816277"/>
      <w:bookmarkStart w:id="18" w:name="_Toc169790506"/>
      <w:bookmarkEnd w:id="12"/>
      <w:bookmarkEnd w:id="13"/>
      <w:r w:rsidRPr="00C330FB">
        <w:rPr>
          <w:rFonts w:ascii="Simplified Arabic" w:hAnsi="Simplified Arabic" w:cs="Simplified Arabic"/>
          <w:b/>
          <w:bCs/>
          <w:color w:val="000000" w:themeColor="text1"/>
          <w:sz w:val="36"/>
          <w:szCs w:val="36"/>
          <w:rtl/>
        </w:rPr>
        <w:t>11.1 المنهجية وطرق البحث:</w:t>
      </w:r>
      <w:bookmarkEnd w:id="17"/>
    </w:p>
    <w:p w14:paraId="34C410FF" w14:textId="6A973048" w:rsidR="009E1558" w:rsidRPr="00C330FB" w:rsidRDefault="009E1558" w:rsidP="00EC3F4A">
      <w:pPr>
        <w:pStyle w:val="a8"/>
        <w:bidi/>
        <w:spacing w:line="276" w:lineRule="auto"/>
        <w:ind w:firstLine="424"/>
        <w:jc w:val="both"/>
        <w:rPr>
          <w:rFonts w:ascii="Simplified Arabic" w:hAnsi="Simplified Arabic" w:cs="Simplified Arabic"/>
          <w:color w:val="000000" w:themeColor="text1"/>
          <w:sz w:val="28"/>
          <w:szCs w:val="28"/>
        </w:rPr>
      </w:pPr>
      <w:r w:rsidRPr="00C330FB">
        <w:rPr>
          <w:rFonts w:ascii="Simplified Arabic" w:hAnsi="Simplified Arabic" w:cs="Simplified Arabic"/>
          <w:color w:val="000000" w:themeColor="text1"/>
          <w:sz w:val="28"/>
          <w:szCs w:val="28"/>
          <w:rtl/>
        </w:rPr>
        <w:t xml:space="preserve">سوف تعتمد الدراسة الحالية على </w:t>
      </w:r>
      <w:r w:rsidRPr="00C330FB">
        <w:rPr>
          <w:rStyle w:val="a9"/>
          <w:rFonts w:ascii="Simplified Arabic" w:hAnsi="Simplified Arabic" w:cs="Simplified Arabic"/>
          <w:b w:val="0"/>
          <w:bCs w:val="0"/>
          <w:color w:val="000000" w:themeColor="text1"/>
          <w:sz w:val="28"/>
          <w:szCs w:val="28"/>
          <w:rtl/>
        </w:rPr>
        <w:t>المنهج الوصفي التحليلي</w:t>
      </w:r>
      <w:r w:rsidRPr="00C330FB">
        <w:rPr>
          <w:rFonts w:ascii="Simplified Arabic" w:hAnsi="Simplified Arabic" w:cs="Simplified Arabic"/>
          <w:color w:val="000000" w:themeColor="text1"/>
          <w:sz w:val="28"/>
          <w:szCs w:val="28"/>
          <w:rtl/>
        </w:rPr>
        <w:t xml:space="preserve"> باعتباره المنهج الأكثر ملاءمة لطبيعة الموضوع وأهدافه، إذ يُتيح هذا المنهج وصف الظاهرة محل الدراسة — المتمثلة في أثر توظيف البيانات </w:t>
      </w:r>
      <w:r w:rsidR="001C398F" w:rsidRPr="00C330FB">
        <w:rPr>
          <w:rFonts w:ascii="Simplified Arabic" w:hAnsi="Simplified Arabic" w:cs="Simplified Arabic"/>
          <w:color w:val="000000" w:themeColor="text1"/>
          <w:sz w:val="28"/>
          <w:szCs w:val="28"/>
          <w:rtl/>
        </w:rPr>
        <w:t>الارصاد</w:t>
      </w:r>
      <w:r w:rsidRPr="00C330FB">
        <w:rPr>
          <w:rFonts w:ascii="Simplified Arabic" w:hAnsi="Simplified Arabic" w:cs="Simplified Arabic"/>
          <w:color w:val="000000" w:themeColor="text1"/>
          <w:sz w:val="28"/>
          <w:szCs w:val="28"/>
          <w:rtl/>
        </w:rPr>
        <w:t xml:space="preserve"> على إدارة المخاطر التشغيلية في شركات التأمين — وصفاً دقيقاً وشاملاً كما هي في الواقع، ثم تحليل العلاقات الارتباطية والسببية بين متغيراتها وفق أساليب إحصائية متقدمة. وسيُمكّن هذا المنهج الباحث من تجاوز مرحلة الوصف السطحي إلى التحليل المعمّق للعلاقات بين الأبعاد الأربعة للمتغير </w:t>
      </w:r>
      <w:r w:rsidRPr="00C330FB">
        <w:rPr>
          <w:rFonts w:ascii="Simplified Arabic" w:hAnsi="Simplified Arabic" w:cs="Simplified Arabic"/>
          <w:color w:val="000000" w:themeColor="text1"/>
          <w:sz w:val="28"/>
          <w:szCs w:val="28"/>
          <w:rtl/>
        </w:rPr>
        <w:lastRenderedPageBreak/>
        <w:t>المستقل (دقة التنبؤات الجوية، تكامل أنظمة الإنذار المبكر، التحليلات التنبؤية المناخية، البنية التحتية التقنية) والمتغير التابع (إدارة المخاطر التشغيلية)، واختبار الفروض الإحصائية المصاغة بصورة علمية دقيقة</w:t>
      </w:r>
      <w:r w:rsidRPr="00C330FB">
        <w:rPr>
          <w:rFonts w:ascii="Simplified Arabic" w:hAnsi="Simplified Arabic" w:cs="Simplified Arabic"/>
          <w:color w:val="000000" w:themeColor="text1"/>
          <w:sz w:val="28"/>
          <w:szCs w:val="28"/>
        </w:rPr>
        <w:t>.</w:t>
      </w:r>
    </w:p>
    <w:p w14:paraId="60CCD1DD" w14:textId="77777777" w:rsidR="009E1558" w:rsidRPr="00C330FB" w:rsidRDefault="009E1558" w:rsidP="00EC3F4A">
      <w:pPr>
        <w:pStyle w:val="a8"/>
        <w:bidi/>
        <w:spacing w:line="276" w:lineRule="auto"/>
        <w:ind w:firstLine="424"/>
        <w:jc w:val="both"/>
        <w:rPr>
          <w:rFonts w:ascii="Simplified Arabic" w:hAnsi="Simplified Arabic" w:cs="Simplified Arabic"/>
          <w:color w:val="000000" w:themeColor="text1"/>
          <w:sz w:val="28"/>
          <w:szCs w:val="28"/>
        </w:rPr>
      </w:pPr>
      <w:r w:rsidRPr="00C330FB">
        <w:rPr>
          <w:rFonts w:ascii="Simplified Arabic" w:hAnsi="Simplified Arabic" w:cs="Simplified Arabic"/>
          <w:color w:val="000000" w:themeColor="text1"/>
          <w:sz w:val="28"/>
          <w:szCs w:val="28"/>
          <w:rtl/>
        </w:rPr>
        <w:t>وسيتضمن الجانب النظري للدراسة مراجعة منهجية ومعمّقة للأدبيات والدراسات السابقة العربية والأجنبية ذات الصلة بمتغيرات الدراسة، بهدف بناء الإطار المفاهيمي والنظري الذي تستند إليه الدراسة. أما الجانب الميداني فسيتم من خلال تصميم استبانة مُحكّمة وتوزيعها على عينة ممثلة من مجتمع الدراسة، ومن ثم جمع البيانات الأولية وتفريغها ومعالجتها إحصائياً باستخدام برنامج الحزم الإحصائية للعلوم الاجتماعية</w:t>
      </w:r>
      <w:r w:rsidRPr="00C330FB">
        <w:rPr>
          <w:rFonts w:ascii="Simplified Arabic" w:hAnsi="Simplified Arabic" w:cs="Simplified Arabic"/>
          <w:color w:val="000000" w:themeColor="text1"/>
          <w:sz w:val="28"/>
          <w:szCs w:val="28"/>
        </w:rPr>
        <w:t xml:space="preserve"> (SPSS) </w:t>
      </w:r>
      <w:r w:rsidRPr="00C330FB">
        <w:rPr>
          <w:rFonts w:ascii="Simplified Arabic" w:hAnsi="Simplified Arabic" w:cs="Simplified Arabic"/>
          <w:color w:val="000000" w:themeColor="text1"/>
          <w:sz w:val="28"/>
          <w:szCs w:val="28"/>
          <w:rtl/>
        </w:rPr>
        <w:t>للوصول إلى نتائج قابلة للتعميم والاستدلال</w:t>
      </w:r>
      <w:r w:rsidRPr="00C330FB">
        <w:rPr>
          <w:rFonts w:ascii="Simplified Arabic" w:hAnsi="Simplified Arabic" w:cs="Simplified Arabic"/>
          <w:color w:val="000000" w:themeColor="text1"/>
          <w:sz w:val="28"/>
          <w:szCs w:val="28"/>
        </w:rPr>
        <w:t>.</w:t>
      </w:r>
    </w:p>
    <w:p w14:paraId="4CC6B0C9" w14:textId="584C548D" w:rsidR="009E1558" w:rsidRPr="00C330FB" w:rsidRDefault="00EC3F4A" w:rsidP="00EC3F4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19" w:name="_Toc233816278"/>
      <w:r w:rsidRPr="00C330FB">
        <w:rPr>
          <w:rFonts w:ascii="Simplified Arabic" w:eastAsia="Times New Roman" w:hAnsi="Simplified Arabic" w:cs="Simplified Arabic" w:hint="cs"/>
          <w:b/>
          <w:bCs/>
          <w:color w:val="000000" w:themeColor="text1"/>
          <w:kern w:val="0"/>
          <w:sz w:val="36"/>
          <w:szCs w:val="36"/>
          <w:rtl/>
          <w14:ligatures w14:val="none"/>
        </w:rPr>
        <w:t xml:space="preserve">12.1 </w:t>
      </w:r>
      <w:r w:rsidR="009E1558" w:rsidRPr="00C330FB">
        <w:rPr>
          <w:rFonts w:ascii="Simplified Arabic" w:eastAsia="Times New Roman" w:hAnsi="Simplified Arabic" w:cs="Simplified Arabic"/>
          <w:b/>
          <w:bCs/>
          <w:color w:val="000000" w:themeColor="text1"/>
          <w:kern w:val="0"/>
          <w:sz w:val="36"/>
          <w:szCs w:val="36"/>
          <w:rtl/>
          <w14:ligatures w14:val="none"/>
        </w:rPr>
        <w:t>مصادر جمع البيانات</w:t>
      </w:r>
      <w:bookmarkEnd w:id="19"/>
    </w:p>
    <w:p w14:paraId="09994A02" w14:textId="77777777" w:rsidR="00EC3F4A"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rtl/>
          <w14:ligatures w14:val="none"/>
        </w:rPr>
      </w:pPr>
      <w:r w:rsidRPr="00C330FB">
        <w:rPr>
          <w:rFonts w:ascii="Simplified Arabic" w:eastAsia="Times New Roman" w:hAnsi="Simplified Arabic" w:cs="Simplified Arabic"/>
          <w:color w:val="000000" w:themeColor="text1"/>
          <w:kern w:val="0"/>
          <w:sz w:val="28"/>
          <w:szCs w:val="28"/>
          <w:rtl/>
          <w14:ligatures w14:val="none"/>
        </w:rPr>
        <w:t>ستعتمد الدراسة على نوعين رئيسيين من مصادر البيانات</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المصادر الثانوية</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وتشمل الكتب والمراجع العلمية العربية والأجنبية، والرسائل الجامعية (ماجستير ودكتوراه)، والدوريات والمجلات العلمية المحكّمة</w:t>
      </w:r>
      <w:r w:rsidR="00723DBF" w:rsidRPr="00C330FB">
        <w:rPr>
          <w:rFonts w:ascii="Simplified Arabic" w:eastAsia="Times New Roman" w:hAnsi="Simplified Arabic" w:cs="Simplified Arabic"/>
          <w:color w:val="000000" w:themeColor="text1"/>
          <w:kern w:val="0"/>
          <w:sz w:val="28"/>
          <w:szCs w:val="28"/>
          <w:rtl/>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وقواعد البيانات الإلكترونية مثل</w:t>
      </w:r>
      <w:r w:rsidRPr="00C330FB">
        <w:rPr>
          <w:rFonts w:ascii="Simplified Arabic" w:eastAsia="Times New Roman" w:hAnsi="Simplified Arabic" w:cs="Simplified Arabic"/>
          <w:color w:val="000000" w:themeColor="text1"/>
          <w:kern w:val="0"/>
          <w:sz w:val="28"/>
          <w:szCs w:val="28"/>
          <w14:ligatures w14:val="none"/>
        </w:rPr>
        <w:t xml:space="preserve"> (Scopus, Web of Science, Google Scholar)</w:t>
      </w:r>
      <w:r w:rsidRPr="00C330FB">
        <w:rPr>
          <w:rFonts w:ascii="Simplified Arabic" w:eastAsia="Times New Roman" w:hAnsi="Simplified Arabic" w:cs="Simplified Arabic"/>
          <w:color w:val="000000" w:themeColor="text1"/>
          <w:kern w:val="0"/>
          <w:sz w:val="28"/>
          <w:szCs w:val="28"/>
          <w:rtl/>
          <w14:ligatures w14:val="none"/>
        </w:rPr>
        <w:t>، وذلك بهدف بناء الإطار النظري والمفاهيمي للدراسة وتحديد الفجوة البحثية</w:t>
      </w:r>
      <w:r w:rsidR="00723DBF" w:rsidRPr="00C330FB">
        <w:rPr>
          <w:rFonts w:ascii="Simplified Arabic" w:eastAsia="Times New Roman" w:hAnsi="Simplified Arabic" w:cs="Simplified Arabic"/>
          <w:color w:val="000000" w:themeColor="text1"/>
          <w:kern w:val="0"/>
          <w:sz w:val="28"/>
          <w:szCs w:val="28"/>
          <w14:ligatures w14:val="none"/>
        </w:rPr>
        <w:t>\</w:t>
      </w:r>
    </w:p>
    <w:p w14:paraId="7D78ED6D" w14:textId="58B8EDE4"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المصادر الأولية</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وتتمثل في البيانات الميدانية التي سيتم جمعها من خلال استبانة مُصممة خصيصاً لأغراض هذه الدراسة، تستهدف آراء وتصورات العاملين في الإدارات المعنية حول أبعاد توظيف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ومستوى إدارة المخاطر التشغيلية</w:t>
      </w:r>
      <w:r w:rsidRPr="00C330FB">
        <w:rPr>
          <w:rFonts w:ascii="Simplified Arabic" w:eastAsia="Times New Roman" w:hAnsi="Simplified Arabic" w:cs="Simplified Arabic"/>
          <w:color w:val="000000" w:themeColor="text1"/>
          <w:kern w:val="0"/>
          <w:sz w:val="28"/>
          <w:szCs w:val="28"/>
          <w14:ligatures w14:val="none"/>
        </w:rPr>
        <w:t>.</w:t>
      </w:r>
    </w:p>
    <w:p w14:paraId="6C990903" w14:textId="20CC236D" w:rsidR="009E1558" w:rsidRPr="00C330FB" w:rsidRDefault="00EC3F4A" w:rsidP="00EC3F4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0" w:name="_Toc233816279"/>
      <w:r w:rsidRPr="00C330FB">
        <w:rPr>
          <w:rFonts w:ascii="Simplified Arabic" w:eastAsia="Times New Roman" w:hAnsi="Simplified Arabic" w:cs="Simplified Arabic" w:hint="cs"/>
          <w:b/>
          <w:bCs/>
          <w:color w:val="000000" w:themeColor="text1"/>
          <w:kern w:val="0"/>
          <w:sz w:val="36"/>
          <w:szCs w:val="36"/>
          <w:rtl/>
          <w14:ligatures w14:val="none"/>
        </w:rPr>
        <w:t xml:space="preserve">13.1 </w:t>
      </w:r>
      <w:r w:rsidR="009E1558" w:rsidRPr="00C330FB">
        <w:rPr>
          <w:rFonts w:ascii="Simplified Arabic" w:eastAsia="Times New Roman" w:hAnsi="Simplified Arabic" w:cs="Simplified Arabic"/>
          <w:b/>
          <w:bCs/>
          <w:color w:val="000000" w:themeColor="text1"/>
          <w:kern w:val="0"/>
          <w:sz w:val="36"/>
          <w:szCs w:val="36"/>
          <w:rtl/>
          <w14:ligatures w14:val="none"/>
        </w:rPr>
        <w:t>أداة الدراسة (الاستبانة)</w:t>
      </w:r>
      <w:bookmarkEnd w:id="20"/>
    </w:p>
    <w:p w14:paraId="45FBA423" w14:textId="77777777"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b/>
          <w:bCs/>
          <w:color w:val="000000" w:themeColor="text1"/>
          <w:kern w:val="0"/>
          <w:sz w:val="28"/>
          <w:szCs w:val="28"/>
          <w14:ligatures w14:val="none"/>
        </w:rPr>
      </w:pPr>
      <w:r w:rsidRPr="00C330FB">
        <w:rPr>
          <w:rFonts w:ascii="Simplified Arabic" w:eastAsia="Times New Roman" w:hAnsi="Simplified Arabic" w:cs="Simplified Arabic"/>
          <w:b/>
          <w:bCs/>
          <w:color w:val="000000" w:themeColor="text1"/>
          <w:kern w:val="0"/>
          <w:sz w:val="28"/>
          <w:szCs w:val="28"/>
          <w:rtl/>
          <w14:ligatures w14:val="none"/>
        </w:rPr>
        <w:t>سيتم تصميم استبانة مُحكّمة كأداة رئيسية لجمع البيانات الأولية، وستتكون من ثلاثة أقسام رئيسية على النحو التالي</w:t>
      </w:r>
      <w:r w:rsidRPr="00C330FB">
        <w:rPr>
          <w:rFonts w:ascii="Simplified Arabic" w:eastAsia="Times New Roman" w:hAnsi="Simplified Arabic" w:cs="Simplified Arabic"/>
          <w:b/>
          <w:bCs/>
          <w:color w:val="000000" w:themeColor="text1"/>
          <w:kern w:val="0"/>
          <w:sz w:val="28"/>
          <w:szCs w:val="28"/>
          <w14:ligatures w14:val="none"/>
        </w:rPr>
        <w:t>:</w:t>
      </w:r>
    </w:p>
    <w:p w14:paraId="368519EA" w14:textId="07D8242E" w:rsidR="009E1558" w:rsidRPr="00C330FB" w:rsidRDefault="009E1558" w:rsidP="00EC3F4A">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330FB">
        <w:rPr>
          <w:rFonts w:ascii="Simplified Arabic" w:eastAsia="Times New Roman" w:hAnsi="Simplified Arabic" w:cs="Simplified Arabic"/>
          <w:b/>
          <w:bCs/>
          <w:color w:val="000000" w:themeColor="text1"/>
          <w:kern w:val="0"/>
          <w:sz w:val="28"/>
          <w:szCs w:val="28"/>
          <w:rtl/>
          <w14:ligatures w14:val="none"/>
        </w:rPr>
        <w:t>القسم الأول: البيانات الديموغرافية</w:t>
      </w:r>
      <w:r w:rsidR="00EC3F4A" w:rsidRPr="00C330FB">
        <w:rPr>
          <w:rFonts w:ascii="Simplified Arabic" w:eastAsia="Times New Roman" w:hAnsi="Simplified Arabic" w:cs="Simplified Arabic" w:hint="cs"/>
          <w:b/>
          <w:bCs/>
          <w:color w:val="000000" w:themeColor="text1"/>
          <w:kern w:val="0"/>
          <w:sz w:val="28"/>
          <w:szCs w:val="28"/>
          <w:rtl/>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سيتضمن هذا القسم (4) أسئلة تتعلق بالخصائص الشخصية والوظيفية للمستجيبين وهي: المؤهل العلمي، وسنوات الخبرة، والمسمى الوظيفي، وحجم الشركة</w:t>
      </w:r>
      <w:r w:rsidRPr="00C330FB">
        <w:rPr>
          <w:rFonts w:ascii="Simplified Arabic" w:eastAsia="Times New Roman" w:hAnsi="Simplified Arabic" w:cs="Simplified Arabic"/>
          <w:color w:val="000000" w:themeColor="text1"/>
          <w:kern w:val="0"/>
          <w:sz w:val="28"/>
          <w:szCs w:val="28"/>
          <w14:ligatures w14:val="none"/>
        </w:rPr>
        <w:t>.</w:t>
      </w:r>
    </w:p>
    <w:p w14:paraId="2B3FFA4E" w14:textId="34233DE1" w:rsidR="009E1558" w:rsidRPr="00C330FB" w:rsidRDefault="009E1558" w:rsidP="00EC3F4A">
      <w:pPr>
        <w:pStyle w:val="a6"/>
        <w:numPr>
          <w:ilvl w:val="0"/>
          <w:numId w:val="42"/>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b/>
          <w:bCs/>
          <w:color w:val="000000" w:themeColor="text1"/>
          <w:kern w:val="0"/>
          <w:sz w:val="28"/>
          <w:szCs w:val="28"/>
          <w:rtl/>
          <w14:ligatures w14:val="none"/>
        </w:rPr>
        <w:t>القسم الثاني</w:t>
      </w:r>
      <w:r w:rsidRPr="00C330FB">
        <w:rPr>
          <w:rFonts w:ascii="Simplified Arabic" w:eastAsia="Times New Roman" w:hAnsi="Simplified Arabic" w:cs="Simplified Arabic"/>
          <w:color w:val="000000" w:themeColor="text1"/>
          <w:kern w:val="0"/>
          <w:sz w:val="28"/>
          <w:szCs w:val="28"/>
          <w:rtl/>
          <w14:ligatures w14:val="none"/>
        </w:rPr>
        <w:t xml:space="preserve">: المتغير المستقل (توظيف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 (16) فقرة</w:t>
      </w:r>
    </w:p>
    <w:tbl>
      <w:tblPr>
        <w:tblStyle w:val="1-4"/>
        <w:bidiVisual/>
        <w:tblW w:w="6227" w:type="dxa"/>
        <w:jc w:val="center"/>
        <w:tblLook w:val="04A0" w:firstRow="1" w:lastRow="0" w:firstColumn="1" w:lastColumn="0" w:noHBand="0" w:noVBand="1"/>
      </w:tblPr>
      <w:tblGrid>
        <w:gridCol w:w="4857"/>
        <w:gridCol w:w="1370"/>
      </w:tblGrid>
      <w:tr w:rsidR="009E1558" w:rsidRPr="00C330FB" w14:paraId="461A93D5" w14:textId="77777777" w:rsidTr="00EC3F4A">
        <w:trPr>
          <w:cnfStyle w:val="100000000000" w:firstRow="1" w:lastRow="0" w:firstColumn="0" w:lastColumn="0" w:oddVBand="0" w:evenVBand="0" w:oddHBand="0" w:evenHBand="0" w:firstRowFirstColumn="0" w:firstRowLastColumn="0" w:lastRowFirstColumn="0" w:lastRowLastColumn="0"/>
          <w:trHeight w:val="531"/>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0724313" w14:textId="77777777" w:rsidR="009E1558" w:rsidRPr="00C330FB" w:rsidRDefault="009E1558" w:rsidP="00EC3F4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البُعد</w:t>
            </w:r>
          </w:p>
        </w:tc>
        <w:tc>
          <w:tcPr>
            <w:tcW w:w="0" w:type="auto"/>
            <w:vAlign w:val="center"/>
            <w:hideMark/>
          </w:tcPr>
          <w:p w14:paraId="4A840758" w14:textId="77777777" w:rsidR="009E1558" w:rsidRPr="00C330FB" w:rsidRDefault="009E1558" w:rsidP="00EC3F4A">
            <w:pPr>
              <w:spacing w:before="100" w:beforeAutospacing="1" w:after="100" w:afterAutospacing="1" w:line="276"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عدد الفقرات</w:t>
            </w:r>
          </w:p>
        </w:tc>
      </w:tr>
      <w:tr w:rsidR="009E1558" w:rsidRPr="00C330FB" w14:paraId="28B0C902" w14:textId="77777777" w:rsidTr="00EC3F4A">
        <w:trPr>
          <w:trHeight w:val="55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A63C8E" w14:textId="77777777" w:rsidR="009E1558" w:rsidRPr="00C330FB" w:rsidRDefault="009E1558" w:rsidP="00EC3F4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دقة التنبؤات الجوية وموثوقيتها</w:t>
            </w:r>
          </w:p>
        </w:tc>
        <w:tc>
          <w:tcPr>
            <w:tcW w:w="0" w:type="auto"/>
            <w:vAlign w:val="center"/>
            <w:hideMark/>
          </w:tcPr>
          <w:p w14:paraId="786DD5D2" w14:textId="77777777" w:rsidR="009E1558" w:rsidRPr="00C330FB" w:rsidRDefault="009E1558" w:rsidP="00EC3F4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14:ligatures w14:val="none"/>
              </w:rPr>
              <w:t xml:space="preserve">(4) </w:t>
            </w:r>
            <w:r w:rsidRPr="00C330FB">
              <w:rPr>
                <w:rFonts w:ascii="Simplified Arabic" w:eastAsia="Times New Roman" w:hAnsi="Simplified Arabic" w:cs="Simplified Arabic"/>
                <w:color w:val="000000" w:themeColor="text1"/>
                <w:kern w:val="0"/>
                <w:sz w:val="28"/>
                <w:szCs w:val="28"/>
                <w:rtl/>
                <w14:ligatures w14:val="none"/>
              </w:rPr>
              <w:t>فقرات</w:t>
            </w:r>
          </w:p>
        </w:tc>
      </w:tr>
      <w:tr w:rsidR="009E1558" w:rsidRPr="00C330FB" w14:paraId="0F176859" w14:textId="77777777" w:rsidTr="00EC3F4A">
        <w:trPr>
          <w:trHeight w:val="54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11C24F9" w14:textId="5939891A" w:rsidR="009E1558" w:rsidRPr="00C330FB" w:rsidRDefault="009E1558" w:rsidP="00EC3F4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تكامل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مع أنظمة الإنذار المبكر</w:t>
            </w:r>
          </w:p>
        </w:tc>
        <w:tc>
          <w:tcPr>
            <w:tcW w:w="0" w:type="auto"/>
            <w:vAlign w:val="center"/>
            <w:hideMark/>
          </w:tcPr>
          <w:p w14:paraId="4FC336BA" w14:textId="77777777" w:rsidR="009E1558" w:rsidRPr="00C330FB" w:rsidRDefault="009E1558" w:rsidP="00EC3F4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14:ligatures w14:val="none"/>
              </w:rPr>
              <w:t xml:space="preserve">(4) </w:t>
            </w:r>
            <w:r w:rsidRPr="00C330FB">
              <w:rPr>
                <w:rFonts w:ascii="Simplified Arabic" w:eastAsia="Times New Roman" w:hAnsi="Simplified Arabic" w:cs="Simplified Arabic"/>
                <w:color w:val="000000" w:themeColor="text1"/>
                <w:kern w:val="0"/>
                <w:sz w:val="28"/>
                <w:szCs w:val="28"/>
                <w:rtl/>
                <w14:ligatures w14:val="none"/>
              </w:rPr>
              <w:t>فقرات</w:t>
            </w:r>
          </w:p>
        </w:tc>
      </w:tr>
      <w:tr w:rsidR="009E1558" w:rsidRPr="00C330FB" w14:paraId="3ED5C67A" w14:textId="77777777" w:rsidTr="00EC3F4A">
        <w:trPr>
          <w:trHeight w:val="544"/>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0ACB98" w14:textId="77777777" w:rsidR="009E1558" w:rsidRPr="00C330FB" w:rsidRDefault="009E1558" w:rsidP="00EC3F4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التحليلات التنبؤية المبنية على النماذج المناخية</w:t>
            </w:r>
          </w:p>
        </w:tc>
        <w:tc>
          <w:tcPr>
            <w:tcW w:w="0" w:type="auto"/>
            <w:vAlign w:val="center"/>
            <w:hideMark/>
          </w:tcPr>
          <w:p w14:paraId="09312E9C" w14:textId="77777777" w:rsidR="009E1558" w:rsidRPr="00C330FB" w:rsidRDefault="009E1558" w:rsidP="00EC3F4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14:ligatures w14:val="none"/>
              </w:rPr>
              <w:t xml:space="preserve">(4) </w:t>
            </w:r>
            <w:r w:rsidRPr="00C330FB">
              <w:rPr>
                <w:rFonts w:ascii="Simplified Arabic" w:eastAsia="Times New Roman" w:hAnsi="Simplified Arabic" w:cs="Simplified Arabic"/>
                <w:color w:val="000000" w:themeColor="text1"/>
                <w:kern w:val="0"/>
                <w:sz w:val="28"/>
                <w:szCs w:val="28"/>
                <w:rtl/>
                <w14:ligatures w14:val="none"/>
              </w:rPr>
              <w:t>فقرات</w:t>
            </w:r>
          </w:p>
        </w:tc>
      </w:tr>
      <w:tr w:rsidR="009E1558" w:rsidRPr="00C330FB" w14:paraId="59FE8468" w14:textId="77777777" w:rsidTr="00EC3F4A">
        <w:trPr>
          <w:trHeight w:val="556"/>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A2C0BD1" w14:textId="2F902B63" w:rsidR="009E1558" w:rsidRPr="00C330FB" w:rsidRDefault="009E1558" w:rsidP="00EC3F4A">
            <w:pPr>
              <w:spacing w:before="100" w:beforeAutospacing="1" w:after="100" w:afterAutospacing="1" w:line="276" w:lineRule="auto"/>
              <w:jc w:val="center"/>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البنية التحتية التقنية لإدارة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p>
        </w:tc>
        <w:tc>
          <w:tcPr>
            <w:tcW w:w="0" w:type="auto"/>
            <w:vAlign w:val="center"/>
            <w:hideMark/>
          </w:tcPr>
          <w:p w14:paraId="76CE0E10" w14:textId="77777777" w:rsidR="009E1558" w:rsidRPr="00C330FB" w:rsidRDefault="009E1558" w:rsidP="00EC3F4A">
            <w:pPr>
              <w:spacing w:before="100" w:beforeAutospacing="1" w:after="100" w:afterAutospacing="1" w:line="276"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14:ligatures w14:val="none"/>
              </w:rPr>
              <w:t xml:space="preserve">(4) </w:t>
            </w:r>
            <w:r w:rsidRPr="00C330FB">
              <w:rPr>
                <w:rFonts w:ascii="Simplified Arabic" w:eastAsia="Times New Roman" w:hAnsi="Simplified Arabic" w:cs="Simplified Arabic"/>
                <w:color w:val="000000" w:themeColor="text1"/>
                <w:kern w:val="0"/>
                <w:sz w:val="28"/>
                <w:szCs w:val="28"/>
                <w:rtl/>
                <w14:ligatures w14:val="none"/>
              </w:rPr>
              <w:t>فقرات</w:t>
            </w:r>
          </w:p>
        </w:tc>
      </w:tr>
    </w:tbl>
    <w:p w14:paraId="3A0013A4" w14:textId="60AEC163"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b/>
          <w:bCs/>
          <w:color w:val="000000" w:themeColor="text1"/>
          <w:kern w:val="0"/>
          <w:sz w:val="28"/>
          <w:szCs w:val="28"/>
          <w14:ligatures w14:val="none"/>
        </w:rPr>
      </w:pPr>
      <w:r w:rsidRPr="00C330FB">
        <w:rPr>
          <w:rFonts w:ascii="Simplified Arabic" w:eastAsia="Times New Roman" w:hAnsi="Simplified Arabic" w:cs="Simplified Arabic"/>
          <w:b/>
          <w:bCs/>
          <w:color w:val="000000" w:themeColor="text1"/>
          <w:kern w:val="0"/>
          <w:sz w:val="28"/>
          <w:szCs w:val="28"/>
          <w:rtl/>
          <w14:ligatures w14:val="none"/>
        </w:rPr>
        <w:t>القسم الثالث: المتغير التابع (إدارة المخاطر التشغيلية) — محور أحادي</w:t>
      </w:r>
      <w:r w:rsidR="00EC3F4A" w:rsidRPr="00C330FB">
        <w:rPr>
          <w:rFonts w:ascii="Simplified Arabic" w:eastAsia="Times New Roman" w:hAnsi="Simplified Arabic" w:cs="Simplified Arabic" w:hint="cs"/>
          <w:b/>
          <w:bCs/>
          <w:color w:val="000000" w:themeColor="text1"/>
          <w:kern w:val="0"/>
          <w:sz w:val="28"/>
          <w:szCs w:val="28"/>
          <w:rtl/>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سيتضمن هذا المحور </w:t>
      </w:r>
      <w:r w:rsidRPr="00C330FB">
        <w:rPr>
          <w:rFonts w:ascii="Simplified Arabic" w:eastAsia="Times New Roman" w:hAnsi="Simplified Arabic" w:cs="Simplified Arabic"/>
          <w:color w:val="000000" w:themeColor="text1"/>
          <w:kern w:val="0"/>
          <w:sz w:val="28"/>
          <w:szCs w:val="28"/>
          <w14:ligatures w14:val="none"/>
        </w:rPr>
        <w:t xml:space="preserve">(12) </w:t>
      </w:r>
      <w:r w:rsidRPr="00C330FB">
        <w:rPr>
          <w:rFonts w:ascii="Simplified Arabic" w:eastAsia="Times New Roman" w:hAnsi="Simplified Arabic" w:cs="Simplified Arabic"/>
          <w:color w:val="000000" w:themeColor="text1"/>
          <w:kern w:val="0"/>
          <w:sz w:val="28"/>
          <w:szCs w:val="28"/>
          <w:rtl/>
          <w14:ligatures w14:val="none"/>
        </w:rPr>
        <w:t>فقرة تقيس مستوى إدارة المخاطر التشغيلية في شركات التأمين من حيث: تحديد المخاطر، وتقييمها، والاستجابة لها، ومتابعتها ومراقبتها، ومدى فاعلية الإجراءات المتخذة للحد من الخسائر التشغيلية</w:t>
      </w:r>
      <w:r w:rsidRPr="00C330FB">
        <w:rPr>
          <w:rFonts w:ascii="Simplified Arabic" w:eastAsia="Times New Roman" w:hAnsi="Simplified Arabic" w:cs="Simplified Arabic"/>
          <w:color w:val="000000" w:themeColor="text1"/>
          <w:kern w:val="0"/>
          <w:sz w:val="28"/>
          <w:szCs w:val="28"/>
          <w14:ligatures w14:val="none"/>
        </w:rPr>
        <w:t>.</w:t>
      </w:r>
    </w:p>
    <w:p w14:paraId="2FFE4848" w14:textId="492C7FF1"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إجمالي فقرات الاستبانة: (28) فقرة (بخلاف البيانات الديموغرافية)، وستُقاس جميع الفقرات باستخدام مقياس </w:t>
      </w:r>
      <w:proofErr w:type="spellStart"/>
      <w:r w:rsidRPr="00C330FB">
        <w:rPr>
          <w:rFonts w:ascii="Simplified Arabic" w:eastAsia="Times New Roman" w:hAnsi="Simplified Arabic" w:cs="Simplified Arabic"/>
          <w:color w:val="000000" w:themeColor="text1"/>
          <w:kern w:val="0"/>
          <w:sz w:val="28"/>
          <w:szCs w:val="28"/>
          <w:rtl/>
          <w14:ligatures w14:val="none"/>
        </w:rPr>
        <w:t>ليكرت</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الخماسي (موافق بشدة = 5، موافق = 4، محايد = 3، غير موافق = 2، غير موافق بشدة = 1</w:t>
      </w:r>
      <w:r w:rsidR="00EC3F4A" w:rsidRPr="00C330FB">
        <w:rPr>
          <w:rFonts w:ascii="Simplified Arabic" w:eastAsia="Times New Roman" w:hAnsi="Simplified Arabic" w:cs="Simplified Arabic" w:hint="cs"/>
          <w:color w:val="000000" w:themeColor="text1"/>
          <w:kern w:val="0"/>
          <w:sz w:val="28"/>
          <w:szCs w:val="28"/>
          <w:rtl/>
          <w14:ligatures w14:val="none"/>
        </w:rPr>
        <w:t>)</w:t>
      </w:r>
    </w:p>
    <w:p w14:paraId="131DD19A" w14:textId="0DD07E35" w:rsidR="009E1558" w:rsidRPr="00C330FB" w:rsidRDefault="00EC3F4A" w:rsidP="00EC3F4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1" w:name="_Toc233816280"/>
      <w:r w:rsidRPr="00C330FB">
        <w:rPr>
          <w:rFonts w:ascii="Simplified Arabic" w:eastAsia="Times New Roman" w:hAnsi="Simplified Arabic" w:cs="Simplified Arabic" w:hint="cs"/>
          <w:b/>
          <w:bCs/>
          <w:color w:val="000000" w:themeColor="text1"/>
          <w:kern w:val="0"/>
          <w:sz w:val="36"/>
          <w:szCs w:val="36"/>
          <w:rtl/>
          <w14:ligatures w14:val="none"/>
        </w:rPr>
        <w:t xml:space="preserve">14.1 </w:t>
      </w:r>
      <w:r w:rsidR="009E1558" w:rsidRPr="00C330FB">
        <w:rPr>
          <w:rFonts w:ascii="Simplified Arabic" w:eastAsia="Times New Roman" w:hAnsi="Simplified Arabic" w:cs="Simplified Arabic"/>
          <w:b/>
          <w:bCs/>
          <w:color w:val="000000" w:themeColor="text1"/>
          <w:kern w:val="0"/>
          <w:sz w:val="36"/>
          <w:szCs w:val="36"/>
          <w:rtl/>
          <w14:ligatures w14:val="none"/>
        </w:rPr>
        <w:t>الأساليب الإحصائية المستخدمة</w:t>
      </w:r>
      <w:bookmarkEnd w:id="21"/>
    </w:p>
    <w:p w14:paraId="79FEB8D7" w14:textId="77777777" w:rsidR="009E1558" w:rsidRPr="00C330FB" w:rsidRDefault="009E1558" w:rsidP="00EC3F4A">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سيتم تحليل البيانات باستخدام برنامج الحزم الإحصائية للعلوم الاجتماعية </w:t>
      </w:r>
      <w:r w:rsidRPr="00C330FB">
        <w:rPr>
          <w:rFonts w:ascii="Simplified Arabic" w:eastAsia="Times New Roman" w:hAnsi="Simplified Arabic" w:cs="Simplified Arabic"/>
          <w:color w:val="000000" w:themeColor="text1"/>
          <w:kern w:val="0"/>
          <w:sz w:val="28"/>
          <w:szCs w:val="28"/>
          <w14:ligatures w14:val="none"/>
        </w:rPr>
        <w:t xml:space="preserve">(SPSS v.28) </w:t>
      </w:r>
      <w:r w:rsidRPr="00C330FB">
        <w:rPr>
          <w:rFonts w:ascii="Simplified Arabic" w:eastAsia="Times New Roman" w:hAnsi="Simplified Arabic" w:cs="Simplified Arabic"/>
          <w:color w:val="000000" w:themeColor="text1"/>
          <w:kern w:val="0"/>
          <w:sz w:val="28"/>
          <w:szCs w:val="28"/>
          <w:rtl/>
          <w14:ligatures w14:val="none"/>
        </w:rPr>
        <w:t>بالاعتماد على الأساليب الإحصائية التالية</w:t>
      </w:r>
      <w:r w:rsidRPr="00C330FB">
        <w:rPr>
          <w:rFonts w:ascii="Simplified Arabic" w:eastAsia="Times New Roman" w:hAnsi="Simplified Arabic" w:cs="Simplified Arabic"/>
          <w:color w:val="000000" w:themeColor="text1"/>
          <w:kern w:val="0"/>
          <w:sz w:val="28"/>
          <w:szCs w:val="28"/>
          <w14:ligatures w14:val="none"/>
        </w:rPr>
        <w:t>:</w:t>
      </w:r>
    </w:p>
    <w:p w14:paraId="3C05FD47" w14:textId="77777777"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أساليب وصفية</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المتوسطات الحسابية والانحرافات المعيارية والتكرارات والنسب المئوية لوصف خصائص العينة واتجاهات الاستجابات</w:t>
      </w:r>
      <w:r w:rsidRPr="00C330FB">
        <w:rPr>
          <w:rFonts w:ascii="Simplified Arabic" w:eastAsia="Times New Roman" w:hAnsi="Simplified Arabic" w:cs="Simplified Arabic"/>
          <w:color w:val="000000" w:themeColor="text1"/>
          <w:kern w:val="0"/>
          <w:sz w:val="28"/>
          <w:szCs w:val="28"/>
          <w14:ligatures w14:val="none"/>
        </w:rPr>
        <w:t>.</w:t>
      </w:r>
    </w:p>
    <w:p w14:paraId="4CD2594B" w14:textId="77777777"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اختبارات الصدق والثبات</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معامل ألفا </w:t>
      </w:r>
      <w:proofErr w:type="spellStart"/>
      <w:r w:rsidRPr="00C330FB">
        <w:rPr>
          <w:rFonts w:ascii="Simplified Arabic" w:eastAsia="Times New Roman" w:hAnsi="Simplified Arabic" w:cs="Simplified Arabic"/>
          <w:color w:val="000000" w:themeColor="text1"/>
          <w:kern w:val="0"/>
          <w:sz w:val="28"/>
          <w:szCs w:val="28"/>
          <w:rtl/>
          <w14:ligatures w14:val="none"/>
        </w:rPr>
        <w:t>كرونباخ</w:t>
      </w:r>
      <w:proofErr w:type="spellEnd"/>
      <w:r w:rsidRPr="00C330FB">
        <w:rPr>
          <w:rFonts w:ascii="Simplified Arabic" w:eastAsia="Times New Roman" w:hAnsi="Simplified Arabic" w:cs="Simplified Arabic"/>
          <w:color w:val="000000" w:themeColor="text1"/>
          <w:kern w:val="0"/>
          <w:sz w:val="28"/>
          <w:szCs w:val="28"/>
          <w14:ligatures w14:val="none"/>
        </w:rPr>
        <w:t xml:space="preserve"> (Cronbach's Alpha) </w:t>
      </w:r>
      <w:r w:rsidRPr="00C330FB">
        <w:rPr>
          <w:rFonts w:ascii="Simplified Arabic" w:eastAsia="Times New Roman" w:hAnsi="Simplified Arabic" w:cs="Simplified Arabic"/>
          <w:color w:val="000000" w:themeColor="text1"/>
          <w:kern w:val="0"/>
          <w:sz w:val="28"/>
          <w:szCs w:val="28"/>
          <w:rtl/>
          <w14:ligatures w14:val="none"/>
        </w:rPr>
        <w:t>للتحقق من ثبات أداة الدراسة، والصدق الظاهري من خلال عرض الاستبانة على مجموعة من المحكّمين المتخصصين، وصدق الاتساق الداخلي من خلال معاملات ارتباط بيرسون بين كل فقرة ودرجة المحور الذي تنتمي إليه</w:t>
      </w:r>
      <w:r w:rsidRPr="00C330FB">
        <w:rPr>
          <w:rFonts w:ascii="Simplified Arabic" w:eastAsia="Times New Roman" w:hAnsi="Simplified Arabic" w:cs="Simplified Arabic"/>
          <w:color w:val="000000" w:themeColor="text1"/>
          <w:kern w:val="0"/>
          <w:sz w:val="28"/>
          <w:szCs w:val="28"/>
          <w14:ligatures w14:val="none"/>
        </w:rPr>
        <w:t>.</w:t>
      </w:r>
    </w:p>
    <w:p w14:paraId="3CB87D8B" w14:textId="77777777"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تحليل الارتباط</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معامل ارتباط بيرسون</w:t>
      </w:r>
      <w:r w:rsidRPr="00C330FB">
        <w:rPr>
          <w:rFonts w:ascii="Simplified Arabic" w:eastAsia="Times New Roman" w:hAnsi="Simplified Arabic" w:cs="Simplified Arabic"/>
          <w:color w:val="000000" w:themeColor="text1"/>
          <w:kern w:val="0"/>
          <w:sz w:val="28"/>
          <w:szCs w:val="28"/>
          <w14:ligatures w14:val="none"/>
        </w:rPr>
        <w:t xml:space="preserve"> (Pearson Correlation) </w:t>
      </w:r>
      <w:r w:rsidRPr="00C330FB">
        <w:rPr>
          <w:rFonts w:ascii="Simplified Arabic" w:eastAsia="Times New Roman" w:hAnsi="Simplified Arabic" w:cs="Simplified Arabic"/>
          <w:color w:val="000000" w:themeColor="text1"/>
          <w:kern w:val="0"/>
          <w:sz w:val="28"/>
          <w:szCs w:val="28"/>
          <w:rtl/>
          <w14:ligatures w14:val="none"/>
        </w:rPr>
        <w:t>لقياس قوة العلاقة واتجاهها بين المتغير المستقل بأبعاده والمتغير التابع</w:t>
      </w:r>
      <w:r w:rsidRPr="00C330FB">
        <w:rPr>
          <w:rFonts w:ascii="Simplified Arabic" w:eastAsia="Times New Roman" w:hAnsi="Simplified Arabic" w:cs="Simplified Arabic"/>
          <w:color w:val="000000" w:themeColor="text1"/>
          <w:kern w:val="0"/>
          <w:sz w:val="28"/>
          <w:szCs w:val="28"/>
          <w14:ligatures w14:val="none"/>
        </w:rPr>
        <w:t>.</w:t>
      </w:r>
    </w:p>
    <w:p w14:paraId="0CB51B89" w14:textId="77777777"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تحليل الانحدار</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الانحدار الخطي البسيط</w:t>
      </w:r>
      <w:r w:rsidRPr="00C330FB">
        <w:rPr>
          <w:rFonts w:ascii="Simplified Arabic" w:eastAsia="Times New Roman" w:hAnsi="Simplified Arabic" w:cs="Simplified Arabic"/>
          <w:color w:val="000000" w:themeColor="text1"/>
          <w:kern w:val="0"/>
          <w:sz w:val="28"/>
          <w:szCs w:val="28"/>
          <w14:ligatures w14:val="none"/>
        </w:rPr>
        <w:t xml:space="preserve"> (Simple Linear Regression) </w:t>
      </w:r>
      <w:r w:rsidRPr="00C330FB">
        <w:rPr>
          <w:rFonts w:ascii="Simplified Arabic" w:eastAsia="Times New Roman" w:hAnsi="Simplified Arabic" w:cs="Simplified Arabic"/>
          <w:color w:val="000000" w:themeColor="text1"/>
          <w:kern w:val="0"/>
          <w:sz w:val="28"/>
          <w:szCs w:val="28"/>
          <w:rtl/>
          <w14:ligatures w14:val="none"/>
        </w:rPr>
        <w:t xml:space="preserve">لاختبار أثر كل بُعد من أبعاد المتغير المستقل على المتغير التابع بشكل منفرد، والانحدار الخطي المتعدد </w:t>
      </w:r>
      <w:r w:rsidRPr="00C330FB">
        <w:rPr>
          <w:rFonts w:ascii="Simplified Arabic" w:eastAsia="Times New Roman" w:hAnsi="Simplified Arabic" w:cs="Simplified Arabic"/>
          <w:color w:val="000000" w:themeColor="text1"/>
          <w:kern w:val="0"/>
          <w:sz w:val="28"/>
          <w:szCs w:val="28"/>
          <w14:ligatures w14:val="none"/>
        </w:rPr>
        <w:t xml:space="preserve">(Multiple Linear Regression) </w:t>
      </w:r>
      <w:r w:rsidRPr="00C330FB">
        <w:rPr>
          <w:rFonts w:ascii="Simplified Arabic" w:eastAsia="Times New Roman" w:hAnsi="Simplified Arabic" w:cs="Simplified Arabic"/>
          <w:color w:val="000000" w:themeColor="text1"/>
          <w:kern w:val="0"/>
          <w:sz w:val="28"/>
          <w:szCs w:val="28"/>
          <w:rtl/>
          <w14:ligatures w14:val="none"/>
        </w:rPr>
        <w:t>لاختبار الأثر المُجمّع للأبعاد الأربعة مجتمعة على إدارة المخاطر التشغيلية وتحديد الأهمية النسبية لكل بُعد</w:t>
      </w:r>
      <w:r w:rsidRPr="00C330FB">
        <w:rPr>
          <w:rFonts w:ascii="Simplified Arabic" w:eastAsia="Times New Roman" w:hAnsi="Simplified Arabic" w:cs="Simplified Arabic"/>
          <w:color w:val="000000" w:themeColor="text1"/>
          <w:kern w:val="0"/>
          <w:sz w:val="28"/>
          <w:szCs w:val="28"/>
          <w14:ligatures w14:val="none"/>
        </w:rPr>
        <w:t>.</w:t>
      </w:r>
    </w:p>
    <w:p w14:paraId="1AEE08AD" w14:textId="77777777"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اختبارات الفروق</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اختبار </w:t>
      </w:r>
      <w:r w:rsidRPr="00C330FB">
        <w:rPr>
          <w:rFonts w:ascii="Simplified Arabic" w:eastAsia="Times New Roman" w:hAnsi="Simplified Arabic" w:cs="Simplified Arabic"/>
          <w:color w:val="000000" w:themeColor="text1"/>
          <w:kern w:val="0"/>
          <w:sz w:val="28"/>
          <w:szCs w:val="28"/>
          <w14:ligatures w14:val="none"/>
        </w:rPr>
        <w:t xml:space="preserve">(T-Test) </w:t>
      </w:r>
      <w:r w:rsidRPr="00C330FB">
        <w:rPr>
          <w:rFonts w:ascii="Simplified Arabic" w:eastAsia="Times New Roman" w:hAnsi="Simplified Arabic" w:cs="Simplified Arabic"/>
          <w:color w:val="000000" w:themeColor="text1"/>
          <w:kern w:val="0"/>
          <w:sz w:val="28"/>
          <w:szCs w:val="28"/>
          <w:rtl/>
          <w14:ligatures w14:val="none"/>
        </w:rPr>
        <w:t>لعينتين مستقلتين، وتحليل التباين الأحادي</w:t>
      </w:r>
      <w:r w:rsidRPr="00C330FB">
        <w:rPr>
          <w:rFonts w:ascii="Simplified Arabic" w:eastAsia="Times New Roman" w:hAnsi="Simplified Arabic" w:cs="Simplified Arabic"/>
          <w:color w:val="000000" w:themeColor="text1"/>
          <w:kern w:val="0"/>
          <w:sz w:val="28"/>
          <w:szCs w:val="28"/>
          <w14:ligatures w14:val="none"/>
        </w:rPr>
        <w:t xml:space="preserve"> (One-Way ANOVA) </w:t>
      </w:r>
      <w:r w:rsidRPr="00C330FB">
        <w:rPr>
          <w:rFonts w:ascii="Simplified Arabic" w:eastAsia="Times New Roman" w:hAnsi="Simplified Arabic" w:cs="Simplified Arabic"/>
          <w:color w:val="000000" w:themeColor="text1"/>
          <w:kern w:val="0"/>
          <w:sz w:val="28"/>
          <w:szCs w:val="28"/>
          <w:rtl/>
          <w14:ligatures w14:val="none"/>
        </w:rPr>
        <w:t>مع اختبار المقارنات البعدية</w:t>
      </w:r>
      <w:r w:rsidRPr="00C330FB">
        <w:rPr>
          <w:rFonts w:ascii="Simplified Arabic" w:eastAsia="Times New Roman" w:hAnsi="Simplified Arabic" w:cs="Simplified Arabic"/>
          <w:color w:val="000000" w:themeColor="text1"/>
          <w:kern w:val="0"/>
          <w:sz w:val="28"/>
          <w:szCs w:val="28"/>
          <w14:ligatures w14:val="none"/>
        </w:rPr>
        <w:t xml:space="preserve"> (Post Hoc - Scheffe/LSD) </w:t>
      </w:r>
      <w:r w:rsidRPr="00C330FB">
        <w:rPr>
          <w:rFonts w:ascii="Simplified Arabic" w:eastAsia="Times New Roman" w:hAnsi="Simplified Arabic" w:cs="Simplified Arabic"/>
          <w:color w:val="000000" w:themeColor="text1"/>
          <w:kern w:val="0"/>
          <w:sz w:val="28"/>
          <w:szCs w:val="28"/>
          <w:rtl/>
          <w14:ligatures w14:val="none"/>
        </w:rPr>
        <w:t>للكشف عن الفروق في استجابات أفراد العينة وفقاً للمتغيرات الديموغرافية</w:t>
      </w:r>
      <w:r w:rsidRPr="00C330FB">
        <w:rPr>
          <w:rFonts w:ascii="Simplified Arabic" w:eastAsia="Times New Roman" w:hAnsi="Simplified Arabic" w:cs="Simplified Arabic"/>
          <w:color w:val="000000" w:themeColor="text1"/>
          <w:kern w:val="0"/>
          <w:sz w:val="28"/>
          <w:szCs w:val="28"/>
          <w14:ligatures w14:val="none"/>
        </w:rPr>
        <w:t>.</w:t>
      </w:r>
    </w:p>
    <w:p w14:paraId="2B91AD30" w14:textId="77777777" w:rsidR="00EC3F4A"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اختبار التوزيع الطبيعي</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اختبار </w:t>
      </w:r>
      <w:proofErr w:type="spellStart"/>
      <w:r w:rsidRPr="00C330FB">
        <w:rPr>
          <w:rFonts w:ascii="Simplified Arabic" w:eastAsia="Times New Roman" w:hAnsi="Simplified Arabic" w:cs="Simplified Arabic"/>
          <w:color w:val="000000" w:themeColor="text1"/>
          <w:kern w:val="0"/>
          <w:sz w:val="28"/>
          <w:szCs w:val="28"/>
          <w:rtl/>
          <w14:ligatures w14:val="none"/>
        </w:rPr>
        <w:t>كولموجروف</w:t>
      </w:r>
      <w:proofErr w:type="spellEnd"/>
      <w:r w:rsidRPr="00C330FB">
        <w:rPr>
          <w:rFonts w:ascii="Simplified Arabic" w:eastAsia="Times New Roman" w:hAnsi="Simplified Arabic" w:cs="Simplified Arabic"/>
          <w:color w:val="000000" w:themeColor="text1"/>
          <w:kern w:val="0"/>
          <w:sz w:val="28"/>
          <w:szCs w:val="28"/>
          <w:rtl/>
          <w14:ligatures w14:val="none"/>
        </w:rPr>
        <w:t>–</w:t>
      </w:r>
      <w:proofErr w:type="spellStart"/>
      <w:r w:rsidRPr="00C330FB">
        <w:rPr>
          <w:rFonts w:ascii="Simplified Arabic" w:eastAsia="Times New Roman" w:hAnsi="Simplified Arabic" w:cs="Simplified Arabic"/>
          <w:color w:val="000000" w:themeColor="text1"/>
          <w:kern w:val="0"/>
          <w:sz w:val="28"/>
          <w:szCs w:val="28"/>
          <w:rtl/>
          <w14:ligatures w14:val="none"/>
        </w:rPr>
        <w:t>سميرنوف</w:t>
      </w:r>
      <w:proofErr w:type="spellEnd"/>
      <w:r w:rsidRPr="00C330FB">
        <w:rPr>
          <w:rFonts w:ascii="Simplified Arabic" w:eastAsia="Times New Roman" w:hAnsi="Simplified Arabic" w:cs="Simplified Arabic"/>
          <w:color w:val="000000" w:themeColor="text1"/>
          <w:kern w:val="0"/>
          <w:sz w:val="28"/>
          <w:szCs w:val="28"/>
          <w14:ligatures w14:val="none"/>
        </w:rPr>
        <w:t xml:space="preserve"> (Kolmogorov-Smirnov) </w:t>
      </w:r>
      <w:r w:rsidRPr="00C330FB">
        <w:rPr>
          <w:rFonts w:ascii="Simplified Arabic" w:eastAsia="Times New Roman" w:hAnsi="Simplified Arabic" w:cs="Simplified Arabic"/>
          <w:color w:val="000000" w:themeColor="text1"/>
          <w:kern w:val="0"/>
          <w:sz w:val="28"/>
          <w:szCs w:val="28"/>
          <w:rtl/>
          <w14:ligatures w14:val="none"/>
        </w:rPr>
        <w:t xml:space="preserve">للتحقق من اعتدالية توزيع البيانات قبل تطبيق الاختبارات </w:t>
      </w:r>
      <w:proofErr w:type="spellStart"/>
      <w:r w:rsidRPr="00C330FB">
        <w:rPr>
          <w:rFonts w:ascii="Simplified Arabic" w:eastAsia="Times New Roman" w:hAnsi="Simplified Arabic" w:cs="Simplified Arabic"/>
          <w:color w:val="000000" w:themeColor="text1"/>
          <w:kern w:val="0"/>
          <w:sz w:val="28"/>
          <w:szCs w:val="28"/>
          <w:rtl/>
          <w14:ligatures w14:val="none"/>
        </w:rPr>
        <w:t>المعلمية</w:t>
      </w:r>
      <w:proofErr w:type="spellEnd"/>
      <w:r w:rsidRPr="00C330FB">
        <w:rPr>
          <w:rFonts w:ascii="Simplified Arabic" w:eastAsia="Times New Roman" w:hAnsi="Simplified Arabic" w:cs="Simplified Arabic"/>
          <w:color w:val="000000" w:themeColor="text1"/>
          <w:kern w:val="0"/>
          <w:sz w:val="28"/>
          <w:szCs w:val="28"/>
          <w14:ligatures w14:val="none"/>
        </w:rPr>
        <w:t>.</w:t>
      </w:r>
    </w:p>
    <w:p w14:paraId="0C856BA3" w14:textId="0EADCFAD" w:rsidR="009E1558" w:rsidRPr="00C330FB" w:rsidRDefault="009E1558" w:rsidP="00EC3F4A">
      <w:pPr>
        <w:pStyle w:val="a6"/>
        <w:numPr>
          <w:ilvl w:val="0"/>
          <w:numId w:val="43"/>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معامل تضخم التباين</w:t>
      </w:r>
      <w:r w:rsidRPr="00C330FB">
        <w:rPr>
          <w:rFonts w:ascii="Simplified Arabic" w:eastAsia="Times New Roman" w:hAnsi="Simplified Arabic" w:cs="Simplified Arabic"/>
          <w:color w:val="000000" w:themeColor="text1"/>
          <w:kern w:val="0"/>
          <w:sz w:val="28"/>
          <w:szCs w:val="28"/>
          <w14:ligatures w14:val="none"/>
        </w:rPr>
        <w:t xml:space="preserve"> (VIF) </w:t>
      </w:r>
      <w:r w:rsidRPr="00C330FB">
        <w:rPr>
          <w:rFonts w:ascii="Simplified Arabic" w:eastAsia="Times New Roman" w:hAnsi="Simplified Arabic" w:cs="Simplified Arabic"/>
          <w:color w:val="000000" w:themeColor="text1"/>
          <w:kern w:val="0"/>
          <w:sz w:val="28"/>
          <w:szCs w:val="28"/>
          <w:rtl/>
          <w14:ligatures w14:val="none"/>
        </w:rPr>
        <w:t>واختبار التحمل</w:t>
      </w:r>
      <w:r w:rsidRPr="00C330FB">
        <w:rPr>
          <w:rFonts w:ascii="Simplified Arabic" w:eastAsia="Times New Roman" w:hAnsi="Simplified Arabic" w:cs="Simplified Arabic"/>
          <w:color w:val="000000" w:themeColor="text1"/>
          <w:kern w:val="0"/>
          <w:sz w:val="28"/>
          <w:szCs w:val="28"/>
          <w14:ligatures w14:val="none"/>
        </w:rPr>
        <w:t xml:space="preserve"> (Tolerance): </w:t>
      </w:r>
      <w:r w:rsidRPr="00C330FB">
        <w:rPr>
          <w:rFonts w:ascii="Simplified Arabic" w:eastAsia="Times New Roman" w:hAnsi="Simplified Arabic" w:cs="Simplified Arabic"/>
          <w:color w:val="000000" w:themeColor="text1"/>
          <w:kern w:val="0"/>
          <w:sz w:val="28"/>
          <w:szCs w:val="28"/>
          <w:rtl/>
          <w14:ligatures w14:val="none"/>
        </w:rPr>
        <w:t>للتحقق من عدم وجود ازدواج خطي</w:t>
      </w:r>
      <w:r w:rsidRPr="00C330FB">
        <w:rPr>
          <w:rFonts w:ascii="Simplified Arabic" w:eastAsia="Times New Roman" w:hAnsi="Simplified Arabic" w:cs="Simplified Arabic"/>
          <w:color w:val="000000" w:themeColor="text1"/>
          <w:kern w:val="0"/>
          <w:sz w:val="28"/>
          <w:szCs w:val="28"/>
          <w14:ligatures w14:val="none"/>
        </w:rPr>
        <w:t xml:space="preserve"> (Multicollinearity) </w:t>
      </w:r>
      <w:r w:rsidRPr="00C330FB">
        <w:rPr>
          <w:rFonts w:ascii="Simplified Arabic" w:eastAsia="Times New Roman" w:hAnsi="Simplified Arabic" w:cs="Simplified Arabic"/>
          <w:color w:val="000000" w:themeColor="text1"/>
          <w:kern w:val="0"/>
          <w:sz w:val="28"/>
          <w:szCs w:val="28"/>
          <w:rtl/>
          <w14:ligatures w14:val="none"/>
        </w:rPr>
        <w:t>بين الأبعاد المستقلة في نموذج الانحدار المتعدد</w:t>
      </w:r>
      <w:r w:rsidRPr="00C330FB">
        <w:rPr>
          <w:rFonts w:ascii="Simplified Arabic" w:eastAsia="Times New Roman" w:hAnsi="Simplified Arabic" w:cs="Simplified Arabic"/>
          <w:color w:val="000000" w:themeColor="text1"/>
          <w:kern w:val="0"/>
          <w:sz w:val="28"/>
          <w:szCs w:val="28"/>
          <w14:ligatures w14:val="none"/>
        </w:rPr>
        <w:t>.</w:t>
      </w:r>
    </w:p>
    <w:p w14:paraId="26F85A62" w14:textId="48BCE343" w:rsidR="009E1558" w:rsidRPr="00C330FB" w:rsidRDefault="00EC3F4A" w:rsidP="00EC3F4A">
      <w:pPr>
        <w:spacing w:before="100" w:beforeAutospacing="1" w:after="100" w:afterAutospacing="1" w:line="276" w:lineRule="auto"/>
        <w:jc w:val="both"/>
        <w:outlineLvl w:val="1"/>
        <w:rPr>
          <w:rFonts w:ascii="Simplified Arabic" w:eastAsia="Times New Roman" w:hAnsi="Simplified Arabic" w:cs="Simplified Arabic"/>
          <w:b/>
          <w:bCs/>
          <w:color w:val="000000" w:themeColor="text1"/>
          <w:kern w:val="0"/>
          <w:sz w:val="36"/>
          <w:szCs w:val="36"/>
          <w14:ligatures w14:val="none"/>
        </w:rPr>
      </w:pPr>
      <w:bookmarkStart w:id="22" w:name="_Toc233816281"/>
      <w:r w:rsidRPr="00C330FB">
        <w:rPr>
          <w:rFonts w:ascii="Simplified Arabic" w:eastAsia="Times New Roman" w:hAnsi="Simplified Arabic" w:cs="Simplified Arabic" w:hint="cs"/>
          <w:b/>
          <w:bCs/>
          <w:color w:val="000000" w:themeColor="text1"/>
          <w:kern w:val="0"/>
          <w:sz w:val="36"/>
          <w:szCs w:val="36"/>
          <w:rtl/>
          <w14:ligatures w14:val="none"/>
        </w:rPr>
        <w:t>15.1</w:t>
      </w:r>
      <w:r w:rsidR="009E1558" w:rsidRPr="00C330FB">
        <w:rPr>
          <w:rFonts w:ascii="Simplified Arabic" w:eastAsia="Times New Roman" w:hAnsi="Simplified Arabic" w:cs="Simplified Arabic"/>
          <w:b/>
          <w:bCs/>
          <w:color w:val="000000" w:themeColor="text1"/>
          <w:kern w:val="0"/>
          <w:sz w:val="36"/>
          <w:szCs w:val="36"/>
          <w:rtl/>
          <w14:ligatures w14:val="none"/>
        </w:rPr>
        <w:t xml:space="preserve"> حدود الدراسة</w:t>
      </w:r>
      <w:bookmarkEnd w:id="22"/>
    </w:p>
    <w:p w14:paraId="20B03872" w14:textId="222812F3" w:rsidR="009E1558" w:rsidRPr="00C330FB" w:rsidRDefault="009E1558" w:rsidP="00EC3F4A">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الحدود الموضوعية</w:t>
      </w:r>
      <w:r w:rsidRPr="00C330FB">
        <w:rPr>
          <w:rFonts w:ascii="Simplified Arabic" w:eastAsia="Times New Roman" w:hAnsi="Simplified Arabic" w:cs="Simplified Arabic"/>
          <w:color w:val="000000" w:themeColor="text1"/>
          <w:kern w:val="0"/>
          <w:sz w:val="28"/>
          <w:szCs w:val="28"/>
          <w14:ligatures w14:val="none"/>
        </w:rPr>
        <w:t xml:space="preserve">: </w:t>
      </w:r>
      <w:r w:rsidR="00723DBF" w:rsidRPr="00C330FB">
        <w:rPr>
          <w:rFonts w:ascii="Simplified Arabic" w:eastAsia="Times New Roman" w:hAnsi="Simplified Arabic" w:cs="Simplified Arabic"/>
          <w:color w:val="000000" w:themeColor="text1"/>
          <w:kern w:val="0"/>
          <w:sz w:val="28"/>
          <w:szCs w:val="28"/>
          <w:rtl/>
          <w:lang w:bidi="ar-EG"/>
          <w14:ligatures w14:val="none"/>
        </w:rPr>
        <w:t>ا</w:t>
      </w:r>
      <w:proofErr w:type="spellStart"/>
      <w:r w:rsidRPr="00C330FB">
        <w:rPr>
          <w:rFonts w:ascii="Simplified Arabic" w:eastAsia="Times New Roman" w:hAnsi="Simplified Arabic" w:cs="Simplified Arabic"/>
          <w:color w:val="000000" w:themeColor="text1"/>
          <w:kern w:val="0"/>
          <w:sz w:val="28"/>
          <w:szCs w:val="28"/>
          <w:rtl/>
          <w14:ligatures w14:val="none"/>
        </w:rPr>
        <w:t>قتصر</w:t>
      </w:r>
      <w:r w:rsidR="00723DBF" w:rsidRPr="00C330FB">
        <w:rPr>
          <w:rFonts w:ascii="Simplified Arabic" w:eastAsia="Times New Roman" w:hAnsi="Simplified Arabic" w:cs="Simplified Arabic"/>
          <w:color w:val="000000" w:themeColor="text1"/>
          <w:kern w:val="0"/>
          <w:sz w:val="28"/>
          <w:szCs w:val="28"/>
          <w:rtl/>
          <w14:ligatures w14:val="none"/>
        </w:rPr>
        <w:t>ت</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الدراسة على تحليل أثر توظيف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بأبعادها الأربعة (دقة التنبؤات الجوية وموثوقيتها – تكامل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xml:space="preserve"> مع أنظمة الإنذار المبكر – التحليلات التنبؤية المبنية على النماذج المناخية – البنية التحتية التقنية لإدارة البيانات </w:t>
      </w:r>
      <w:r w:rsidR="001C398F" w:rsidRPr="00C330FB">
        <w:rPr>
          <w:rFonts w:ascii="Simplified Arabic" w:eastAsia="Times New Roman" w:hAnsi="Simplified Arabic" w:cs="Simplified Arabic"/>
          <w:color w:val="000000" w:themeColor="text1"/>
          <w:kern w:val="0"/>
          <w:sz w:val="28"/>
          <w:szCs w:val="28"/>
          <w:rtl/>
          <w14:ligatures w14:val="none"/>
        </w:rPr>
        <w:t>الارصاد</w:t>
      </w:r>
      <w:r w:rsidRPr="00C330FB">
        <w:rPr>
          <w:rFonts w:ascii="Simplified Arabic" w:eastAsia="Times New Roman" w:hAnsi="Simplified Arabic" w:cs="Simplified Arabic"/>
          <w:color w:val="000000" w:themeColor="text1"/>
          <w:kern w:val="0"/>
          <w:sz w:val="28"/>
          <w:szCs w:val="28"/>
          <w:rtl/>
          <w14:ligatures w14:val="none"/>
        </w:rPr>
        <w:t>) على إدارة المخاطر التشغيلية، دون التطرق إلى أنواع المخاطر الأخرى كمخاطر الائتمان أو مخاطر السوق أو مخاطر السيولة</w:t>
      </w:r>
      <w:r w:rsidRPr="00C330FB">
        <w:rPr>
          <w:rFonts w:ascii="Simplified Arabic" w:eastAsia="Times New Roman" w:hAnsi="Simplified Arabic" w:cs="Simplified Arabic"/>
          <w:color w:val="000000" w:themeColor="text1"/>
          <w:kern w:val="0"/>
          <w:sz w:val="28"/>
          <w:szCs w:val="28"/>
          <w14:ligatures w14:val="none"/>
        </w:rPr>
        <w:t>.</w:t>
      </w:r>
    </w:p>
    <w:p w14:paraId="237234E6" w14:textId="281CCDE0" w:rsidR="009E1558" w:rsidRPr="00C330FB" w:rsidRDefault="009E1558" w:rsidP="00EC3F4A">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الحدود المكانية</w:t>
      </w:r>
      <w:r w:rsidRPr="00C330FB">
        <w:rPr>
          <w:rFonts w:ascii="Simplified Arabic" w:eastAsia="Times New Roman" w:hAnsi="Simplified Arabic" w:cs="Simplified Arabic"/>
          <w:color w:val="000000" w:themeColor="text1"/>
          <w:kern w:val="0"/>
          <w:sz w:val="28"/>
          <w:szCs w:val="28"/>
          <w14:ligatures w14:val="none"/>
        </w:rPr>
        <w:t xml:space="preserve">: </w:t>
      </w:r>
      <w:r w:rsidR="00723DBF" w:rsidRPr="00C330FB">
        <w:rPr>
          <w:rFonts w:ascii="Simplified Arabic" w:eastAsia="Times New Roman" w:hAnsi="Simplified Arabic" w:cs="Simplified Arabic"/>
          <w:color w:val="000000" w:themeColor="text1"/>
          <w:kern w:val="0"/>
          <w:sz w:val="28"/>
          <w:szCs w:val="28"/>
          <w:rtl/>
          <w14:ligatures w14:val="none"/>
        </w:rPr>
        <w:t>اقتصرت الدراسة مكانيًا على مراكز الأرصاد الجوية في المملكة العربية السعودية</w:t>
      </w:r>
      <w:r w:rsidR="002322E4" w:rsidRPr="00C330FB">
        <w:rPr>
          <w:rFonts w:ascii="Simplified Arabic" w:eastAsia="Times New Roman" w:hAnsi="Simplified Arabic" w:cs="Simplified Arabic"/>
          <w:color w:val="000000" w:themeColor="text1"/>
          <w:kern w:val="0"/>
          <w:sz w:val="28"/>
          <w:szCs w:val="28"/>
          <w:rtl/>
          <w14:ligatures w14:val="none"/>
        </w:rPr>
        <w:t>.</w:t>
      </w:r>
    </w:p>
    <w:p w14:paraId="6F6419F8" w14:textId="1E7F0137" w:rsidR="009E1558" w:rsidRPr="00C330FB" w:rsidRDefault="009E1558" w:rsidP="00EC3F4A">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14:ligatures w14:val="none"/>
        </w:rPr>
      </w:pPr>
      <w:r w:rsidRPr="00C330FB">
        <w:rPr>
          <w:rFonts w:ascii="Simplified Arabic" w:eastAsia="Times New Roman" w:hAnsi="Simplified Arabic" w:cs="Simplified Arabic"/>
          <w:color w:val="000000" w:themeColor="text1"/>
          <w:kern w:val="0"/>
          <w:sz w:val="28"/>
          <w:szCs w:val="28"/>
          <w:rtl/>
          <w14:ligatures w14:val="none"/>
        </w:rPr>
        <w:t>الحدود الزمنية</w:t>
      </w:r>
      <w:r w:rsidRPr="00C330FB">
        <w:rPr>
          <w:rFonts w:ascii="Simplified Arabic" w:eastAsia="Times New Roman" w:hAnsi="Simplified Arabic" w:cs="Simplified Arabic"/>
          <w:color w:val="000000" w:themeColor="text1"/>
          <w:kern w:val="0"/>
          <w:sz w:val="28"/>
          <w:szCs w:val="28"/>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تم إجراء الدراسة الميدانية خلال الفصل الدراسي الثاني 2026م</w:t>
      </w:r>
      <w:r w:rsidRPr="00C330FB">
        <w:rPr>
          <w:rFonts w:ascii="Simplified Arabic" w:eastAsia="Times New Roman" w:hAnsi="Simplified Arabic" w:cs="Simplified Arabic"/>
          <w:color w:val="000000" w:themeColor="text1"/>
          <w:kern w:val="0"/>
          <w:sz w:val="28"/>
          <w:szCs w:val="28"/>
          <w14:ligatures w14:val="none"/>
        </w:rPr>
        <w:t>.</w:t>
      </w:r>
    </w:p>
    <w:p w14:paraId="740277D8" w14:textId="77777777" w:rsidR="005F3EA8" w:rsidRPr="00C330FB" w:rsidRDefault="009E1558" w:rsidP="00EC3F4A">
      <w:pPr>
        <w:pStyle w:val="a6"/>
        <w:numPr>
          <w:ilvl w:val="0"/>
          <w:numId w:val="44"/>
        </w:numPr>
        <w:spacing w:before="100" w:beforeAutospacing="1" w:after="100" w:afterAutospacing="1" w:line="276" w:lineRule="auto"/>
        <w:ind w:left="424"/>
        <w:jc w:val="both"/>
        <w:rPr>
          <w:rFonts w:ascii="Simplified Arabic" w:eastAsia="Times New Roman" w:hAnsi="Simplified Arabic" w:cs="Simplified Arabic"/>
          <w:color w:val="000000" w:themeColor="text1"/>
          <w:kern w:val="0"/>
          <w:sz w:val="28"/>
          <w:szCs w:val="28"/>
          <w:rtl/>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الحدود البشرية</w:t>
      </w:r>
      <w:r w:rsidRPr="00C330FB">
        <w:rPr>
          <w:rFonts w:ascii="Simplified Arabic" w:eastAsia="Times New Roman" w:hAnsi="Simplified Arabic" w:cs="Simplified Arabic"/>
          <w:color w:val="000000" w:themeColor="text1"/>
          <w:kern w:val="0"/>
          <w:sz w:val="28"/>
          <w:szCs w:val="28"/>
          <w14:ligatures w14:val="none"/>
        </w:rPr>
        <w:t xml:space="preserve">: </w:t>
      </w:r>
      <w:r w:rsidR="00723DBF" w:rsidRPr="00C330FB">
        <w:rPr>
          <w:rFonts w:ascii="Simplified Arabic" w:eastAsia="Times New Roman" w:hAnsi="Simplified Arabic" w:cs="Simplified Arabic"/>
          <w:color w:val="000000" w:themeColor="text1"/>
          <w:kern w:val="0"/>
          <w:sz w:val="28"/>
          <w:szCs w:val="28"/>
          <w14:ligatures w14:val="none"/>
        </w:rPr>
        <w:t> </w:t>
      </w:r>
      <w:r w:rsidR="00723DBF" w:rsidRPr="00C330FB">
        <w:rPr>
          <w:rFonts w:ascii="Simplified Arabic" w:eastAsia="Times New Roman" w:hAnsi="Simplified Arabic" w:cs="Simplified Arabic"/>
          <w:color w:val="000000" w:themeColor="text1"/>
          <w:kern w:val="0"/>
          <w:sz w:val="28"/>
          <w:szCs w:val="28"/>
          <w:rtl/>
          <w14:ligatures w14:val="none"/>
        </w:rPr>
        <w:t>اقتصرت الدراسة بشريًا على العاملين في مراكز الأرصاد الجوية ممن يشغلون مناصب لها علاقة مباشرة بإدارة المخاطر التشغيلية وإنتاج بيانات الأرصاد وتوظيفها، وتشمل هذه الفئات: مديري المراكز، ورؤساء أقسام الرصد والتنبؤات، والمتنبئين الجويين، ومحللي البيانات المناخية، ومسؤولي أنظمة الإنذار المبكر، ومهندسي البنية التحتية التقنية</w:t>
      </w:r>
      <w:r w:rsidRPr="00C330FB">
        <w:rPr>
          <w:rFonts w:ascii="Simplified Arabic" w:eastAsia="Times New Roman" w:hAnsi="Simplified Arabic" w:cs="Simplified Arabic"/>
          <w:color w:val="000000" w:themeColor="text1"/>
          <w:kern w:val="0"/>
          <w:sz w:val="28"/>
          <w:szCs w:val="28"/>
          <w14:ligatures w14:val="none"/>
        </w:rPr>
        <w:t>.</w:t>
      </w:r>
    </w:p>
    <w:p w14:paraId="4C0406CB" w14:textId="2A9C1776" w:rsidR="002A726B" w:rsidRPr="00C330FB" w:rsidRDefault="005F3EA8" w:rsidP="00EC3F4A">
      <w:pPr>
        <w:jc w:val="center"/>
        <w:outlineLvl w:val="0"/>
        <w:rPr>
          <w:rFonts w:ascii="Simplified Arabic" w:eastAsia="Times New Roman" w:hAnsi="Simplified Arabic" w:cs="Simplified Arabic"/>
          <w:b/>
          <w:bCs/>
          <w:color w:val="000000" w:themeColor="text1"/>
          <w:kern w:val="0"/>
          <w:sz w:val="40"/>
          <w:szCs w:val="40"/>
          <w:lang w:bidi="ar-EG"/>
          <w14:ligatures w14:val="none"/>
        </w:rPr>
      </w:pPr>
      <w:r w:rsidRPr="00C330FB">
        <w:rPr>
          <w:rFonts w:ascii="Simplified Arabic" w:eastAsia="Times New Roman" w:hAnsi="Simplified Arabic" w:cs="Simplified Arabic"/>
          <w:b/>
          <w:bCs/>
          <w:color w:val="000000" w:themeColor="text1"/>
          <w:kern w:val="0"/>
          <w:sz w:val="40"/>
          <w:szCs w:val="40"/>
          <w:rtl/>
          <w:lang w:bidi="ar-EG"/>
          <w14:ligatures w14:val="none"/>
        </w:rPr>
        <w:br w:type="page"/>
      </w:r>
      <w:bookmarkStart w:id="23" w:name="_Toc233816282"/>
      <w:r w:rsidR="00EC3F4A" w:rsidRPr="00C330FB">
        <w:rPr>
          <w:rFonts w:ascii="Simplified Arabic" w:eastAsia="Times New Roman" w:hAnsi="Simplified Arabic" w:cs="Simplified Arabic" w:hint="cs"/>
          <w:b/>
          <w:bCs/>
          <w:color w:val="000000" w:themeColor="text1"/>
          <w:kern w:val="0"/>
          <w:sz w:val="40"/>
          <w:szCs w:val="40"/>
          <w:rtl/>
          <w:lang w:bidi="ar-EG"/>
          <w14:ligatures w14:val="none"/>
        </w:rPr>
        <w:lastRenderedPageBreak/>
        <w:t xml:space="preserve">الفصل الثاني: </w:t>
      </w:r>
      <w:r w:rsidR="002A726B" w:rsidRPr="00C330FB">
        <w:rPr>
          <w:rFonts w:ascii="Simplified Arabic" w:eastAsia="Times New Roman" w:hAnsi="Simplified Arabic" w:cs="Simplified Arabic"/>
          <w:b/>
          <w:bCs/>
          <w:color w:val="000000" w:themeColor="text1"/>
          <w:kern w:val="0"/>
          <w:sz w:val="40"/>
          <w:szCs w:val="40"/>
          <w:rtl/>
          <w14:ligatures w14:val="none"/>
        </w:rPr>
        <w:t>الإطار النظري للدراسة</w:t>
      </w:r>
      <w:bookmarkEnd w:id="23"/>
    </w:p>
    <w:p w14:paraId="5185790E" w14:textId="77777777" w:rsidR="002A726B" w:rsidRPr="00C330FB" w:rsidRDefault="002A726B" w:rsidP="00EC3F4A">
      <w:pPr>
        <w:spacing w:before="100" w:beforeAutospacing="1" w:after="100" w:afterAutospacing="1" w:line="276" w:lineRule="auto"/>
        <w:jc w:val="center"/>
        <w:outlineLvl w:val="1"/>
        <w:rPr>
          <w:rFonts w:ascii="Simplified Arabic" w:eastAsia="Times New Roman" w:hAnsi="Simplified Arabic" w:cs="Simplified Arabic"/>
          <w:b/>
          <w:bCs/>
          <w:color w:val="000000" w:themeColor="text1"/>
          <w:kern w:val="0"/>
          <w:sz w:val="36"/>
          <w:szCs w:val="36"/>
          <w:lang w:bidi="ar-EG"/>
          <w14:ligatures w14:val="none"/>
        </w:rPr>
      </w:pPr>
      <w:bookmarkStart w:id="24" w:name="_Toc233816283"/>
      <w:r w:rsidRPr="00C330FB">
        <w:rPr>
          <w:rFonts w:ascii="Simplified Arabic" w:eastAsia="Times New Roman" w:hAnsi="Simplified Arabic" w:cs="Simplified Arabic"/>
          <w:b/>
          <w:bCs/>
          <w:color w:val="000000" w:themeColor="text1"/>
          <w:kern w:val="0"/>
          <w:sz w:val="36"/>
          <w:szCs w:val="36"/>
          <w:rtl/>
          <w14:ligatures w14:val="none"/>
        </w:rPr>
        <w:t xml:space="preserve">المبحث الأول: المتغير المستقل — توظيف البيانات </w:t>
      </w:r>
      <w:proofErr w:type="spellStart"/>
      <w:r w:rsidRPr="00C330FB">
        <w:rPr>
          <w:rFonts w:ascii="Simplified Arabic" w:eastAsia="Times New Roman" w:hAnsi="Simplified Arabic" w:cs="Simplified Arabic"/>
          <w:b/>
          <w:bCs/>
          <w:color w:val="000000" w:themeColor="text1"/>
          <w:kern w:val="0"/>
          <w:sz w:val="36"/>
          <w:szCs w:val="36"/>
          <w:rtl/>
          <w14:ligatures w14:val="none"/>
        </w:rPr>
        <w:t>الأرصادية</w:t>
      </w:r>
      <w:bookmarkEnd w:id="24"/>
      <w:proofErr w:type="spellEnd"/>
    </w:p>
    <w:p w14:paraId="0881E9BA" w14:textId="19FB711E"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5" w:name="_Toc233816284"/>
      <w:r w:rsidRPr="00C330FB">
        <w:rPr>
          <w:rFonts w:ascii="Simplified Arabic" w:eastAsia="Times New Roman" w:hAnsi="Simplified Arabic" w:cs="Simplified Arabic" w:hint="cs"/>
          <w:b/>
          <w:bCs/>
          <w:color w:val="000000" w:themeColor="text1"/>
          <w:kern w:val="0"/>
          <w:sz w:val="32"/>
          <w:szCs w:val="32"/>
          <w:rtl/>
          <w14:ligatures w14:val="none"/>
        </w:rPr>
        <w:t xml:space="preserve">1.1.2 </w:t>
      </w:r>
      <w:r w:rsidR="002A726B" w:rsidRPr="00C330FB">
        <w:rPr>
          <w:rFonts w:ascii="Simplified Arabic" w:eastAsia="Times New Roman" w:hAnsi="Simplified Arabic" w:cs="Simplified Arabic"/>
          <w:b/>
          <w:bCs/>
          <w:color w:val="000000" w:themeColor="text1"/>
          <w:kern w:val="0"/>
          <w:sz w:val="32"/>
          <w:szCs w:val="32"/>
          <w:rtl/>
          <w14:ligatures w14:val="none"/>
        </w:rPr>
        <w:t>تمهيد</w:t>
      </w:r>
      <w:bookmarkEnd w:id="25"/>
    </w:p>
    <w:p w14:paraId="7AF03DAA"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تشهد بيئة الأعمال المعاصرة تحولات متسارعة فرضتها الثورة الرقمية والتغيرات المناخية المتلاحقة، مما جعل المعلومات الجوية </w:t>
      </w:r>
      <w:proofErr w:type="spellStart"/>
      <w:r w:rsidRPr="00C330FB">
        <w:rPr>
          <w:rFonts w:ascii="Simplified Arabic" w:eastAsia="Times New Roman" w:hAnsi="Simplified Arabic" w:cs="Simplified Arabic"/>
          <w:color w:val="000000" w:themeColor="text1"/>
          <w:kern w:val="0"/>
          <w:sz w:val="28"/>
          <w:szCs w:val="28"/>
          <w:rtl/>
          <w14:ligatures w14:val="none"/>
        </w:rPr>
        <w:t>والأرصادية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ركيزة جوهرية في صناعة القرار داخل المؤسسات، ولا سيما تلك التي ترتبط أنشطتها ارتباطًا مباشرًا بحالة الطقس والظواهر المناخية كشركات التأمين والنقل البحري والزراعة والطاقة. ولم تعد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مجرد قراءات وصفية لحالة الجو، بل تحولت إلى منظومة معرفية متكاملة تُسهم في صياغة الاستراتيجيات وتقدير المخاطر وتوزيع الموارد بكفاءة. وقد أدركت المؤسسات الحديثة أن القدرة على استثمار هذه البيانات وتحويلها إلى مدخلات قرارية تمثل ميزة تنافسية حقيقية، إذ يُسهم ذلك في استباق الأحداث بدلًا من الاستجابة المتأخرة لها. ومن هذا المنطلق، يسعى المبحث الحالي إلى تأطير مفهوم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تأطيرًا نظريًا متماسكًا، يُبرز جذوره المفاهيمية، ويستعرض أهميته وأهدافه وأبعاده، فضلًا عن استراتيجيات تفعيله، بما يُمهّد لاحقًا لربطه بالمتغير التابع</w:t>
      </w:r>
      <w:r w:rsidRPr="00C330FB">
        <w:rPr>
          <w:rFonts w:ascii="Simplified Arabic" w:eastAsia="Times New Roman" w:hAnsi="Simplified Arabic" w:cs="Simplified Arabic"/>
          <w:color w:val="000000" w:themeColor="text1"/>
          <w:kern w:val="0"/>
          <w:sz w:val="28"/>
          <w:szCs w:val="28"/>
          <w:lang w:bidi="ar-EG"/>
          <w14:ligatures w14:val="none"/>
        </w:rPr>
        <w:t>.</w:t>
      </w:r>
    </w:p>
    <w:p w14:paraId="6D7A8C54" w14:textId="7DD4C232"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6" w:name="_Toc233816285"/>
      <w:r w:rsidRPr="00C330FB">
        <w:rPr>
          <w:rFonts w:ascii="Simplified Arabic" w:eastAsia="Times New Roman" w:hAnsi="Simplified Arabic" w:cs="Simplified Arabic" w:hint="cs"/>
          <w:b/>
          <w:bCs/>
          <w:color w:val="000000" w:themeColor="text1"/>
          <w:kern w:val="0"/>
          <w:sz w:val="32"/>
          <w:szCs w:val="32"/>
          <w:rtl/>
          <w14:ligatures w14:val="none"/>
        </w:rPr>
        <w:t xml:space="preserve">2.1.2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مفهوم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bookmarkEnd w:id="26"/>
      <w:proofErr w:type="spellEnd"/>
    </w:p>
    <w:p w14:paraId="1166702C"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يتناول الباحثون مفهوم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من زوايا متعددة تعكس تشعّب أبعاده وتنوع مجالات تطبيقه. فقد ذهب أبو شقير (٢٠٢٠) إلى أن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يُعبّر عن العملية المنظَّمة التي يتم بمقتضاها استثمار المعلومات الجوية المرصودة </w:t>
      </w:r>
      <w:proofErr w:type="spellStart"/>
      <w:r w:rsidRPr="00C330FB">
        <w:rPr>
          <w:rFonts w:ascii="Simplified Arabic" w:eastAsia="Times New Roman" w:hAnsi="Simplified Arabic" w:cs="Simplified Arabic"/>
          <w:color w:val="000000" w:themeColor="text1"/>
          <w:kern w:val="0"/>
          <w:sz w:val="28"/>
          <w:szCs w:val="28"/>
          <w:rtl/>
          <w14:ligatures w14:val="none"/>
        </w:rPr>
        <w:t>والمتنبأ</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بها في دعم القرارات الإدارية المرتبطة بإدارة الأزمات والكوارث، بحيث يتحول الرصد الجوي من نشاط علمي مجرد إلى أداة تشغيلية تخدم المؤسسات في تقدير احتمالات وقوع الأحداث الطارئة. ويُكمّل يوسف (٢٠٢٣) هذا التصور حين يصف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بأنه التوظيف الإداري الواعي للمؤشرات البيئية والجوية في صياغة خطط الاستجابة، بحيث تنتقل المنظمة من مرحلة رد الفعل إلى مرحلة الاستباق المعرفي القائم على قراءة الإشارات البيئية المبكرة</w:t>
      </w:r>
      <w:r w:rsidRPr="00C330FB">
        <w:rPr>
          <w:rFonts w:ascii="Simplified Arabic" w:eastAsia="Times New Roman" w:hAnsi="Simplified Arabic" w:cs="Simplified Arabic"/>
          <w:color w:val="000000" w:themeColor="text1"/>
          <w:kern w:val="0"/>
          <w:sz w:val="28"/>
          <w:szCs w:val="28"/>
          <w:lang w:bidi="ar-EG"/>
          <w14:ligatures w14:val="none"/>
        </w:rPr>
        <w:t>.</w:t>
      </w:r>
    </w:p>
    <w:p w14:paraId="21EA12FD"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وفي سياق مغاير، يقترب</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Adland</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 xml:space="preserve">من تعريف المفهوم من زاوية اقتصادية تقنية، إذ يرون أن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يتمثل في تحويل المعطيات الجوية إلى قيمة قرارية قابلة للقياس، عبر دمجها في نماذج تقدير المخاطر التشغيلية، بحيث تتحدد جدواها بمقدار ما تُضيفه من دقة في التنبؤ وما تُسهم به في خفض الخسائر المحتملة.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Potter et al. (2021) </w:t>
      </w:r>
      <w:r w:rsidRPr="00C330FB">
        <w:rPr>
          <w:rFonts w:ascii="Simplified Arabic" w:eastAsia="Times New Roman" w:hAnsi="Simplified Arabic" w:cs="Simplified Arabic"/>
          <w:color w:val="000000" w:themeColor="text1"/>
          <w:kern w:val="0"/>
          <w:sz w:val="28"/>
          <w:szCs w:val="28"/>
          <w:rtl/>
          <w14:ligatures w14:val="none"/>
        </w:rPr>
        <w:t xml:space="preserve">بُعدًا تواصليًا للمفهوم، حين يصفون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بأنه عملية ترجمة المعطيات العلمية إلى تحذيرات قائمة على الأثر، تستوعب الفئات المستهدفة وتراعي السياق المؤسسي والمجتمعي، بما يجعل البيانات قابلة للاستخدام لا مجرد متاحة</w:t>
      </w:r>
      <w:r w:rsidRPr="00C330FB">
        <w:rPr>
          <w:rFonts w:ascii="Simplified Arabic" w:eastAsia="Times New Roman" w:hAnsi="Simplified Arabic" w:cs="Simplified Arabic"/>
          <w:color w:val="000000" w:themeColor="text1"/>
          <w:kern w:val="0"/>
          <w:sz w:val="28"/>
          <w:szCs w:val="28"/>
          <w:lang w:bidi="ar-EG"/>
          <w14:ligatures w14:val="none"/>
        </w:rPr>
        <w:t>.</w:t>
      </w:r>
    </w:p>
    <w:p w14:paraId="2BE746EF"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ويُقدّم</w:t>
      </w:r>
      <w:r w:rsidRPr="00C330FB">
        <w:rPr>
          <w:rFonts w:ascii="Simplified Arabic" w:eastAsia="Times New Roman" w:hAnsi="Simplified Arabic" w:cs="Simplified Arabic"/>
          <w:color w:val="000000" w:themeColor="text1"/>
          <w:kern w:val="0"/>
          <w:sz w:val="28"/>
          <w:szCs w:val="28"/>
          <w:lang w:bidi="ar-EG"/>
          <w14:ligatures w14:val="none"/>
        </w:rPr>
        <w:t xml:space="preserve"> Parisse et al. (2024) </w:t>
      </w:r>
      <w:r w:rsidRPr="00C330FB">
        <w:rPr>
          <w:rFonts w:ascii="Simplified Arabic" w:eastAsia="Times New Roman" w:hAnsi="Simplified Arabic" w:cs="Simplified Arabic"/>
          <w:color w:val="000000" w:themeColor="text1"/>
          <w:kern w:val="0"/>
          <w:sz w:val="28"/>
          <w:szCs w:val="28"/>
          <w:rtl/>
          <w14:ligatures w14:val="none"/>
        </w:rPr>
        <w:t xml:space="preserve">قراءة أكثر تخصصًا، إذ يربطون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بتحليل المخاطر القطاعية المرتبطة بالظواهر الجوية، عبر بناء مصفوفات تكاملية تُتيح للمؤسسات استشراف الأخطار المناخية المحتملة وتقدير شدتها وتكرارها. ومن جانبه، يُسلّط</w:t>
      </w:r>
      <w:r w:rsidRPr="00C330FB">
        <w:rPr>
          <w:rFonts w:ascii="Simplified Arabic" w:eastAsia="Times New Roman" w:hAnsi="Simplified Arabic" w:cs="Simplified Arabic"/>
          <w:color w:val="000000" w:themeColor="text1"/>
          <w:kern w:val="0"/>
          <w:sz w:val="28"/>
          <w:szCs w:val="28"/>
          <w:lang w:bidi="ar-EG"/>
          <w14:ligatures w14:val="none"/>
        </w:rPr>
        <w:t xml:space="preserve"> Kumar et al. (2021) </w:t>
      </w:r>
      <w:r w:rsidRPr="00C330FB">
        <w:rPr>
          <w:rFonts w:ascii="Simplified Arabic" w:eastAsia="Times New Roman" w:hAnsi="Simplified Arabic" w:cs="Simplified Arabic"/>
          <w:color w:val="000000" w:themeColor="text1"/>
          <w:kern w:val="0"/>
          <w:sz w:val="28"/>
          <w:szCs w:val="28"/>
          <w:rtl/>
          <w14:ligatures w14:val="none"/>
        </w:rPr>
        <w:t xml:space="preserve">الضوء على البُعد الاستراتيجي للمفهوم، حين يعدّ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إطارًا متكاملًا لتقييم المخاطر وتعزيز مرونة البنى التحتية في مواجهة التغيرات المناخية، بما يجعله ركيزة في تصميم السياسات طويلة الأمد</w:t>
      </w:r>
      <w:r w:rsidRPr="00C330FB">
        <w:rPr>
          <w:rFonts w:ascii="Simplified Arabic" w:eastAsia="Times New Roman" w:hAnsi="Simplified Arabic" w:cs="Simplified Arabic"/>
          <w:color w:val="000000" w:themeColor="text1"/>
          <w:kern w:val="0"/>
          <w:sz w:val="28"/>
          <w:szCs w:val="28"/>
          <w:lang w:bidi="ar-EG"/>
          <w14:ligatures w14:val="none"/>
        </w:rPr>
        <w:t>.</w:t>
      </w:r>
    </w:p>
    <w:p w14:paraId="6298FC30"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وفي امتداد لهذه القراءات، يتناول</w:t>
      </w:r>
      <w:r w:rsidRPr="00C330FB">
        <w:rPr>
          <w:rFonts w:ascii="Simplified Arabic" w:eastAsia="Times New Roman" w:hAnsi="Simplified Arabic" w:cs="Simplified Arabic"/>
          <w:color w:val="000000" w:themeColor="text1"/>
          <w:kern w:val="0"/>
          <w:sz w:val="28"/>
          <w:szCs w:val="28"/>
          <w:lang w:bidi="ar-EG"/>
          <w14:ligatures w14:val="none"/>
        </w:rPr>
        <w:t xml:space="preserve"> Ying &amp; Guofu (2022) </w:t>
      </w:r>
      <w:r w:rsidRPr="00C330FB">
        <w:rPr>
          <w:rFonts w:ascii="Simplified Arabic" w:eastAsia="Times New Roman" w:hAnsi="Simplified Arabic" w:cs="Simplified Arabic"/>
          <w:color w:val="000000" w:themeColor="text1"/>
          <w:kern w:val="0"/>
          <w:sz w:val="28"/>
          <w:szCs w:val="28"/>
          <w:rtl/>
          <w14:ligatures w14:val="none"/>
        </w:rPr>
        <w:t xml:space="preserve">المفهوم بوصفه منظومة تصميمية تُترجَم فيها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إلى أنظمة لإدارة مخاطر الكوارث الجوية، تجمع بين الرصد والتحليل والإنذار في تدفق معلوماتي واحد. ويُقاربه</w:t>
      </w:r>
      <w:r w:rsidRPr="00C330FB">
        <w:rPr>
          <w:rFonts w:ascii="Simplified Arabic" w:eastAsia="Times New Roman" w:hAnsi="Simplified Arabic" w:cs="Simplified Arabic"/>
          <w:color w:val="000000" w:themeColor="text1"/>
          <w:kern w:val="0"/>
          <w:sz w:val="28"/>
          <w:szCs w:val="28"/>
          <w:lang w:bidi="ar-EG"/>
          <w14:ligatures w14:val="none"/>
        </w:rPr>
        <w:t xml:space="preserve"> Deng et al. (2025) </w:t>
      </w:r>
      <w:r w:rsidRPr="00C330FB">
        <w:rPr>
          <w:rFonts w:ascii="Simplified Arabic" w:eastAsia="Times New Roman" w:hAnsi="Simplified Arabic" w:cs="Simplified Arabic"/>
          <w:color w:val="000000" w:themeColor="text1"/>
          <w:kern w:val="0"/>
          <w:sz w:val="28"/>
          <w:szCs w:val="28"/>
          <w:rtl/>
          <w14:ligatures w14:val="none"/>
        </w:rPr>
        <w:t xml:space="preserve">من زاوية الذكاء الاصطناعي، إذ يصفون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بأنه استثمار خوارزميات التعلم العميق في توقّع العوامل المناخية وتقدير المخاطر الديناميكية المرتبطة بها، بما يتجاوز التحليل التقليدي إلى نمذجة احتمالية متجددة</w:t>
      </w:r>
      <w:r w:rsidRPr="00C330FB">
        <w:rPr>
          <w:rFonts w:ascii="Simplified Arabic" w:eastAsia="Times New Roman" w:hAnsi="Simplified Arabic" w:cs="Simplified Arabic"/>
          <w:color w:val="000000" w:themeColor="text1"/>
          <w:kern w:val="0"/>
          <w:sz w:val="28"/>
          <w:szCs w:val="28"/>
          <w:lang w:bidi="ar-EG"/>
          <w14:ligatures w14:val="none"/>
        </w:rPr>
        <w:t>.</w:t>
      </w:r>
    </w:p>
    <w:p w14:paraId="220FB493"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ويُلاحظ الباحث من خلال استعراض ما سبق أن تعريفات الباحثين، رغم تنوع </w:t>
      </w:r>
      <w:proofErr w:type="spellStart"/>
      <w:r w:rsidRPr="00C330FB">
        <w:rPr>
          <w:rFonts w:ascii="Simplified Arabic" w:eastAsia="Times New Roman" w:hAnsi="Simplified Arabic" w:cs="Simplified Arabic"/>
          <w:color w:val="000000" w:themeColor="text1"/>
          <w:kern w:val="0"/>
          <w:sz w:val="28"/>
          <w:szCs w:val="28"/>
          <w:rtl/>
          <w14:ligatures w14:val="none"/>
        </w:rPr>
        <w:t>منطلقاتها</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تلتقي عند جوهر مشترك يتمحور حول تحويل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من معطى علمي خام إلى مدخل قراري فاعل، وأن الفروق بين التعريفات تعكس اختلاف زوايا المعالجة لا اختلافًا في الجوهر. ومن ثمّ، يرى الباحث أن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يمكن تعريفه إجرائيًا بأنه: “المنظومة الإدارية والتقنية المتكاملة التي تُتيح لشركات التأمين استثمار المعطيات الجوية المرصودة </w:t>
      </w:r>
      <w:proofErr w:type="spellStart"/>
      <w:r w:rsidRPr="00C330FB">
        <w:rPr>
          <w:rFonts w:ascii="Simplified Arabic" w:eastAsia="Times New Roman" w:hAnsi="Simplified Arabic" w:cs="Simplified Arabic"/>
          <w:color w:val="000000" w:themeColor="text1"/>
          <w:kern w:val="0"/>
          <w:sz w:val="28"/>
          <w:szCs w:val="28"/>
          <w:rtl/>
          <w14:ligatures w14:val="none"/>
        </w:rPr>
        <w:t>والمتنبأ</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بها، بدقة وموثوقية، عبر دمجها في أنظمة الإنذار المبكر والتحليلات التنبؤية، مدعومةً ببنية تحتية تقنية كفؤة، بهدف استباق المخاطر التشغيلية المرتبطة بالظواهر المناخية والحد من آثارها على الأداء المؤسسي”. ويتميز هذا التعريف بأنه يدمج الأبعاد الأربعة للمتغير في صياغة واحدة، ويربطها بالسياق التطبيقي للدراسة الحالية المتمثل في قطاع التأمين</w:t>
      </w:r>
      <w:r w:rsidRPr="00C330FB">
        <w:rPr>
          <w:rFonts w:ascii="Simplified Arabic" w:eastAsia="Times New Roman" w:hAnsi="Simplified Arabic" w:cs="Simplified Arabic"/>
          <w:color w:val="000000" w:themeColor="text1"/>
          <w:kern w:val="0"/>
          <w:sz w:val="28"/>
          <w:szCs w:val="28"/>
          <w:lang w:bidi="ar-EG"/>
          <w14:ligatures w14:val="none"/>
        </w:rPr>
        <w:t>.</w:t>
      </w:r>
    </w:p>
    <w:p w14:paraId="4F8F3DE6" w14:textId="439282EE"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7" w:name="_Toc233816286"/>
      <w:r w:rsidRPr="00C330FB">
        <w:rPr>
          <w:rFonts w:ascii="Simplified Arabic" w:eastAsia="Times New Roman" w:hAnsi="Simplified Arabic" w:cs="Simplified Arabic" w:hint="cs"/>
          <w:b/>
          <w:bCs/>
          <w:color w:val="000000" w:themeColor="text1"/>
          <w:kern w:val="0"/>
          <w:sz w:val="32"/>
          <w:szCs w:val="32"/>
          <w:rtl/>
          <w14:ligatures w14:val="none"/>
        </w:rPr>
        <w:lastRenderedPageBreak/>
        <w:t xml:space="preserve">3.1.2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أهمية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bookmarkEnd w:id="27"/>
      <w:proofErr w:type="spellEnd"/>
    </w:p>
    <w:p w14:paraId="454679DF"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تكتسب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أهميةً متصاعدة في بيئة الأعمال المعاصرة، إذ باتت تمثل أحد المدخلات الحاسمة التي يتوقف عليها استقرار العمليات وكفاءة القرارات في كثير من القطاعات الاقتصادية، وعلى رأسها القطاع التأميني الذي يرتبط نشاطه ارتباطًا وثيقًا بتقدير الاحتمالات وحساب المخاطر. وقد تنامى الاهتمام بهذه البيانات في ضوء تصاعد الظواهر المناخية المتطرفة وتزايد كلفتها الاقتصادية، مما جعل توظيفها يتجاوز كونه خيارًا تقنيًا إلى كونه ضرورة استراتيجية</w:t>
      </w:r>
      <w:r w:rsidRPr="00C330FB">
        <w:rPr>
          <w:rFonts w:ascii="Simplified Arabic" w:eastAsia="Times New Roman" w:hAnsi="Simplified Arabic" w:cs="Simplified Arabic"/>
          <w:color w:val="000000" w:themeColor="text1"/>
          <w:kern w:val="0"/>
          <w:sz w:val="28"/>
          <w:szCs w:val="28"/>
          <w:lang w:bidi="ar-EG"/>
          <w14:ligatures w14:val="none"/>
        </w:rPr>
        <w:t>.</w:t>
      </w:r>
    </w:p>
    <w:p w14:paraId="3BBE2745"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ويُشير</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 </w:t>
      </w:r>
      <w:r w:rsidRPr="00C330FB">
        <w:rPr>
          <w:rFonts w:ascii="Simplified Arabic" w:eastAsia="Times New Roman" w:hAnsi="Simplified Arabic" w:cs="Simplified Arabic"/>
          <w:color w:val="000000" w:themeColor="text1"/>
          <w:kern w:val="0"/>
          <w:sz w:val="28"/>
          <w:szCs w:val="28"/>
          <w:rtl/>
          <w14:ligatures w14:val="none"/>
        </w:rPr>
        <w:t xml:space="preserve">إلى أن أهمية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تتجلى في عدة محاور، أولها أنها تُعزّز قدرة المؤسسات على بناء نماذج تنبؤية أكثر دقة لتقدير المخاطر التشغيلية، وثانيها أنها تُسهم في رفع كفاءة تخصيص الموارد عبر توجيهها إلى المواقع والأنشطة الأكثر عرضة للأخطار، وثالثها أنها تُتيح للإدارة تطوير منظومة إنذار داخلية تستبق الأزمات بدلًا من الاستجابة لها، ورابعها أنها تُحسّن جودة التقارير الموجَّهة إلى أصحاب المصلحة عبر تزويدها بمؤشرات بيئية موثوقة</w:t>
      </w:r>
      <w:r w:rsidRPr="00C330FB">
        <w:rPr>
          <w:rFonts w:ascii="Simplified Arabic" w:eastAsia="Times New Roman" w:hAnsi="Simplified Arabic" w:cs="Simplified Arabic"/>
          <w:color w:val="000000" w:themeColor="text1"/>
          <w:kern w:val="0"/>
          <w:sz w:val="28"/>
          <w:szCs w:val="28"/>
          <w:lang w:bidi="ar-EG"/>
          <w14:ligatures w14:val="none"/>
        </w:rPr>
        <w:t>.</w:t>
      </w:r>
    </w:p>
    <w:p w14:paraId="08F551F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ويُضيف</w:t>
      </w:r>
      <w:r w:rsidRPr="00C330FB">
        <w:rPr>
          <w:rFonts w:ascii="Simplified Arabic" w:eastAsia="Times New Roman" w:hAnsi="Simplified Arabic" w:cs="Simplified Arabic"/>
          <w:color w:val="000000" w:themeColor="text1"/>
          <w:kern w:val="0"/>
          <w:sz w:val="28"/>
          <w:szCs w:val="28"/>
          <w:lang w:bidi="ar-EG"/>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 xml:space="preserve">بُعدًا آخر للأهمية، إذ يرى أن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يُسهم في تحديث منظومة إدارة المخاطر التشغيلية في المؤسسات المالية، من خلال إدخال متغيرات سببية جديدة في نماذج التحليل، مما يُعمّق فهم العلاقة بين العوامل البيئية والمخاطر الناشئة، ويُتيح للإدارة بناء سيناريوهات أكثر واقعية. ويرى</w:t>
      </w:r>
      <w:r w:rsidRPr="00C330FB">
        <w:rPr>
          <w:rFonts w:ascii="Simplified Arabic" w:eastAsia="Times New Roman" w:hAnsi="Simplified Arabic" w:cs="Simplified Arabic"/>
          <w:color w:val="000000" w:themeColor="text1"/>
          <w:kern w:val="0"/>
          <w:sz w:val="28"/>
          <w:szCs w:val="28"/>
          <w:lang w:bidi="ar-EG"/>
          <w14:ligatures w14:val="none"/>
        </w:rPr>
        <w:t xml:space="preserve"> Yin et al. (2024) </w:t>
      </w:r>
      <w:r w:rsidRPr="00C330FB">
        <w:rPr>
          <w:rFonts w:ascii="Simplified Arabic" w:eastAsia="Times New Roman" w:hAnsi="Simplified Arabic" w:cs="Simplified Arabic"/>
          <w:color w:val="000000" w:themeColor="text1"/>
          <w:kern w:val="0"/>
          <w:sz w:val="28"/>
          <w:szCs w:val="28"/>
          <w:rtl/>
          <w14:ligatures w14:val="none"/>
        </w:rPr>
        <w:t xml:space="preserve">أن الأهمية تتمحور حول قدرة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على معالجة قصور المعلومات داخل المنظمة، إذ تُوفّر تدفقًا معلوماتيًا بيئيًا يُكمّل التدفقات الداخلية، ويُعزّز قدرة المنظمة على التعامل مع حالات عدم اليقين، وهو ما يجعلها أداة محورية في خفض المخاطر التشغيلية في البيئات الرقمية</w:t>
      </w:r>
      <w:r w:rsidRPr="00C330FB">
        <w:rPr>
          <w:rFonts w:ascii="Simplified Arabic" w:eastAsia="Times New Roman" w:hAnsi="Simplified Arabic" w:cs="Simplified Arabic"/>
          <w:color w:val="000000" w:themeColor="text1"/>
          <w:kern w:val="0"/>
          <w:sz w:val="28"/>
          <w:szCs w:val="28"/>
          <w:lang w:bidi="ar-EG"/>
          <w14:ligatures w14:val="none"/>
        </w:rPr>
        <w:t>.</w:t>
      </w:r>
    </w:p>
    <w:p w14:paraId="46555627"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ومن منظور قطاع السياحة والمؤسسات الصغيرة والمتوسطة، يُبيّن</w:t>
      </w:r>
      <w:r w:rsidRPr="00C330FB">
        <w:rPr>
          <w:rFonts w:ascii="Simplified Arabic" w:eastAsia="Times New Roman" w:hAnsi="Simplified Arabic" w:cs="Simplified Arabic"/>
          <w:color w:val="000000" w:themeColor="text1"/>
          <w:kern w:val="0"/>
          <w:sz w:val="28"/>
          <w:szCs w:val="28"/>
          <w:lang w:bidi="ar-EG"/>
          <w14:ligatures w14:val="none"/>
        </w:rPr>
        <w:t xml:space="preserve"> Mahembe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Mutezo</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(2025) </w:t>
      </w:r>
      <w:r w:rsidRPr="00C330FB">
        <w:rPr>
          <w:rFonts w:ascii="Simplified Arabic" w:eastAsia="Times New Roman" w:hAnsi="Simplified Arabic" w:cs="Simplified Arabic"/>
          <w:color w:val="000000" w:themeColor="text1"/>
          <w:kern w:val="0"/>
          <w:sz w:val="28"/>
          <w:szCs w:val="28"/>
          <w:rtl/>
          <w14:ligatures w14:val="none"/>
        </w:rPr>
        <w:t xml:space="preserve">أن أهمية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تكمن في تمكين هذه المؤسسات من إدارة المخاطر التشغيلية في أوقات الكوارث، عبر تزويدها بمؤشرات مبكرة تُتيح لها تعديل خططها التشغيلية في الوقت المناسب، وهو ما ينسحب بصورة مماثلة على شركات التأمين التي تتعامل مع تبعات هذه الكوارث. ويُؤكد</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Ko</w:t>
      </w:r>
      <w:r w:rsidRPr="00C330FB">
        <w:rPr>
          <w:rFonts w:ascii="Cambria" w:eastAsia="Times New Roman" w:hAnsi="Cambria" w:cs="Cambria"/>
          <w:color w:val="000000" w:themeColor="text1"/>
          <w:kern w:val="0"/>
          <w:sz w:val="28"/>
          <w:szCs w:val="28"/>
          <w:lang w:bidi="ar-EG"/>
          <w14:ligatures w14:val="none"/>
        </w:rPr>
        <w:t>č</w:t>
      </w:r>
      <w:r w:rsidRPr="00C330FB">
        <w:rPr>
          <w:rFonts w:ascii="Simplified Arabic" w:eastAsia="Times New Roman" w:hAnsi="Simplified Arabic" w:cs="Simplified Arabic"/>
          <w:color w:val="000000" w:themeColor="text1"/>
          <w:kern w:val="0"/>
          <w:sz w:val="28"/>
          <w:szCs w:val="28"/>
          <w:lang w:bidi="ar-EG"/>
          <w14:ligatures w14:val="none"/>
        </w:rPr>
        <w:t>išov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Mišankov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(2023) </w:t>
      </w:r>
      <w:r w:rsidRPr="00C330FB">
        <w:rPr>
          <w:rFonts w:ascii="Simplified Arabic" w:eastAsia="Times New Roman" w:hAnsi="Simplified Arabic" w:cs="Simplified Arabic"/>
          <w:color w:val="000000" w:themeColor="text1"/>
          <w:kern w:val="0"/>
          <w:sz w:val="28"/>
          <w:szCs w:val="28"/>
          <w:rtl/>
          <w14:ligatures w14:val="none"/>
        </w:rPr>
        <w:t xml:space="preserve">أن أهمية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تتجلى في علاقتها بالأداء المالي، إذ يُسهم توظيفها </w:t>
      </w:r>
      <w:r w:rsidRPr="00C330FB">
        <w:rPr>
          <w:rFonts w:ascii="Simplified Arabic" w:eastAsia="Times New Roman" w:hAnsi="Simplified Arabic" w:cs="Simplified Arabic"/>
          <w:color w:val="000000" w:themeColor="text1"/>
          <w:kern w:val="0"/>
          <w:sz w:val="28"/>
          <w:szCs w:val="28"/>
          <w:rtl/>
          <w14:ligatures w14:val="none"/>
        </w:rPr>
        <w:lastRenderedPageBreak/>
        <w:t>في خفض الخسائر التشغيلية الناتجة عن الأحداث المناخية، ومن ثمّ تحسين المؤشرات المالية للمنظمة على المدى المتوسط والبعيد</w:t>
      </w:r>
      <w:r w:rsidRPr="00C330FB">
        <w:rPr>
          <w:rFonts w:ascii="Simplified Arabic" w:eastAsia="Times New Roman" w:hAnsi="Simplified Arabic" w:cs="Simplified Arabic"/>
          <w:color w:val="000000" w:themeColor="text1"/>
          <w:kern w:val="0"/>
          <w:sz w:val="28"/>
          <w:szCs w:val="28"/>
          <w:lang w:bidi="ar-EG"/>
          <w14:ligatures w14:val="none"/>
        </w:rPr>
        <w:t>.</w:t>
      </w:r>
    </w:p>
    <w:p w14:paraId="52D6FA9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ويُبرز</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Adland</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 xml:space="preserve">أن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تكتسب أهميتها من قيمتها الاقتصادية في تقييم المخاطر، إذ تتحدد جدواها بمقدار ما تُضيفه من قدرة تنبؤية في تقدير الأخطار البحرية، وما تُتيحه من خفض في كلفة عدم اليقين.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Potter et al. (2021) </w:t>
      </w:r>
      <w:r w:rsidRPr="00C330FB">
        <w:rPr>
          <w:rFonts w:ascii="Simplified Arabic" w:eastAsia="Times New Roman" w:hAnsi="Simplified Arabic" w:cs="Simplified Arabic"/>
          <w:color w:val="000000" w:themeColor="text1"/>
          <w:kern w:val="0"/>
          <w:sz w:val="28"/>
          <w:szCs w:val="28"/>
          <w:rtl/>
          <w14:ligatures w14:val="none"/>
        </w:rPr>
        <w:t xml:space="preserve">هذا الطرح حين يرى أن أهمية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تتعمق حين يتم تحويلها إلى تحذيرات قائمة على الأثر، إذ تُصبح حينئذٍ ذات قيمة عملية للفئات المستهدفة، وتُسهم في توجيه السلوك المؤسسي والمجتمعي نحو الاستعداد للظواهر القصوى</w:t>
      </w:r>
      <w:r w:rsidRPr="00C330FB">
        <w:rPr>
          <w:rFonts w:ascii="Simplified Arabic" w:eastAsia="Times New Roman" w:hAnsi="Simplified Arabic" w:cs="Simplified Arabic"/>
          <w:color w:val="000000" w:themeColor="text1"/>
          <w:kern w:val="0"/>
          <w:sz w:val="28"/>
          <w:szCs w:val="28"/>
          <w:lang w:bidi="ar-EG"/>
          <w14:ligatures w14:val="none"/>
        </w:rPr>
        <w:t>.</w:t>
      </w:r>
    </w:p>
    <w:p w14:paraId="1C579C2A"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ومن زاوية تطبيقية أكثر تخصصًا، يُشير</w:t>
      </w:r>
      <w:r w:rsidRPr="00C330FB">
        <w:rPr>
          <w:rFonts w:ascii="Simplified Arabic" w:eastAsia="Times New Roman" w:hAnsi="Simplified Arabic" w:cs="Simplified Arabic"/>
          <w:color w:val="000000" w:themeColor="text1"/>
          <w:kern w:val="0"/>
          <w:sz w:val="28"/>
          <w:szCs w:val="28"/>
          <w:lang w:bidi="ar-EG"/>
          <w14:ligatures w14:val="none"/>
        </w:rPr>
        <w:t xml:space="preserve"> Parisse et al. (2024) </w:t>
      </w:r>
      <w:r w:rsidRPr="00C330FB">
        <w:rPr>
          <w:rFonts w:ascii="Simplified Arabic" w:eastAsia="Times New Roman" w:hAnsi="Simplified Arabic" w:cs="Simplified Arabic"/>
          <w:color w:val="000000" w:themeColor="text1"/>
          <w:kern w:val="0"/>
          <w:sz w:val="28"/>
          <w:szCs w:val="28"/>
          <w:rtl/>
          <w14:ligatures w14:val="none"/>
        </w:rPr>
        <w:t xml:space="preserve">إلى أن أهمية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تتجلى في تمكين المؤسسات من بناء خرائط مخاطر زراعية ومناخية تفصيلية، تُسهم في تقدير التعرض الفعلي لكل منطقة وكل نشاط، وهو ما يُعدّ مدخلًا أساسيًا لشركات التأمين في تسعير المنتجات وتقدير الاحتياطيات الفنية. ويُسلّط</w:t>
      </w:r>
      <w:r w:rsidRPr="00C330FB">
        <w:rPr>
          <w:rFonts w:ascii="Simplified Arabic" w:eastAsia="Times New Roman" w:hAnsi="Simplified Arabic" w:cs="Simplified Arabic"/>
          <w:color w:val="000000" w:themeColor="text1"/>
          <w:kern w:val="0"/>
          <w:sz w:val="28"/>
          <w:szCs w:val="28"/>
          <w:lang w:bidi="ar-EG"/>
          <w14:ligatures w14:val="none"/>
        </w:rPr>
        <w:t xml:space="preserve"> Zhang et al. (2022) </w:t>
      </w:r>
      <w:r w:rsidRPr="00C330FB">
        <w:rPr>
          <w:rFonts w:ascii="Simplified Arabic" w:eastAsia="Times New Roman" w:hAnsi="Simplified Arabic" w:cs="Simplified Arabic"/>
          <w:color w:val="000000" w:themeColor="text1"/>
          <w:kern w:val="0"/>
          <w:sz w:val="28"/>
          <w:szCs w:val="28"/>
          <w:rtl/>
          <w14:ligatures w14:val="none"/>
        </w:rPr>
        <w:t xml:space="preserve">الضوء على أهمية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في تقييم مخاطر الأنشطة الكبرى عبر مصفوفات المخاطر، بما يُتيح للمؤسسات تصنيف الأحداث وفق احتمالاتها وشدتها، وتخصيص استجابات مناسبة لكل فئة</w:t>
      </w:r>
      <w:r w:rsidRPr="00C330FB">
        <w:rPr>
          <w:rFonts w:ascii="Simplified Arabic" w:eastAsia="Times New Roman" w:hAnsi="Simplified Arabic" w:cs="Simplified Arabic"/>
          <w:color w:val="000000" w:themeColor="text1"/>
          <w:kern w:val="0"/>
          <w:sz w:val="28"/>
          <w:szCs w:val="28"/>
          <w:lang w:bidi="ar-EG"/>
          <w14:ligatures w14:val="none"/>
        </w:rPr>
        <w:t>.</w:t>
      </w:r>
    </w:p>
    <w:p w14:paraId="680ECB07"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ويرى الباحث أن هذه القراءات تكشف عن أن أهمية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تتوزع على ثلاثة مستويات متكاملة: مستوى تشغيلي يتعلق بدقة القرارات اليومية، ومستوى تكتيكي يتصل بإدارة الأزمات وتخصيص الموارد، ومستوى استراتيجي يرتبط ببناء قدرات تنبؤية طويلة الأمد. وتزداد هذه الأهمية في قطاع التأمين تحديدًا، إذ إن طبيعة النشاط التأميني قائمة في جوهرها على إدارة عدم اليقين، ومن ثمّ فإن أي تحسين في جودة المعلومات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ينعكس مباشرة على دقة التسعير وكفاية الاحتياطيات وعدالة التعويضات</w:t>
      </w:r>
      <w:r w:rsidRPr="00C330FB">
        <w:rPr>
          <w:rFonts w:ascii="Simplified Arabic" w:eastAsia="Times New Roman" w:hAnsi="Simplified Arabic" w:cs="Simplified Arabic"/>
          <w:color w:val="000000" w:themeColor="text1"/>
          <w:kern w:val="0"/>
          <w:sz w:val="28"/>
          <w:szCs w:val="28"/>
          <w:lang w:bidi="ar-EG"/>
          <w14:ligatures w14:val="none"/>
        </w:rPr>
        <w:t>.</w:t>
      </w:r>
    </w:p>
    <w:p w14:paraId="1A8FA83B" w14:textId="3122B8BD"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8" w:name="_Toc233816287"/>
      <w:r w:rsidRPr="00C330FB">
        <w:rPr>
          <w:rFonts w:ascii="Simplified Arabic" w:eastAsia="Times New Roman" w:hAnsi="Simplified Arabic" w:cs="Simplified Arabic" w:hint="cs"/>
          <w:b/>
          <w:bCs/>
          <w:color w:val="000000" w:themeColor="text1"/>
          <w:kern w:val="0"/>
          <w:sz w:val="32"/>
          <w:szCs w:val="32"/>
          <w:rtl/>
          <w14:ligatures w14:val="none"/>
        </w:rPr>
        <w:t xml:space="preserve">4.1.2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أهداف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bookmarkEnd w:id="28"/>
      <w:proofErr w:type="spellEnd"/>
    </w:p>
    <w:p w14:paraId="1435AD5D"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تتعدد الأهداف التي تسعى المؤسسات إلى تحقيقها من خلال توظيفها للبيانات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وتتباين باختلاف طبيعة النشاط والسياق التشغيلي، غير أنها تلتقي عند غاية كبرى تتمثل في تحويل المعلومات الجوية إلى أداة استباقية لإدارة المخاطر ودعم القرار</w:t>
      </w:r>
      <w:r w:rsidRPr="00C330FB">
        <w:rPr>
          <w:rFonts w:ascii="Simplified Arabic" w:eastAsia="Times New Roman" w:hAnsi="Simplified Arabic" w:cs="Simplified Arabic"/>
          <w:color w:val="000000" w:themeColor="text1"/>
          <w:kern w:val="0"/>
          <w:sz w:val="28"/>
          <w:szCs w:val="28"/>
          <w:lang w:bidi="ar-EG"/>
          <w14:ligatures w14:val="none"/>
        </w:rPr>
        <w:t>.</w:t>
      </w:r>
    </w:p>
    <w:p w14:paraId="6A4878A9"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 xml:space="preserve">ويرى أبو شقير (٢٠٢٠) أن أهداف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يمكن إجمالها في عدة نقاط مترابطة، تشمل: تمكين المؤسسات من استشراف الأزمات والكوارث قبل وقوعها، وتزويد متخذي القرار بمعلومات موثوقة تُعزّز قدرتهم على التخطيط للطوارئ، وتوفير قاعدة معرفية تُسهم في تطوير خطط الاستجابة والإخلاء، فضلًا عن دعم التنسيق بين الجهات المعنية بإدارة الأزمات عبر توحيد مصدر المعلومات الجوية</w:t>
      </w:r>
      <w:r w:rsidRPr="00C330FB">
        <w:rPr>
          <w:rFonts w:ascii="Simplified Arabic" w:eastAsia="Times New Roman" w:hAnsi="Simplified Arabic" w:cs="Simplified Arabic"/>
          <w:color w:val="000000" w:themeColor="text1"/>
          <w:kern w:val="0"/>
          <w:sz w:val="28"/>
          <w:szCs w:val="28"/>
          <w:lang w:bidi="ar-EG"/>
          <w14:ligatures w14:val="none"/>
        </w:rPr>
        <w:t>.</w:t>
      </w:r>
    </w:p>
    <w:p w14:paraId="7949EE37"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ويُكمّل يوسف (٢٠٢٣) هذا الطرح بإضافة أهداف أخرى، أبرزها: تحسين جاهزية المنظمات لمواجهة الأزمات البيئية، وتعزيز قدرتها على التكيّف مع التغيرات المناخية، وبناء ثقافة مؤسسية قائمة على الاستباق لا على الاستجابة، إلى جانب تطوير منظومة تدريب الكوادر البشرية على التعامل مع البيانات الجوية وتحويلها إلى قرارات تنفيذية</w:t>
      </w:r>
      <w:r w:rsidRPr="00C330FB">
        <w:rPr>
          <w:rFonts w:ascii="Simplified Arabic" w:eastAsia="Times New Roman" w:hAnsi="Simplified Arabic" w:cs="Simplified Arabic"/>
          <w:color w:val="000000" w:themeColor="text1"/>
          <w:kern w:val="0"/>
          <w:sz w:val="28"/>
          <w:szCs w:val="28"/>
          <w:lang w:bidi="ar-EG"/>
          <w14:ligatures w14:val="none"/>
        </w:rPr>
        <w:t>.</w:t>
      </w:r>
    </w:p>
    <w:p w14:paraId="2444B9BB"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ويُحدّد</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 </w:t>
      </w:r>
      <w:r w:rsidRPr="00C330FB">
        <w:rPr>
          <w:rFonts w:ascii="Simplified Arabic" w:eastAsia="Times New Roman" w:hAnsi="Simplified Arabic" w:cs="Simplified Arabic"/>
          <w:color w:val="000000" w:themeColor="text1"/>
          <w:kern w:val="0"/>
          <w:sz w:val="28"/>
          <w:szCs w:val="28"/>
          <w:rtl/>
          <w14:ligatures w14:val="none"/>
        </w:rPr>
        <w:t>جملةً من الأهداف ذات الطابع التحليلي، من بينها: بناء نماذج كمية لتقدير المخاطر التشغيلية، وتحسين جودة البيانات المستخدمة في النمذجة، ودمج تحليلات البيانات في دورة إدارة المخاطر، وتعزيز القدرة على اكتشاف الأنماط الكامنة في الأحداث التشغيلية.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أهدافًا تتصل بتحديث منهجيات إدارة المخاطر، عبر استثمار البيانات في الكشف عن العوامل السببية للأحداث التشغيلية، وتجاوز المقاربات الوصفية إلى المقاربات السببية التفسيرية</w:t>
      </w:r>
      <w:r w:rsidRPr="00C330FB">
        <w:rPr>
          <w:rFonts w:ascii="Simplified Arabic" w:eastAsia="Times New Roman" w:hAnsi="Simplified Arabic" w:cs="Simplified Arabic"/>
          <w:color w:val="000000" w:themeColor="text1"/>
          <w:kern w:val="0"/>
          <w:sz w:val="28"/>
          <w:szCs w:val="28"/>
          <w:lang w:bidi="ar-EG"/>
          <w14:ligatures w14:val="none"/>
        </w:rPr>
        <w:t>.</w:t>
      </w:r>
    </w:p>
    <w:p w14:paraId="7B95F73F"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ويُشير</w:t>
      </w:r>
      <w:r w:rsidRPr="00C330FB">
        <w:rPr>
          <w:rFonts w:ascii="Simplified Arabic" w:eastAsia="Times New Roman" w:hAnsi="Simplified Arabic" w:cs="Simplified Arabic"/>
          <w:color w:val="000000" w:themeColor="text1"/>
          <w:kern w:val="0"/>
          <w:sz w:val="28"/>
          <w:szCs w:val="28"/>
          <w:lang w:bidi="ar-EG"/>
          <w14:ligatures w14:val="none"/>
        </w:rPr>
        <w:t xml:space="preserve"> Kumar et al. (2021) </w:t>
      </w:r>
      <w:r w:rsidRPr="00C330FB">
        <w:rPr>
          <w:rFonts w:ascii="Simplified Arabic" w:eastAsia="Times New Roman" w:hAnsi="Simplified Arabic" w:cs="Simplified Arabic"/>
          <w:color w:val="000000" w:themeColor="text1"/>
          <w:kern w:val="0"/>
          <w:sz w:val="28"/>
          <w:szCs w:val="28"/>
          <w:rtl/>
          <w14:ligatures w14:val="none"/>
        </w:rPr>
        <w:t xml:space="preserve">إلى أن أهداف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تمتد لتشمل: تقييم مرونة البنى التحتية الحيوية في مواجهة التغيرات المناخية، وبناء مؤشرات مركّبة لقياس التعرض للمخاطر المناخية، ودعم صانعي السياسات في تصميم استراتيجيات التكيّف. ويرى</w:t>
      </w:r>
      <w:r w:rsidRPr="00C330FB">
        <w:rPr>
          <w:rFonts w:ascii="Simplified Arabic" w:eastAsia="Times New Roman" w:hAnsi="Simplified Arabic" w:cs="Simplified Arabic"/>
          <w:color w:val="000000" w:themeColor="text1"/>
          <w:kern w:val="0"/>
          <w:sz w:val="28"/>
          <w:szCs w:val="28"/>
          <w:lang w:bidi="ar-EG"/>
          <w14:ligatures w14:val="none"/>
        </w:rPr>
        <w:t xml:space="preserve"> Deng et al. (2025) </w:t>
      </w:r>
      <w:r w:rsidRPr="00C330FB">
        <w:rPr>
          <w:rFonts w:ascii="Simplified Arabic" w:eastAsia="Times New Roman" w:hAnsi="Simplified Arabic" w:cs="Simplified Arabic"/>
          <w:color w:val="000000" w:themeColor="text1"/>
          <w:kern w:val="0"/>
          <w:sz w:val="28"/>
          <w:szCs w:val="28"/>
          <w:rtl/>
          <w14:ligatures w14:val="none"/>
        </w:rPr>
        <w:t xml:space="preserve">أن من أبرز أهداف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في الوقت الراهن: تطوير نماذج تنبؤ ديناميكية قادرة على التحديث المستمر، وربط التنبؤات بالمخاطر المرتبطة بالأصول، وتمكين المؤسسات من إدارة المخاطر بصورة تكيفية تتجاوز التقديرات الثابتة</w:t>
      </w:r>
      <w:r w:rsidRPr="00C330FB">
        <w:rPr>
          <w:rFonts w:ascii="Simplified Arabic" w:eastAsia="Times New Roman" w:hAnsi="Simplified Arabic" w:cs="Simplified Arabic"/>
          <w:color w:val="000000" w:themeColor="text1"/>
          <w:kern w:val="0"/>
          <w:sz w:val="28"/>
          <w:szCs w:val="28"/>
          <w:lang w:bidi="ar-EG"/>
          <w14:ligatures w14:val="none"/>
        </w:rPr>
        <w:t>.</w:t>
      </w:r>
    </w:p>
    <w:p w14:paraId="433B348E"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ومن منظور تطبيقي، يرى</w:t>
      </w:r>
      <w:r w:rsidRPr="00C330FB">
        <w:rPr>
          <w:rFonts w:ascii="Simplified Arabic" w:eastAsia="Times New Roman" w:hAnsi="Simplified Arabic" w:cs="Simplified Arabic"/>
          <w:color w:val="000000" w:themeColor="text1"/>
          <w:kern w:val="0"/>
          <w:sz w:val="28"/>
          <w:szCs w:val="28"/>
          <w:lang w:bidi="ar-EG"/>
          <w14:ligatures w14:val="none"/>
        </w:rPr>
        <w:t xml:space="preserve"> Ying &amp; Guofu (2022) </w:t>
      </w:r>
      <w:r w:rsidRPr="00C330FB">
        <w:rPr>
          <w:rFonts w:ascii="Simplified Arabic" w:eastAsia="Times New Roman" w:hAnsi="Simplified Arabic" w:cs="Simplified Arabic"/>
          <w:color w:val="000000" w:themeColor="text1"/>
          <w:kern w:val="0"/>
          <w:sz w:val="28"/>
          <w:szCs w:val="28"/>
          <w:rtl/>
          <w14:ligatures w14:val="none"/>
        </w:rPr>
        <w:t xml:space="preserve">أن أهداف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تتمحور حول تصميم منظومات متكاملة لإدارة مخاطر الكوارث الجوية، تجمع بين الرصد والتحليل والإنذار في منصة واحدة، بما يُتيح استجابة موحدة وسريعة. ويُبيّن</w:t>
      </w:r>
      <w:r w:rsidRPr="00C330FB">
        <w:rPr>
          <w:rFonts w:ascii="Simplified Arabic" w:eastAsia="Times New Roman" w:hAnsi="Simplified Arabic" w:cs="Simplified Arabic"/>
          <w:color w:val="000000" w:themeColor="text1"/>
          <w:kern w:val="0"/>
          <w:sz w:val="28"/>
          <w:szCs w:val="28"/>
          <w:lang w:bidi="ar-EG"/>
          <w14:ligatures w14:val="none"/>
        </w:rPr>
        <w:t xml:space="preserve"> Potter et al. (2021) </w:t>
      </w:r>
      <w:r w:rsidRPr="00C330FB">
        <w:rPr>
          <w:rFonts w:ascii="Simplified Arabic" w:eastAsia="Times New Roman" w:hAnsi="Simplified Arabic" w:cs="Simplified Arabic"/>
          <w:color w:val="000000" w:themeColor="text1"/>
          <w:kern w:val="0"/>
          <w:sz w:val="28"/>
          <w:szCs w:val="28"/>
          <w:rtl/>
          <w14:ligatures w14:val="none"/>
        </w:rPr>
        <w:t>أن من بين الأهداف الجوهرية: تطوير منظومة تحذيرات قائمة على الأثر، تُترجم البيانات إلى رسائل قابلة للفهم والتنفيذ من قِبَل الفئات المستهدفة، بما يُعزّز الاستجابة المجتمعية والمؤسسية للظواهر الجوية القصوى</w:t>
      </w:r>
      <w:r w:rsidRPr="00C330FB">
        <w:rPr>
          <w:rFonts w:ascii="Simplified Arabic" w:eastAsia="Times New Roman" w:hAnsi="Simplified Arabic" w:cs="Simplified Arabic"/>
          <w:color w:val="000000" w:themeColor="text1"/>
          <w:kern w:val="0"/>
          <w:sz w:val="28"/>
          <w:szCs w:val="28"/>
          <w:lang w:bidi="ar-EG"/>
          <w14:ligatures w14:val="none"/>
        </w:rPr>
        <w:t>.</w:t>
      </w:r>
    </w:p>
    <w:p w14:paraId="515C116A"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 xml:space="preserve">ويستخلص الباحث من هذه القراءات أن أهداف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في شركات التأمين يمكن تصنيفها في ثلاثة مستويات: أهداف معرفية تتصل ببناء قاعدة بيانات موثوقة عن المخاطر المناخية، وأهداف تشغيلية ترتبط بتحسين كفاءة العمليات اليومية وتقدير التعرض الفعلي، وأهداف استراتيجية تتعلق بتعزيز القدرة التنافسية للشركة من خلال تطوير منتجات تأمينية قائمة على بيانات دقيقة، إلى جانب تحسين عدالة التسعير وكفاية الاحتياطيات الفنية</w:t>
      </w:r>
      <w:r w:rsidRPr="00C330FB">
        <w:rPr>
          <w:rFonts w:ascii="Simplified Arabic" w:eastAsia="Times New Roman" w:hAnsi="Simplified Arabic" w:cs="Simplified Arabic"/>
          <w:color w:val="000000" w:themeColor="text1"/>
          <w:kern w:val="0"/>
          <w:sz w:val="28"/>
          <w:szCs w:val="28"/>
          <w:lang w:bidi="ar-EG"/>
          <w14:ligatures w14:val="none"/>
        </w:rPr>
        <w:t>.</w:t>
      </w:r>
    </w:p>
    <w:p w14:paraId="5414E394" w14:textId="09410AAF"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29" w:name="_Toc233816288"/>
      <w:r w:rsidRPr="00C330FB">
        <w:rPr>
          <w:rFonts w:ascii="Simplified Arabic" w:eastAsia="Times New Roman" w:hAnsi="Simplified Arabic" w:cs="Simplified Arabic" w:hint="cs"/>
          <w:b/>
          <w:bCs/>
          <w:color w:val="000000" w:themeColor="text1"/>
          <w:kern w:val="0"/>
          <w:sz w:val="32"/>
          <w:szCs w:val="32"/>
          <w:rtl/>
          <w14:ligatures w14:val="none"/>
        </w:rPr>
        <w:t xml:space="preserve">5.1.2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أبعاد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bookmarkEnd w:id="29"/>
      <w:proofErr w:type="spellEnd"/>
    </w:p>
    <w:p w14:paraId="406B76F6"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تم تحديد أبعاد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في هذه الدراسة بناءً على ما طرحه أبو شقير (٢٠٢٠) في معالجته لتقنيات التنبؤات الجوية ودورها في إدارة الأزمات، وما قدّمه</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Adland</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 xml:space="preserve">من تحليل لقيمة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في تقييم المخاطر، وما أضافه</w:t>
      </w:r>
      <w:r w:rsidRPr="00C330FB">
        <w:rPr>
          <w:rFonts w:ascii="Simplified Arabic" w:eastAsia="Times New Roman" w:hAnsi="Simplified Arabic" w:cs="Simplified Arabic"/>
          <w:color w:val="000000" w:themeColor="text1"/>
          <w:kern w:val="0"/>
          <w:sz w:val="28"/>
          <w:szCs w:val="28"/>
          <w:lang w:bidi="ar-EG"/>
          <w14:ligatures w14:val="none"/>
        </w:rPr>
        <w:t xml:space="preserve"> Deng et al. (2025) </w:t>
      </w:r>
      <w:r w:rsidRPr="00C330FB">
        <w:rPr>
          <w:rFonts w:ascii="Simplified Arabic" w:eastAsia="Times New Roman" w:hAnsi="Simplified Arabic" w:cs="Simplified Arabic"/>
          <w:color w:val="000000" w:themeColor="text1"/>
          <w:kern w:val="0"/>
          <w:sz w:val="28"/>
          <w:szCs w:val="28"/>
          <w:rtl/>
          <w14:ligatures w14:val="none"/>
        </w:rPr>
        <w:t>من رؤية حول التنبؤ بالعوامل المناخية والتقييم الديناميكي للمخاطر، وما طرحه</w:t>
      </w:r>
      <w:r w:rsidRPr="00C330FB">
        <w:rPr>
          <w:rFonts w:ascii="Simplified Arabic" w:eastAsia="Times New Roman" w:hAnsi="Simplified Arabic" w:cs="Simplified Arabic"/>
          <w:color w:val="000000" w:themeColor="text1"/>
          <w:kern w:val="0"/>
          <w:sz w:val="28"/>
          <w:szCs w:val="28"/>
          <w:lang w:bidi="ar-EG"/>
          <w14:ligatures w14:val="none"/>
        </w:rPr>
        <w:t xml:space="preserve"> Ying &amp; Guofu (2022) </w:t>
      </w:r>
      <w:r w:rsidRPr="00C330FB">
        <w:rPr>
          <w:rFonts w:ascii="Simplified Arabic" w:eastAsia="Times New Roman" w:hAnsi="Simplified Arabic" w:cs="Simplified Arabic"/>
          <w:color w:val="000000" w:themeColor="text1"/>
          <w:kern w:val="0"/>
          <w:sz w:val="28"/>
          <w:szCs w:val="28"/>
          <w:rtl/>
          <w14:ligatures w14:val="none"/>
        </w:rPr>
        <w:t>من تصور لمنظومات إدارة مخاطر الكوارث الجوية. وقد أسفر التكامل بين هذه المعالجات عن تحديد أربعة أبعاد رئيسية تُمثل البنية المفاهيمية للمتغير المستقل في الدراسة الحالية</w:t>
      </w:r>
      <w:r w:rsidRPr="00C330FB">
        <w:rPr>
          <w:rFonts w:ascii="Simplified Arabic" w:eastAsia="Times New Roman" w:hAnsi="Simplified Arabic" w:cs="Simplified Arabic"/>
          <w:color w:val="000000" w:themeColor="text1"/>
          <w:kern w:val="0"/>
          <w:sz w:val="28"/>
          <w:szCs w:val="28"/>
          <w:lang w:bidi="ar-EG"/>
          <w14:ligatures w14:val="none"/>
        </w:rPr>
        <w:t>.</w:t>
      </w:r>
    </w:p>
    <w:p w14:paraId="75BF9F2B"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البُعد الأول: دقة التنبؤات الجوية وموثوقيتها</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يُمثل هذا البُعد الركيزة الأولى التي يقوم عليها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إذ إن أي توظيف فعّال يفترض أن المعلومات المُستخدمة تتمتع بدرجة عالية من الدقة والموثوقية. وتتحدد دقة التنبؤات الجوية بمقدار اقتراب القيم </w:t>
      </w:r>
      <w:proofErr w:type="spellStart"/>
      <w:r w:rsidRPr="00C330FB">
        <w:rPr>
          <w:rFonts w:ascii="Simplified Arabic" w:eastAsia="Times New Roman" w:hAnsi="Simplified Arabic" w:cs="Simplified Arabic"/>
          <w:color w:val="000000" w:themeColor="text1"/>
          <w:kern w:val="0"/>
          <w:sz w:val="28"/>
          <w:szCs w:val="28"/>
          <w:rtl/>
          <w14:ligatures w14:val="none"/>
        </w:rPr>
        <w:t>المتنبأ</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بها من القيم الفعلية المرصودة لاحقًا، في حين تتحدد الموثوقية بمدى اتساق الأداء التنبؤي عبر فترات زمنية متعاقبة وظروف جوية متباينة. ويُشير</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Adland</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et al. (2021) </w:t>
      </w:r>
      <w:r w:rsidRPr="00C330FB">
        <w:rPr>
          <w:rFonts w:ascii="Simplified Arabic" w:eastAsia="Times New Roman" w:hAnsi="Simplified Arabic" w:cs="Simplified Arabic"/>
          <w:color w:val="000000" w:themeColor="text1"/>
          <w:kern w:val="0"/>
          <w:sz w:val="28"/>
          <w:szCs w:val="28"/>
          <w:rtl/>
          <w14:ligatures w14:val="none"/>
        </w:rPr>
        <w:t xml:space="preserve">إلى أن قيمة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في تقييم المخاطر تتوقف بدرجة كبيرة على دقتها، إذ إن أي خطأ في التنبؤ ينعكس مباشرة على جودة قرارات إدارة المخاطر.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Potter et al. (2021) </w:t>
      </w:r>
      <w:r w:rsidRPr="00C330FB">
        <w:rPr>
          <w:rFonts w:ascii="Simplified Arabic" w:eastAsia="Times New Roman" w:hAnsi="Simplified Arabic" w:cs="Simplified Arabic"/>
          <w:color w:val="000000" w:themeColor="text1"/>
          <w:kern w:val="0"/>
          <w:sz w:val="28"/>
          <w:szCs w:val="28"/>
          <w:rtl/>
          <w14:ligatures w14:val="none"/>
        </w:rPr>
        <w:t xml:space="preserve">هذا الطرح بأن الموثوقية لا تعني فقط الدقة العددية، بل تشمل كذلك الثقة المؤسسية والمجتمعية في مصدر المعلومات، وقدرة هذا المصدر على إصدار تحذيرات في الوقت المناسب وبصياغة قابلة للفهم. ومن ثمّ، فإن دقة التنبؤات وموثوقيتها تُمثلان شرطًا ضروريًا لتحويل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إلى مدخل قراري في شركات التأمين</w:t>
      </w:r>
      <w:r w:rsidRPr="00C330FB">
        <w:rPr>
          <w:rFonts w:ascii="Simplified Arabic" w:eastAsia="Times New Roman" w:hAnsi="Simplified Arabic" w:cs="Simplified Arabic"/>
          <w:color w:val="000000" w:themeColor="text1"/>
          <w:kern w:val="0"/>
          <w:sz w:val="28"/>
          <w:szCs w:val="28"/>
          <w:lang w:bidi="ar-EG"/>
          <w14:ligatures w14:val="none"/>
        </w:rPr>
        <w:t>.</w:t>
      </w:r>
    </w:p>
    <w:p w14:paraId="534A32B9"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البُعد الثاني: تكامل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مع أنظمة الإنذار المبكر</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يتجاوز هذا البُعد مجرد توفر البيانات إلى ضمان تدفقها في الوقت المناسب إلى الجهات المعنية، بحيث تُصبح جزءًا من منظومة استجابة </w:t>
      </w:r>
      <w:r w:rsidRPr="00C330FB">
        <w:rPr>
          <w:rFonts w:ascii="Simplified Arabic" w:eastAsia="Times New Roman" w:hAnsi="Simplified Arabic" w:cs="Simplified Arabic"/>
          <w:color w:val="000000" w:themeColor="text1"/>
          <w:kern w:val="0"/>
          <w:sz w:val="28"/>
          <w:szCs w:val="28"/>
          <w:rtl/>
          <w14:ligatures w14:val="none"/>
        </w:rPr>
        <w:lastRenderedPageBreak/>
        <w:t>متكاملة. ويُبيّن</w:t>
      </w:r>
      <w:r w:rsidRPr="00C330FB">
        <w:rPr>
          <w:rFonts w:ascii="Simplified Arabic" w:eastAsia="Times New Roman" w:hAnsi="Simplified Arabic" w:cs="Simplified Arabic"/>
          <w:color w:val="000000" w:themeColor="text1"/>
          <w:kern w:val="0"/>
          <w:sz w:val="28"/>
          <w:szCs w:val="28"/>
          <w:lang w:bidi="ar-EG"/>
          <w14:ligatures w14:val="none"/>
        </w:rPr>
        <w:t xml:space="preserve"> Ying &amp; Guofu (2022) </w:t>
      </w:r>
      <w:r w:rsidRPr="00C330FB">
        <w:rPr>
          <w:rFonts w:ascii="Simplified Arabic" w:eastAsia="Times New Roman" w:hAnsi="Simplified Arabic" w:cs="Simplified Arabic"/>
          <w:color w:val="000000" w:themeColor="text1"/>
          <w:kern w:val="0"/>
          <w:sz w:val="28"/>
          <w:szCs w:val="28"/>
          <w:rtl/>
          <w14:ligatures w14:val="none"/>
        </w:rPr>
        <w:t xml:space="preserve">أن تصميم أنظمة إدارة مخاطر الكوارث الجوية يستلزم تكاملًا وثيقًا بين مصادر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ومنصات الإنذار، بحيث يتم تحويل القراءات الجوية إلى تنبيهات تشغيلية بصورة آلية ومتسلسلة.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Potter et al. (2021) </w:t>
      </w:r>
      <w:r w:rsidRPr="00C330FB">
        <w:rPr>
          <w:rFonts w:ascii="Simplified Arabic" w:eastAsia="Times New Roman" w:hAnsi="Simplified Arabic" w:cs="Simplified Arabic"/>
          <w:color w:val="000000" w:themeColor="text1"/>
          <w:kern w:val="0"/>
          <w:sz w:val="28"/>
          <w:szCs w:val="28"/>
          <w:rtl/>
          <w14:ligatures w14:val="none"/>
        </w:rPr>
        <w:t xml:space="preserve">أن فاعلية أنظمة الإنذار المبكر تتوقف على قدرتها على ترجمة البيانات إلى رسائل قائمة على الأثر، تُحدّد ما يجب فعله لا ما يجري فحسب. ويرى أبو شقير (٢٠٢٠) أن التكامل بين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وأنظمة الإنذار المبكر يُمثل أحد المرتكزات الأساسية في إدارة الأزمات، إذ يضمن وصول المعلومات إلى متخذي القرار قبل تفاقم الأحداث. ويتجلى هذا التكامل في شركات التأمين عبر ربط أنظمة الرصد بأنظمة معلومات الشركة، بما يُتيح تحديث تقديرات التعرض بصورة آنية، وإصدار تنبيهات إلى وحدات الاكتتاب وتسوية المطالبات</w:t>
      </w:r>
      <w:r w:rsidRPr="00C330FB">
        <w:rPr>
          <w:rFonts w:ascii="Simplified Arabic" w:eastAsia="Times New Roman" w:hAnsi="Simplified Arabic" w:cs="Simplified Arabic"/>
          <w:color w:val="000000" w:themeColor="text1"/>
          <w:kern w:val="0"/>
          <w:sz w:val="28"/>
          <w:szCs w:val="28"/>
          <w:lang w:bidi="ar-EG"/>
          <w14:ligatures w14:val="none"/>
        </w:rPr>
        <w:t>.</w:t>
      </w:r>
    </w:p>
    <w:p w14:paraId="6088D805"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البُعد الثالث: التحليلات التنبؤية المبنية على النماذج المناخية</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يُمثل هذا البُعد المستوى المتقدم في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إذ ينتقل من مرحلة استخدام البيانات الخام إلى مرحلة استخراج الأنماط والاتجاهات منها عبر النماذج المناخية المتقدمة. ويُشير</w:t>
      </w:r>
      <w:r w:rsidRPr="00C330FB">
        <w:rPr>
          <w:rFonts w:ascii="Simplified Arabic" w:eastAsia="Times New Roman" w:hAnsi="Simplified Arabic" w:cs="Simplified Arabic"/>
          <w:color w:val="000000" w:themeColor="text1"/>
          <w:kern w:val="0"/>
          <w:sz w:val="28"/>
          <w:szCs w:val="28"/>
          <w:lang w:bidi="ar-EG"/>
          <w14:ligatures w14:val="none"/>
        </w:rPr>
        <w:t xml:space="preserve"> Deng et al. (2025) </w:t>
      </w:r>
      <w:r w:rsidRPr="00C330FB">
        <w:rPr>
          <w:rFonts w:ascii="Simplified Arabic" w:eastAsia="Times New Roman" w:hAnsi="Simplified Arabic" w:cs="Simplified Arabic"/>
          <w:color w:val="000000" w:themeColor="text1"/>
          <w:kern w:val="0"/>
          <w:sz w:val="28"/>
          <w:szCs w:val="28"/>
          <w:rtl/>
          <w14:ligatures w14:val="none"/>
        </w:rPr>
        <w:t>إلى أن خوارزميات التعلم العميق باتت تُتيح تطوير نماذج تنبؤية ديناميكية تجمع بين تنبؤ العوامل المناخية وتقييم المخاطر المرتبطة بها في إطار واحد، بما يتجاوز التحليل الإحصائي التقليدي.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Kumar et al. (2021) </w:t>
      </w:r>
      <w:r w:rsidRPr="00C330FB">
        <w:rPr>
          <w:rFonts w:ascii="Simplified Arabic" w:eastAsia="Times New Roman" w:hAnsi="Simplified Arabic" w:cs="Simplified Arabic"/>
          <w:color w:val="000000" w:themeColor="text1"/>
          <w:kern w:val="0"/>
          <w:sz w:val="28"/>
          <w:szCs w:val="28"/>
          <w:rtl/>
          <w14:ligatures w14:val="none"/>
        </w:rPr>
        <w:t>أن النماذج المناخية المتقدمة تُتيح بناء مؤشرات مركّبة لتقييم مرونة البنى التحتية في مواجهة التغيرات المناخية، وهو ما ينعكس مباشرة على تقديرات شركات التأمين للتعرض في القطاعات المختلفة.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Zhang et al. (2022) </w:t>
      </w:r>
      <w:r w:rsidRPr="00C330FB">
        <w:rPr>
          <w:rFonts w:ascii="Simplified Arabic" w:eastAsia="Times New Roman" w:hAnsi="Simplified Arabic" w:cs="Simplified Arabic"/>
          <w:color w:val="000000" w:themeColor="text1"/>
          <w:kern w:val="0"/>
          <w:sz w:val="28"/>
          <w:szCs w:val="28"/>
          <w:rtl/>
          <w14:ligatures w14:val="none"/>
        </w:rPr>
        <w:t xml:space="preserve">هذا الطرح عبر مصفوفات تقييم المخاطر الجوية، التي تستثمر التحليلات التنبؤية في تصنيف الأحداث الكبرى وفق احتمالاتها وشدتها. ومن ثمّ، فإن التحليلات التنبؤية تُمثل العقل التحليلي لمنظومة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وتُحدّد مستوى نضجها في المؤسسة</w:t>
      </w:r>
      <w:r w:rsidRPr="00C330FB">
        <w:rPr>
          <w:rFonts w:ascii="Simplified Arabic" w:eastAsia="Times New Roman" w:hAnsi="Simplified Arabic" w:cs="Simplified Arabic"/>
          <w:color w:val="000000" w:themeColor="text1"/>
          <w:kern w:val="0"/>
          <w:sz w:val="28"/>
          <w:szCs w:val="28"/>
          <w:lang w:bidi="ar-EG"/>
          <w14:ligatures w14:val="none"/>
        </w:rPr>
        <w:t>.</w:t>
      </w:r>
    </w:p>
    <w:p w14:paraId="7CD4187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البُعد الرابع: البنية التحتية التقنية لإدارة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يُمثل هذا البُعد الركيزة المادية والتقنية التي تستند إليها سائر الأبعاد، إذ إن دقة التنبؤات وتكامل أنظمة الإنذار والتحليلات التنبؤية تتوقف جميعها على وجود بنية تحتية تقنية كفؤة. وتشمل هذه البنية: محطات الرصد، وقواعد البيانات، ومنصات التحليل، وأنظمة الاتصال، فضلًا عن الكوادر البشرية المؤهلة للتعامل معها. ويُبيّن</w:t>
      </w:r>
      <w:r w:rsidRPr="00C330FB">
        <w:rPr>
          <w:rFonts w:ascii="Simplified Arabic" w:eastAsia="Times New Roman" w:hAnsi="Simplified Arabic" w:cs="Simplified Arabic"/>
          <w:color w:val="000000" w:themeColor="text1"/>
          <w:kern w:val="0"/>
          <w:sz w:val="28"/>
          <w:szCs w:val="28"/>
          <w:lang w:bidi="ar-EG"/>
          <w14:ligatures w14:val="none"/>
        </w:rPr>
        <w:t xml:space="preserve"> Yin et al. (2024) </w:t>
      </w:r>
      <w:r w:rsidRPr="00C330FB">
        <w:rPr>
          <w:rFonts w:ascii="Simplified Arabic" w:eastAsia="Times New Roman" w:hAnsi="Simplified Arabic" w:cs="Simplified Arabic"/>
          <w:color w:val="000000" w:themeColor="text1"/>
          <w:kern w:val="0"/>
          <w:sz w:val="28"/>
          <w:szCs w:val="28"/>
          <w:rtl/>
          <w14:ligatures w14:val="none"/>
        </w:rPr>
        <w:t xml:space="preserve">أن </w:t>
      </w:r>
      <w:proofErr w:type="spellStart"/>
      <w:r w:rsidRPr="00C330FB">
        <w:rPr>
          <w:rFonts w:ascii="Simplified Arabic" w:eastAsia="Times New Roman" w:hAnsi="Simplified Arabic" w:cs="Simplified Arabic"/>
          <w:color w:val="000000" w:themeColor="text1"/>
          <w:kern w:val="0"/>
          <w:sz w:val="28"/>
          <w:szCs w:val="28"/>
          <w:rtl/>
          <w14:ligatures w14:val="none"/>
        </w:rPr>
        <w:t>الرقمنة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تُمثل عاملًا محوريًا في معالجة قصور المعلومات داخل المنظمة، وأن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يستلزم بنية تحتية رقمية قادرة على استيعاب التدفقات المعلوماتية الضخمة ومعالجتها في الوقت المناسب.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Adekunle et al. (2021) </w:t>
      </w:r>
      <w:r w:rsidRPr="00C330FB">
        <w:rPr>
          <w:rFonts w:ascii="Simplified Arabic" w:eastAsia="Times New Roman" w:hAnsi="Simplified Arabic" w:cs="Simplified Arabic"/>
          <w:color w:val="000000" w:themeColor="text1"/>
          <w:kern w:val="0"/>
          <w:sz w:val="28"/>
          <w:szCs w:val="28"/>
          <w:rtl/>
          <w14:ligatures w14:val="none"/>
        </w:rPr>
        <w:t xml:space="preserve">أن النمذجة التنبؤية لتحسين العمليات تستلزم منظومة تقنية متكاملة تُتيح </w:t>
      </w:r>
      <w:r w:rsidRPr="00C330FB">
        <w:rPr>
          <w:rFonts w:ascii="Simplified Arabic" w:eastAsia="Times New Roman" w:hAnsi="Simplified Arabic" w:cs="Simplified Arabic"/>
          <w:color w:val="000000" w:themeColor="text1"/>
          <w:kern w:val="0"/>
          <w:sz w:val="28"/>
          <w:szCs w:val="28"/>
          <w:rtl/>
          <w14:ligatures w14:val="none"/>
        </w:rPr>
        <w:lastRenderedPageBreak/>
        <w:t>تطبيق خوارزميات التعلم الآلي على البيانات التشغيلية.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Chowdhury et al. (2023) </w:t>
      </w:r>
      <w:r w:rsidRPr="00C330FB">
        <w:rPr>
          <w:rFonts w:ascii="Simplified Arabic" w:eastAsia="Times New Roman" w:hAnsi="Simplified Arabic" w:cs="Simplified Arabic"/>
          <w:color w:val="000000" w:themeColor="text1"/>
          <w:kern w:val="0"/>
          <w:sz w:val="28"/>
          <w:szCs w:val="28"/>
          <w:rtl/>
          <w14:ligatures w14:val="none"/>
        </w:rPr>
        <w:t>هذا الطرح حين يُبيّن أن تبني تقنيات حديثة كسلاسل الكتل في إدارة المخاطر التشغيلية يستلزم تطويرًا متوازيًا في البنية التحتية الرقمية، بما يضمن أمن البيانات ومصداقيتها وقابليتها للتدقيق</w:t>
      </w:r>
      <w:r w:rsidRPr="00C330FB">
        <w:rPr>
          <w:rFonts w:ascii="Simplified Arabic" w:eastAsia="Times New Roman" w:hAnsi="Simplified Arabic" w:cs="Simplified Arabic"/>
          <w:color w:val="000000" w:themeColor="text1"/>
          <w:kern w:val="0"/>
          <w:sz w:val="28"/>
          <w:szCs w:val="28"/>
          <w:lang w:bidi="ar-EG"/>
          <w14:ligatures w14:val="none"/>
        </w:rPr>
        <w:t>.</w:t>
      </w:r>
    </w:p>
    <w:p w14:paraId="6FBBBFEF" w14:textId="2377CFD0"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0" w:name="_Toc233816289"/>
      <w:r w:rsidRPr="00C330FB">
        <w:rPr>
          <w:rFonts w:ascii="Simplified Arabic" w:eastAsia="Times New Roman" w:hAnsi="Simplified Arabic" w:cs="Simplified Arabic" w:hint="cs"/>
          <w:b/>
          <w:bCs/>
          <w:color w:val="000000" w:themeColor="text1"/>
          <w:kern w:val="0"/>
          <w:sz w:val="32"/>
          <w:szCs w:val="32"/>
          <w:rtl/>
          <w14:ligatures w14:val="none"/>
        </w:rPr>
        <w:t xml:space="preserve">6.1.2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استراتيجيات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bookmarkEnd w:id="30"/>
      <w:proofErr w:type="spellEnd"/>
    </w:p>
    <w:p w14:paraId="10BF15E9"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تتعدد الاستراتيجيات التي يمكن للمؤسسات اعتمادها لتوظيف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وتتدرج من استراتيجيات ذات طابع تشغيلي قصير الأمد إلى استراتيجيات استراتيجية طويلة الأمد. وتتمثل الاستراتيجية الأولى في التكامل المؤسسي للبيانات، عبر بناء منصة موحدة تجمع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من مصادرها المختلفة، وتُتيح للوحدات المختلفة الوصول إليها وفق صلاحيات محددة، بما يُحقق الاتساق في القرارات. وتأتي الاستراتيجية الثانية في تطوير القدرات التحليلية، عبر استثمار أدوات تحليل البيانات الضخمة وتقنيات الذكاء الاصطناعي في استخراج الأنماط من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وهو ما يُشير إليه</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 </w:t>
      </w:r>
      <w:r w:rsidRPr="00C330FB">
        <w:rPr>
          <w:rFonts w:ascii="Simplified Arabic" w:eastAsia="Times New Roman" w:hAnsi="Simplified Arabic" w:cs="Simplified Arabic"/>
          <w:color w:val="000000" w:themeColor="text1"/>
          <w:kern w:val="0"/>
          <w:sz w:val="28"/>
          <w:szCs w:val="28"/>
          <w:rtl/>
          <w14:ligatures w14:val="none"/>
        </w:rPr>
        <w:t>باعتباره أحد أبرز الاتجاهات الحديثة في تحديث منظومات إدارة المخاطر</w:t>
      </w:r>
      <w:r w:rsidRPr="00C330FB">
        <w:rPr>
          <w:rFonts w:ascii="Simplified Arabic" w:eastAsia="Times New Roman" w:hAnsi="Simplified Arabic" w:cs="Simplified Arabic"/>
          <w:color w:val="000000" w:themeColor="text1"/>
          <w:kern w:val="0"/>
          <w:sz w:val="28"/>
          <w:szCs w:val="28"/>
          <w:lang w:bidi="ar-EG"/>
          <w14:ligatures w14:val="none"/>
        </w:rPr>
        <w:t>.</w:t>
      </w:r>
    </w:p>
    <w:p w14:paraId="0DB8364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وتتمثل الاستراتيجية الثالثة في بناء الشراكات مع الجهات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المتخصصة، إذ إن جودة البيانات تتوقف بدرجة كبيرة على مصدرها، ومن ثمّ فإن إقامة علاقات مؤسسية مستقرة مع هيئات الأرصاد الجوية ومراكز البحث المناخي يُمثل ركيزة في ضمان استمرارية تدفق البيانات. وتأتي الاستراتيجية الرابعة في التحول إلى منظومة الإنذار القائم على الأثر، كما يطرحها</w:t>
      </w:r>
      <w:r w:rsidRPr="00C330FB">
        <w:rPr>
          <w:rFonts w:ascii="Simplified Arabic" w:eastAsia="Times New Roman" w:hAnsi="Simplified Arabic" w:cs="Simplified Arabic"/>
          <w:color w:val="000000" w:themeColor="text1"/>
          <w:kern w:val="0"/>
          <w:sz w:val="28"/>
          <w:szCs w:val="28"/>
          <w:lang w:bidi="ar-EG"/>
          <w14:ligatures w14:val="none"/>
        </w:rPr>
        <w:t xml:space="preserve"> Potter et al. (2021)</w:t>
      </w:r>
      <w:r w:rsidRPr="00C330FB">
        <w:rPr>
          <w:rFonts w:ascii="Simplified Arabic" w:eastAsia="Times New Roman" w:hAnsi="Simplified Arabic" w:cs="Simplified Arabic"/>
          <w:color w:val="000000" w:themeColor="text1"/>
          <w:kern w:val="0"/>
          <w:sz w:val="28"/>
          <w:szCs w:val="28"/>
          <w:rtl/>
          <w14:ligatures w14:val="none"/>
        </w:rPr>
        <w:t>، عبر إعادة تصميم رسائل الإنذار بحيث تُركّز على ما يجب فعله وعلى الفئات المتضررة، لا على وصف الظاهرة فحسب. وتتمثل الاستراتيجية الخامسة في تبني النمذجة الديناميكية للمخاطر، التي يُشير إليها</w:t>
      </w:r>
      <w:r w:rsidRPr="00C330FB">
        <w:rPr>
          <w:rFonts w:ascii="Simplified Arabic" w:eastAsia="Times New Roman" w:hAnsi="Simplified Arabic" w:cs="Simplified Arabic"/>
          <w:color w:val="000000" w:themeColor="text1"/>
          <w:kern w:val="0"/>
          <w:sz w:val="28"/>
          <w:szCs w:val="28"/>
          <w:lang w:bidi="ar-EG"/>
          <w14:ligatures w14:val="none"/>
        </w:rPr>
        <w:t xml:space="preserve"> Deng et al. (2025)</w:t>
      </w:r>
      <w:r w:rsidRPr="00C330FB">
        <w:rPr>
          <w:rFonts w:ascii="Simplified Arabic" w:eastAsia="Times New Roman" w:hAnsi="Simplified Arabic" w:cs="Simplified Arabic"/>
          <w:color w:val="000000" w:themeColor="text1"/>
          <w:kern w:val="0"/>
          <w:sz w:val="28"/>
          <w:szCs w:val="28"/>
          <w:rtl/>
          <w14:ligatures w14:val="none"/>
        </w:rPr>
        <w:t>، والتي تستثمر التعلم العميق في تحديث تقديرات المخاطر بصورة مستمرة كلما توفرت بيانات جديدة</w:t>
      </w:r>
      <w:r w:rsidRPr="00C330FB">
        <w:rPr>
          <w:rFonts w:ascii="Simplified Arabic" w:eastAsia="Times New Roman" w:hAnsi="Simplified Arabic" w:cs="Simplified Arabic"/>
          <w:color w:val="000000" w:themeColor="text1"/>
          <w:kern w:val="0"/>
          <w:sz w:val="28"/>
          <w:szCs w:val="28"/>
          <w:lang w:bidi="ar-EG"/>
          <w14:ligatures w14:val="none"/>
        </w:rPr>
        <w:t>.</w:t>
      </w:r>
    </w:p>
    <w:p w14:paraId="6F072931" w14:textId="7757112B"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1" w:name="_Toc233816290"/>
      <w:r w:rsidRPr="00C330FB">
        <w:rPr>
          <w:rFonts w:ascii="Simplified Arabic" w:eastAsia="Times New Roman" w:hAnsi="Simplified Arabic" w:cs="Simplified Arabic" w:hint="cs"/>
          <w:b/>
          <w:bCs/>
          <w:color w:val="000000" w:themeColor="text1"/>
          <w:kern w:val="0"/>
          <w:sz w:val="32"/>
          <w:szCs w:val="32"/>
          <w:rtl/>
          <w14:ligatures w14:val="none"/>
        </w:rPr>
        <w:t xml:space="preserve">7.1.2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محددات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proofErr w:type="spellEnd"/>
      <w:r w:rsidR="002A726B" w:rsidRPr="00C330FB">
        <w:rPr>
          <w:rFonts w:ascii="Simplified Arabic" w:eastAsia="Times New Roman" w:hAnsi="Simplified Arabic" w:cs="Simplified Arabic"/>
          <w:b/>
          <w:bCs/>
          <w:color w:val="000000" w:themeColor="text1"/>
          <w:kern w:val="0"/>
          <w:sz w:val="32"/>
          <w:szCs w:val="32"/>
          <w:rtl/>
          <w14:ligatures w14:val="none"/>
        </w:rPr>
        <w:t xml:space="preserve"> في شركات التأمين</w:t>
      </w:r>
      <w:bookmarkEnd w:id="31"/>
    </w:p>
    <w:p w14:paraId="00C4301F"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تواجه شركات التأمين جملةً من المحددات في سعيها لتوظيف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يمكن تصنيفها في محددات تقنية تتصل بضعف البنية التحتية، ومحددات معلوماتية ترتبط بمحدودية جودة البيانات في بعض البيئات، ومحددات بشرية تتعلق بنقص الكوادر المتخصصة في تحليل البيانات المناخية، ومحددات تنظيمية </w:t>
      </w:r>
      <w:r w:rsidRPr="00C330FB">
        <w:rPr>
          <w:rFonts w:ascii="Simplified Arabic" w:eastAsia="Times New Roman" w:hAnsi="Simplified Arabic" w:cs="Simplified Arabic"/>
          <w:color w:val="000000" w:themeColor="text1"/>
          <w:kern w:val="0"/>
          <w:sz w:val="28"/>
          <w:szCs w:val="28"/>
          <w:rtl/>
          <w14:ligatures w14:val="none"/>
        </w:rPr>
        <w:lastRenderedPageBreak/>
        <w:t>ترتبط بضعف التكامل بين الوحدات الداخلية. ويُسلّط</w:t>
      </w:r>
      <w:r w:rsidRPr="00C330FB">
        <w:rPr>
          <w:rFonts w:ascii="Simplified Arabic" w:eastAsia="Times New Roman" w:hAnsi="Simplified Arabic" w:cs="Simplified Arabic"/>
          <w:color w:val="000000" w:themeColor="text1"/>
          <w:kern w:val="0"/>
          <w:sz w:val="28"/>
          <w:szCs w:val="28"/>
          <w:lang w:bidi="ar-EG"/>
          <w14:ligatures w14:val="none"/>
        </w:rPr>
        <w:t xml:space="preserve"> Yin et al. (2024) </w:t>
      </w:r>
      <w:r w:rsidRPr="00C330FB">
        <w:rPr>
          <w:rFonts w:ascii="Simplified Arabic" w:eastAsia="Times New Roman" w:hAnsi="Simplified Arabic" w:cs="Simplified Arabic"/>
          <w:color w:val="000000" w:themeColor="text1"/>
          <w:kern w:val="0"/>
          <w:sz w:val="28"/>
          <w:szCs w:val="28"/>
          <w:rtl/>
          <w14:ligatures w14:val="none"/>
        </w:rPr>
        <w:t>الضوء على أن التحول الرقمي يُتيح تجاوز كثير من هذه المحددات حين يُدار وفق منظور معالجة المعلومات التنظيمية</w:t>
      </w:r>
      <w:r w:rsidRPr="00C330FB">
        <w:rPr>
          <w:rFonts w:ascii="Simplified Arabic" w:eastAsia="Times New Roman" w:hAnsi="Simplified Arabic" w:cs="Simplified Arabic"/>
          <w:color w:val="000000" w:themeColor="text1"/>
          <w:kern w:val="0"/>
          <w:sz w:val="28"/>
          <w:szCs w:val="28"/>
          <w:lang w:bidi="ar-EG"/>
          <w14:ligatures w14:val="none"/>
        </w:rPr>
        <w:t>.</w:t>
      </w:r>
    </w:p>
    <w:p w14:paraId="0176B75C" w14:textId="01A2DE55"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2" w:name="_Toc233816291"/>
      <w:r w:rsidRPr="00C330FB">
        <w:rPr>
          <w:rFonts w:ascii="Simplified Arabic" w:eastAsia="Times New Roman" w:hAnsi="Simplified Arabic" w:cs="Simplified Arabic" w:hint="cs"/>
          <w:b/>
          <w:bCs/>
          <w:color w:val="000000" w:themeColor="text1"/>
          <w:kern w:val="0"/>
          <w:sz w:val="32"/>
          <w:szCs w:val="32"/>
          <w:rtl/>
          <w14:ligatures w14:val="none"/>
        </w:rPr>
        <w:t xml:space="preserve">8.1.2 </w:t>
      </w:r>
      <w:r w:rsidR="002A726B" w:rsidRPr="00C330FB">
        <w:rPr>
          <w:rFonts w:ascii="Simplified Arabic" w:eastAsia="Times New Roman" w:hAnsi="Simplified Arabic" w:cs="Simplified Arabic"/>
          <w:b/>
          <w:bCs/>
          <w:color w:val="000000" w:themeColor="text1"/>
          <w:kern w:val="0"/>
          <w:sz w:val="32"/>
          <w:szCs w:val="32"/>
          <w:rtl/>
          <w14:ligatures w14:val="none"/>
        </w:rPr>
        <w:t xml:space="preserve">التوجهات الحديثة في توظيف البيانات </w:t>
      </w:r>
      <w:proofErr w:type="spellStart"/>
      <w:r w:rsidR="002A726B" w:rsidRPr="00C330FB">
        <w:rPr>
          <w:rFonts w:ascii="Simplified Arabic" w:eastAsia="Times New Roman" w:hAnsi="Simplified Arabic" w:cs="Simplified Arabic"/>
          <w:b/>
          <w:bCs/>
          <w:color w:val="000000" w:themeColor="text1"/>
          <w:kern w:val="0"/>
          <w:sz w:val="32"/>
          <w:szCs w:val="32"/>
          <w:rtl/>
          <w14:ligatures w14:val="none"/>
        </w:rPr>
        <w:t>الأرصادية</w:t>
      </w:r>
      <w:bookmarkEnd w:id="32"/>
      <w:proofErr w:type="spellEnd"/>
    </w:p>
    <w:p w14:paraId="4264EA56"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تتجه المؤسسات المعاصرة نحو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ضمن منظومة أوسع للذكاء المؤسسي، تُدمج فيها البيانات البيئية مع البيانات التشغيلية والمالية، بما يُتيح بناء صورة شاملة عن التعرض للمخاطر. ويُشير</w:t>
      </w:r>
      <w:r w:rsidRPr="00C330FB">
        <w:rPr>
          <w:rFonts w:ascii="Simplified Arabic" w:eastAsia="Times New Roman" w:hAnsi="Simplified Arabic" w:cs="Simplified Arabic"/>
          <w:color w:val="000000" w:themeColor="text1"/>
          <w:kern w:val="0"/>
          <w:sz w:val="28"/>
          <w:szCs w:val="28"/>
          <w:lang w:bidi="ar-EG"/>
          <w14:ligatures w14:val="none"/>
        </w:rPr>
        <w:t xml:space="preserve"> Li et al. (2021) </w:t>
      </w:r>
      <w:r w:rsidRPr="00C330FB">
        <w:rPr>
          <w:rFonts w:ascii="Simplified Arabic" w:eastAsia="Times New Roman" w:hAnsi="Simplified Arabic" w:cs="Simplified Arabic"/>
          <w:color w:val="000000" w:themeColor="text1"/>
          <w:kern w:val="0"/>
          <w:sz w:val="28"/>
          <w:szCs w:val="28"/>
          <w:rtl/>
          <w14:ligatures w14:val="none"/>
        </w:rPr>
        <w:t xml:space="preserve">إلى أن الابتكار في الذكاء الاصطناعي وكفاءة العمليات يُسهمان في خفض المخاطر غير المنتظمة، وهو ما ينطبق على توظيف البيانات </w:t>
      </w:r>
      <w:proofErr w:type="spellStart"/>
      <w:r w:rsidRPr="00C330FB">
        <w:rPr>
          <w:rFonts w:ascii="Simplified Arabic" w:eastAsia="Times New Roman" w:hAnsi="Simplified Arabic" w:cs="Simplified Arabic"/>
          <w:color w:val="000000" w:themeColor="text1"/>
          <w:kern w:val="0"/>
          <w:sz w:val="28"/>
          <w:szCs w:val="28"/>
          <w:rtl/>
          <w14:ligatures w14:val="none"/>
        </w:rPr>
        <w:t>الأرصادية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حين يُدمج ضمن منظومة ذكاء أعمال متكاملة. ويرى الباحث أن التوجه المستقبلي في شركات التأمين سيتمحور حول الانتقال من النموذج التقليدي القائم على البيانات التاريخية إلى نموذج هجين يجمع بين البيانات التاريخية والتنبؤية الديناميكية، بما يُحقق توازنًا بين الاستقرار </w:t>
      </w:r>
      <w:proofErr w:type="spellStart"/>
      <w:r w:rsidRPr="00C330FB">
        <w:rPr>
          <w:rFonts w:ascii="Simplified Arabic" w:eastAsia="Times New Roman" w:hAnsi="Simplified Arabic" w:cs="Simplified Arabic"/>
          <w:color w:val="000000" w:themeColor="text1"/>
          <w:kern w:val="0"/>
          <w:sz w:val="28"/>
          <w:szCs w:val="28"/>
          <w:rtl/>
          <w14:ligatures w14:val="none"/>
        </w:rPr>
        <w:t>الاكتواري</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والاستجابة للتغيرات المناخية المتسارعة</w:t>
      </w:r>
      <w:r w:rsidRPr="00C330FB">
        <w:rPr>
          <w:rFonts w:ascii="Simplified Arabic" w:eastAsia="Times New Roman" w:hAnsi="Simplified Arabic" w:cs="Simplified Arabic"/>
          <w:color w:val="000000" w:themeColor="text1"/>
          <w:kern w:val="0"/>
          <w:sz w:val="28"/>
          <w:szCs w:val="28"/>
          <w:lang w:bidi="ar-EG"/>
          <w14:ligatures w14:val="none"/>
        </w:rPr>
        <w:t>.</w:t>
      </w:r>
    </w:p>
    <w:p w14:paraId="4A2B16E4" w14:textId="755C48BA" w:rsidR="002A726B" w:rsidRPr="00C330FB" w:rsidRDefault="00EC3F4A" w:rsidP="00EC3F4A">
      <w:pPr>
        <w:jc w:val="center"/>
        <w:outlineLvl w:val="1"/>
        <w:rPr>
          <w:rFonts w:ascii="Simplified Arabic" w:eastAsia="Times New Roman" w:hAnsi="Simplified Arabic" w:cs="Simplified Arabic"/>
          <w:b/>
          <w:bCs/>
          <w:color w:val="000000" w:themeColor="text1"/>
          <w:kern w:val="0"/>
          <w:sz w:val="36"/>
          <w:szCs w:val="36"/>
          <w:lang w:bidi="ar-EG"/>
          <w14:ligatures w14:val="none"/>
        </w:rPr>
      </w:pPr>
      <w:r w:rsidRPr="00C330FB">
        <w:rPr>
          <w:rFonts w:ascii="Simplified Arabic" w:eastAsia="Times New Roman" w:hAnsi="Simplified Arabic" w:cs="Simplified Arabic"/>
          <w:b/>
          <w:bCs/>
          <w:color w:val="000000" w:themeColor="text1"/>
          <w:kern w:val="0"/>
          <w:sz w:val="36"/>
          <w:szCs w:val="36"/>
          <w:rtl/>
          <w14:ligatures w14:val="none"/>
        </w:rPr>
        <w:br w:type="page"/>
      </w:r>
      <w:bookmarkStart w:id="33" w:name="_Toc233816292"/>
      <w:r w:rsidR="002A726B" w:rsidRPr="00C330FB">
        <w:rPr>
          <w:rFonts w:ascii="Simplified Arabic" w:eastAsia="Times New Roman" w:hAnsi="Simplified Arabic" w:cs="Simplified Arabic"/>
          <w:b/>
          <w:bCs/>
          <w:color w:val="000000" w:themeColor="text1"/>
          <w:kern w:val="0"/>
          <w:sz w:val="36"/>
          <w:szCs w:val="36"/>
          <w:rtl/>
          <w14:ligatures w14:val="none"/>
        </w:rPr>
        <w:lastRenderedPageBreak/>
        <w:t>المبحث الثاني: المتغير التابع — إدارة المخاطر التشغيلية</w:t>
      </w:r>
      <w:bookmarkEnd w:id="33"/>
    </w:p>
    <w:p w14:paraId="721A16AC" w14:textId="0C44FFFD"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4" w:name="_Toc233816293"/>
      <w:r w:rsidRPr="00C330FB">
        <w:rPr>
          <w:rFonts w:ascii="Simplified Arabic" w:eastAsia="Times New Roman" w:hAnsi="Simplified Arabic" w:cs="Simplified Arabic" w:hint="cs"/>
          <w:b/>
          <w:bCs/>
          <w:color w:val="000000" w:themeColor="text1"/>
          <w:kern w:val="0"/>
          <w:sz w:val="32"/>
          <w:szCs w:val="32"/>
          <w:rtl/>
          <w14:ligatures w14:val="none"/>
        </w:rPr>
        <w:t xml:space="preserve">1.2.2 </w:t>
      </w:r>
      <w:r w:rsidR="002A726B" w:rsidRPr="00C330FB">
        <w:rPr>
          <w:rFonts w:ascii="Simplified Arabic" w:eastAsia="Times New Roman" w:hAnsi="Simplified Arabic" w:cs="Simplified Arabic"/>
          <w:b/>
          <w:bCs/>
          <w:color w:val="000000" w:themeColor="text1"/>
          <w:kern w:val="0"/>
          <w:sz w:val="32"/>
          <w:szCs w:val="32"/>
          <w:rtl/>
          <w14:ligatures w14:val="none"/>
        </w:rPr>
        <w:t>تمهيد</w:t>
      </w:r>
      <w:bookmarkEnd w:id="34"/>
    </w:p>
    <w:p w14:paraId="6DE4A943"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تُعدّ إدارة المخاطر التشغيلية واحدةً من أكثر المجالات الإدارية تطورًا في العقود الأخيرة، إذ انتقلت من كونها وظيفة ثانوية ضمن منظومة الرقابة الداخلية إلى كونها وظيفة استراتيجية مستقلة تُسهم في حماية المؤسسات من الخسائر غير المتوقعة وتُعزّز استدامة أدائها. وقد أسهمت الأزمات المالية المتتالية والكوارث الطبيعية المتصاعدة في إبراز أهمية هذه الوظيفة، ولا سيما في القطاعات التي تتعامل بطبيعتها مع عدم اليقين، كالقطاع المصرفي وقطاع التأمين. وفي ظل تزايد الاعتماد على التقنيات الرقمية وتنامي تعقيد العمليات، باتت المخاطر التشغيلية تتسم بتعدد مصادرها وتشابك آثارها، مما يستلزم تبني مقاربات حديثة في إدارتها تتجاوز الأطر التقليدية إلى أطر متكاملة قائمة على البيانات والتحليل. ويتناول هذا المبحث المتغير التابع للدراسة بالتأطير النظري، عبر استعراض مفهومه وأهميته وأهدافه وأبعاده، إلى جانب استراتيجيات إدارته والاتجاهات الحديثة فيه</w:t>
      </w:r>
      <w:r w:rsidRPr="00C330FB">
        <w:rPr>
          <w:rFonts w:ascii="Simplified Arabic" w:eastAsia="Times New Roman" w:hAnsi="Simplified Arabic" w:cs="Simplified Arabic"/>
          <w:color w:val="000000" w:themeColor="text1"/>
          <w:kern w:val="0"/>
          <w:sz w:val="28"/>
          <w:szCs w:val="28"/>
          <w:lang w:bidi="ar-EG"/>
          <w14:ligatures w14:val="none"/>
        </w:rPr>
        <w:t>.</w:t>
      </w:r>
    </w:p>
    <w:p w14:paraId="783E5504" w14:textId="79C802D1"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5" w:name="_Toc233816294"/>
      <w:r w:rsidRPr="00C330FB">
        <w:rPr>
          <w:rFonts w:ascii="Simplified Arabic" w:eastAsia="Times New Roman" w:hAnsi="Simplified Arabic" w:cs="Simplified Arabic" w:hint="cs"/>
          <w:b/>
          <w:bCs/>
          <w:color w:val="000000" w:themeColor="text1"/>
          <w:kern w:val="0"/>
          <w:sz w:val="32"/>
          <w:szCs w:val="32"/>
          <w:rtl/>
          <w14:ligatures w14:val="none"/>
        </w:rPr>
        <w:t xml:space="preserve">2.2.2 </w:t>
      </w:r>
      <w:r w:rsidR="002A726B" w:rsidRPr="00C330FB">
        <w:rPr>
          <w:rFonts w:ascii="Simplified Arabic" w:eastAsia="Times New Roman" w:hAnsi="Simplified Arabic" w:cs="Simplified Arabic"/>
          <w:b/>
          <w:bCs/>
          <w:color w:val="000000" w:themeColor="text1"/>
          <w:kern w:val="0"/>
          <w:sz w:val="32"/>
          <w:szCs w:val="32"/>
          <w:rtl/>
          <w14:ligatures w14:val="none"/>
        </w:rPr>
        <w:t>مفهوم إدارة المخاطر التشغيلية</w:t>
      </w:r>
      <w:bookmarkEnd w:id="35"/>
    </w:p>
    <w:p w14:paraId="0A506707"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تتنوع تعريفات الباحثين لمفهوم إدارة المخاطر التشغيلية تنوعًا يعكس تشعّب أبعادها وتعدد سياقاتها التطبيقية. فقد ذهب </w:t>
      </w:r>
      <w:proofErr w:type="spellStart"/>
      <w:r w:rsidRPr="00C330FB">
        <w:rPr>
          <w:rFonts w:ascii="Simplified Arabic" w:eastAsia="Times New Roman" w:hAnsi="Simplified Arabic" w:cs="Simplified Arabic"/>
          <w:color w:val="000000" w:themeColor="text1"/>
          <w:kern w:val="0"/>
          <w:sz w:val="28"/>
          <w:szCs w:val="28"/>
          <w:rtl/>
          <w14:ligatures w14:val="none"/>
        </w:rPr>
        <w:t>الكلش</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(٢٠٢٥) إلى أن إدارة المخاطر في القطاع المصرفي تُمثل منظومة شاملة لتحديد المخاطر المالية وغير المالية وقياسها ومعالجتها، وأن المخاطر التشغيلية تُمثل أحد أبرز مكوناتها، إذ ترتبط بالعمليات الداخلية والأفراد والأنظمة والأحداث الخارجية. ويُكمّل هذا التصور بوليفة وآخرون (٢٠٢٢) حين يصفون إدارة المخاطر التشغيلية بأنها العملية الإدارية المنظَّمة التي تتبناها البنوك التجارية لتحديد المخاطر الناشئة عن نشاطها التشغيلي اليومي، ووضع آليات لقياسها والتعامل معها، بما يضمن استمرارية العمل ويحدّ من الخسائر المحتملة</w:t>
      </w:r>
      <w:r w:rsidRPr="00C330FB">
        <w:rPr>
          <w:rFonts w:ascii="Simplified Arabic" w:eastAsia="Times New Roman" w:hAnsi="Simplified Arabic" w:cs="Simplified Arabic"/>
          <w:color w:val="000000" w:themeColor="text1"/>
          <w:kern w:val="0"/>
          <w:sz w:val="28"/>
          <w:szCs w:val="28"/>
          <w:lang w:bidi="ar-EG"/>
          <w14:ligatures w14:val="none"/>
        </w:rPr>
        <w:t>.</w:t>
      </w:r>
    </w:p>
    <w:p w14:paraId="498D32A9"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وفي السياق ذاته، يطرح خوجة وعلمي (٢٠٢٢) المفهوم من زاوية مؤشرات المخاطر الرئيسية، إذ يرون أن إدارة المخاطر التشغيلية تتمثل في بناء منظومة من المؤشرات الكمية والنوعية تُتيح للمؤسسة رصد التطورات في بيئتها التشغيلية واستباق الأحداث السلبية قبل تفاقمها، وهو ما يجعلها أداة استشرافية لا مجرد أداة استجابة. ويُضيف مسعود وشهاب (٢٠٢٤) بُعدًا </w:t>
      </w:r>
      <w:proofErr w:type="spellStart"/>
      <w:r w:rsidRPr="00C330FB">
        <w:rPr>
          <w:rFonts w:ascii="Simplified Arabic" w:eastAsia="Times New Roman" w:hAnsi="Simplified Arabic" w:cs="Simplified Arabic"/>
          <w:color w:val="000000" w:themeColor="text1"/>
          <w:kern w:val="0"/>
          <w:sz w:val="28"/>
          <w:szCs w:val="28"/>
          <w:rtl/>
          <w14:ligatures w14:val="none"/>
        </w:rPr>
        <w:t>حوكميًا</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للمفهوم حين يعدّان إدارة المخاطر التشغيلية </w:t>
      </w:r>
      <w:r w:rsidRPr="00C330FB">
        <w:rPr>
          <w:rFonts w:ascii="Simplified Arabic" w:eastAsia="Times New Roman" w:hAnsi="Simplified Arabic" w:cs="Simplified Arabic"/>
          <w:color w:val="000000" w:themeColor="text1"/>
          <w:kern w:val="0"/>
          <w:sz w:val="28"/>
          <w:szCs w:val="28"/>
          <w:rtl/>
          <w14:ligatures w14:val="none"/>
        </w:rPr>
        <w:lastRenderedPageBreak/>
        <w:t>جزءًا من منظومة الحوكمة المصرفية، تتولى مهمة الحدّ من المخاطر الناشئة عن قصور الضوابط الداخلية أو ضعف الالتزام أو الأخطاء البشرية، وذلك ضمن إطار رقابي متكامل</w:t>
      </w:r>
      <w:r w:rsidRPr="00C330FB">
        <w:rPr>
          <w:rFonts w:ascii="Simplified Arabic" w:eastAsia="Times New Roman" w:hAnsi="Simplified Arabic" w:cs="Simplified Arabic"/>
          <w:color w:val="000000" w:themeColor="text1"/>
          <w:kern w:val="0"/>
          <w:sz w:val="28"/>
          <w:szCs w:val="28"/>
          <w:lang w:bidi="ar-EG"/>
          <w14:ligatures w14:val="none"/>
        </w:rPr>
        <w:t>.</w:t>
      </w:r>
    </w:p>
    <w:p w14:paraId="48DD634C"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ويُقدّم وهدان (٢٠٢٤) قراءة تتمحور حول دور التدقيق الداخلي، إذ يصف إدارة المخاطر التشغيلية بأنها المنظومة التي يُسهم فيها التدقيق الداخلي بدور محوري في تحديد نقاط الضعف في العمليات وتقييم فاعلية الضوابط، خاصةً في البنوك الإسلامية التي تتميز بطبيعة عملياتها الخاصة. ويُكمّل أبو المليح وآخرون (٢٠٢٥) هذا الطرح بإضافة بُعد التشغيل الإلكتروني، إذ يصفون إدارة المخاطر التشغيلية بأنها العملية المستمرة التي تُتيح لشركات التأمين تقليل المخاطر الناشئة عن العمليات الإلكترونية، عبر آليات المراجعة المستمرة التي ترصد الأحداث في الوقت المناسب</w:t>
      </w:r>
      <w:r w:rsidRPr="00C330FB">
        <w:rPr>
          <w:rFonts w:ascii="Simplified Arabic" w:eastAsia="Times New Roman" w:hAnsi="Simplified Arabic" w:cs="Simplified Arabic"/>
          <w:color w:val="000000" w:themeColor="text1"/>
          <w:kern w:val="0"/>
          <w:sz w:val="28"/>
          <w:szCs w:val="28"/>
          <w:lang w:bidi="ar-EG"/>
          <w14:ligatures w14:val="none"/>
        </w:rPr>
        <w:t>.</w:t>
      </w:r>
    </w:p>
    <w:p w14:paraId="703735A5"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ومن منظور تنافسي، تطرح المعايطة </w:t>
      </w:r>
      <w:proofErr w:type="spellStart"/>
      <w:r w:rsidRPr="00C330FB">
        <w:rPr>
          <w:rFonts w:ascii="Simplified Arabic" w:eastAsia="Times New Roman" w:hAnsi="Simplified Arabic" w:cs="Simplified Arabic"/>
          <w:color w:val="000000" w:themeColor="text1"/>
          <w:kern w:val="0"/>
          <w:sz w:val="28"/>
          <w:szCs w:val="28"/>
          <w:rtl/>
          <w14:ligatures w14:val="none"/>
        </w:rPr>
        <w:t>والمخادمة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(٢٠٢٣) المفهوم بوصفه أداة لدعم الميزة التنافسية، إذ ترى أن إدارة المخاطر التشغيلية تتجاوز كونها وظيفة دفاعية إلى كونها رافعة لتحسين الأداء وتعزيز الموقع التنافسي للبنوك التجارية.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Ko</w:t>
      </w:r>
      <w:r w:rsidRPr="00C330FB">
        <w:rPr>
          <w:rFonts w:ascii="Cambria" w:eastAsia="Times New Roman" w:hAnsi="Cambria" w:cs="Cambria"/>
          <w:color w:val="000000" w:themeColor="text1"/>
          <w:kern w:val="0"/>
          <w:sz w:val="28"/>
          <w:szCs w:val="28"/>
          <w:lang w:bidi="ar-EG"/>
          <w14:ligatures w14:val="none"/>
        </w:rPr>
        <w:t>č</w:t>
      </w:r>
      <w:r w:rsidRPr="00C330FB">
        <w:rPr>
          <w:rFonts w:ascii="Simplified Arabic" w:eastAsia="Times New Roman" w:hAnsi="Simplified Arabic" w:cs="Simplified Arabic"/>
          <w:color w:val="000000" w:themeColor="text1"/>
          <w:kern w:val="0"/>
          <w:sz w:val="28"/>
          <w:szCs w:val="28"/>
          <w:lang w:bidi="ar-EG"/>
          <w14:ligatures w14:val="none"/>
        </w:rPr>
        <w:t>išov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Mišankov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(2023) </w:t>
      </w:r>
      <w:r w:rsidRPr="00C330FB">
        <w:rPr>
          <w:rFonts w:ascii="Simplified Arabic" w:eastAsia="Times New Roman" w:hAnsi="Simplified Arabic" w:cs="Simplified Arabic"/>
          <w:color w:val="000000" w:themeColor="text1"/>
          <w:kern w:val="0"/>
          <w:sz w:val="28"/>
          <w:szCs w:val="28"/>
          <w:rtl/>
          <w14:ligatures w14:val="none"/>
        </w:rPr>
        <w:t>بُعدًا أداءً ماليًا حين يصفان إدارة المخاطر التشغيلية بأنها العملية التي تربط ممارسات إدارة المخاطر بنتائج الأداء المالي في المؤسسات الصغيرة والمتوسطة، بحيث تتحدد جدواها بمقدار ما تُسهم به في تحسين المؤشرات المالية</w:t>
      </w:r>
      <w:r w:rsidRPr="00C330FB">
        <w:rPr>
          <w:rFonts w:ascii="Simplified Arabic" w:eastAsia="Times New Roman" w:hAnsi="Simplified Arabic" w:cs="Simplified Arabic"/>
          <w:color w:val="000000" w:themeColor="text1"/>
          <w:kern w:val="0"/>
          <w:sz w:val="28"/>
          <w:szCs w:val="28"/>
          <w:lang w:bidi="ar-EG"/>
          <w14:ligatures w14:val="none"/>
        </w:rPr>
        <w:t>.</w:t>
      </w:r>
    </w:p>
    <w:p w14:paraId="1111EF6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ويرى</w:t>
      </w:r>
      <w:r w:rsidRPr="00C330FB">
        <w:rPr>
          <w:rFonts w:ascii="Simplified Arabic" w:eastAsia="Times New Roman" w:hAnsi="Simplified Arabic" w:cs="Simplified Arabic"/>
          <w:color w:val="000000" w:themeColor="text1"/>
          <w:kern w:val="0"/>
          <w:sz w:val="28"/>
          <w:szCs w:val="28"/>
          <w:lang w:bidi="ar-EG"/>
          <w14:ligatures w14:val="none"/>
        </w:rPr>
        <w:t xml:space="preserve"> Li et al. (2021) </w:t>
      </w:r>
      <w:r w:rsidRPr="00C330FB">
        <w:rPr>
          <w:rFonts w:ascii="Simplified Arabic" w:eastAsia="Times New Roman" w:hAnsi="Simplified Arabic" w:cs="Simplified Arabic"/>
          <w:color w:val="000000" w:themeColor="text1"/>
          <w:kern w:val="0"/>
          <w:sz w:val="28"/>
          <w:szCs w:val="28"/>
          <w:rtl/>
          <w14:ligatures w14:val="none"/>
        </w:rPr>
        <w:t>أن إدارة المخاطر التشغيلية ترتبط ارتباطًا وثيقًا بكفاءة العمليات والابتكار التكنولوجي، إذ إن المؤسسات التي تتمتع بمستوى عالٍ من الكفاءة التشغيلية والابتكار في الذكاء الاصطناعي تُحقق مستوى أدنى من المخاطر غير المنتظمة.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Chowdhury et al. (2023) </w:t>
      </w:r>
      <w:r w:rsidRPr="00C330FB">
        <w:rPr>
          <w:rFonts w:ascii="Simplified Arabic" w:eastAsia="Times New Roman" w:hAnsi="Simplified Arabic" w:cs="Simplified Arabic"/>
          <w:color w:val="000000" w:themeColor="text1"/>
          <w:kern w:val="0"/>
          <w:sz w:val="28"/>
          <w:szCs w:val="28"/>
          <w:rtl/>
          <w14:ligatures w14:val="none"/>
        </w:rPr>
        <w:t>هذا الطرح بإضافة بُعد سلاسل الكتل، إذ يصف إدارة المخاطر التشغيلية بأنها العملية التي تستفيد من التقنيات الناشئة كسلاسل الكتل في تعزيز الشفافية والمصداقية في إدارة المخاطر داخل العمليات وسلاسل التوريد</w:t>
      </w:r>
      <w:r w:rsidRPr="00C330FB">
        <w:rPr>
          <w:rFonts w:ascii="Simplified Arabic" w:eastAsia="Times New Roman" w:hAnsi="Simplified Arabic" w:cs="Simplified Arabic"/>
          <w:color w:val="000000" w:themeColor="text1"/>
          <w:kern w:val="0"/>
          <w:sz w:val="28"/>
          <w:szCs w:val="28"/>
          <w:lang w:bidi="ar-EG"/>
          <w14:ligatures w14:val="none"/>
        </w:rPr>
        <w:t>.</w:t>
      </w:r>
    </w:p>
    <w:p w14:paraId="78194090"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ويُلاحظ الباحث من خلال هذا الاستعراض أن التعريفات، رغم تنوع </w:t>
      </w:r>
      <w:proofErr w:type="spellStart"/>
      <w:r w:rsidRPr="00C330FB">
        <w:rPr>
          <w:rFonts w:ascii="Simplified Arabic" w:eastAsia="Times New Roman" w:hAnsi="Simplified Arabic" w:cs="Simplified Arabic"/>
          <w:color w:val="000000" w:themeColor="text1"/>
          <w:kern w:val="0"/>
          <w:sz w:val="28"/>
          <w:szCs w:val="28"/>
          <w:rtl/>
          <w14:ligatures w14:val="none"/>
        </w:rPr>
        <w:t>منطلقاتها</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بين المنظور المصرفي والتأميني والتقني </w:t>
      </w:r>
      <w:proofErr w:type="spellStart"/>
      <w:r w:rsidRPr="00C330FB">
        <w:rPr>
          <w:rFonts w:ascii="Simplified Arabic" w:eastAsia="Times New Roman" w:hAnsi="Simplified Arabic" w:cs="Simplified Arabic"/>
          <w:color w:val="000000" w:themeColor="text1"/>
          <w:kern w:val="0"/>
          <w:sz w:val="28"/>
          <w:szCs w:val="28"/>
          <w:rtl/>
          <w14:ligatures w14:val="none"/>
        </w:rPr>
        <w:t>والحوكمي</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تلتقي عند جوهر مشترك يتمثل في كون إدارة المخاطر التشغيلية عملية منظَّمة تهدف إلى تحديد المخاطر الناشئة عن البيئة التشغيلية وقياسها ومعالجتها بصورة تضمن استمرارية العمل وكفاءته. ومن ثمّ، يرى الباحث أن إدارة المخاطر التشغيلية في شركات التأمين يمكن تعريفها إجرائيًا بأنها: “المنظومة الإدارية المتكاملة التي تتبناها شركات التأمين لتحديد المخاطر الناشئة عن العمليات الداخلية والأفراد والأنظمة والأحداث الخارجية، وقياسها وتقييمها ومعالجتها، عبر منظومة من السياسات والضوابط </w:t>
      </w:r>
      <w:r w:rsidRPr="00C330FB">
        <w:rPr>
          <w:rFonts w:ascii="Simplified Arabic" w:eastAsia="Times New Roman" w:hAnsi="Simplified Arabic" w:cs="Simplified Arabic"/>
          <w:color w:val="000000" w:themeColor="text1"/>
          <w:kern w:val="0"/>
          <w:sz w:val="28"/>
          <w:szCs w:val="28"/>
          <w:rtl/>
          <w14:ligatures w14:val="none"/>
        </w:rPr>
        <w:lastRenderedPageBreak/>
        <w:t>والأدوات، بهدف الحدّ من الخسائر المحتملة وضمان استمرارية الأعمال وتعزيز كفاءة الأداء”. ويتميز هذا التعريف بشموليته لمصادر المخاطر التشغيلية الأربعة المعتمدة عالميًا، وبربطه بالسياق التأميني الذي تنشط فيه الدراسة</w:t>
      </w:r>
      <w:r w:rsidRPr="00C330FB">
        <w:rPr>
          <w:rFonts w:ascii="Simplified Arabic" w:eastAsia="Times New Roman" w:hAnsi="Simplified Arabic" w:cs="Simplified Arabic"/>
          <w:color w:val="000000" w:themeColor="text1"/>
          <w:kern w:val="0"/>
          <w:sz w:val="28"/>
          <w:szCs w:val="28"/>
          <w:lang w:bidi="ar-EG"/>
          <w14:ligatures w14:val="none"/>
        </w:rPr>
        <w:t>.</w:t>
      </w:r>
    </w:p>
    <w:p w14:paraId="7BCEDCD4" w14:textId="72F4ADB8"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6" w:name="_Toc233816295"/>
      <w:r w:rsidRPr="00C330FB">
        <w:rPr>
          <w:rFonts w:ascii="Simplified Arabic" w:eastAsia="Times New Roman" w:hAnsi="Simplified Arabic" w:cs="Simplified Arabic" w:hint="cs"/>
          <w:b/>
          <w:bCs/>
          <w:color w:val="000000" w:themeColor="text1"/>
          <w:kern w:val="0"/>
          <w:sz w:val="32"/>
          <w:szCs w:val="32"/>
          <w:rtl/>
          <w14:ligatures w14:val="none"/>
        </w:rPr>
        <w:t xml:space="preserve">3.2.2 </w:t>
      </w:r>
      <w:r w:rsidR="002A726B" w:rsidRPr="00C330FB">
        <w:rPr>
          <w:rFonts w:ascii="Simplified Arabic" w:eastAsia="Times New Roman" w:hAnsi="Simplified Arabic" w:cs="Simplified Arabic"/>
          <w:b/>
          <w:bCs/>
          <w:color w:val="000000" w:themeColor="text1"/>
          <w:kern w:val="0"/>
          <w:sz w:val="32"/>
          <w:szCs w:val="32"/>
          <w:rtl/>
          <w14:ligatures w14:val="none"/>
        </w:rPr>
        <w:t>أهمية إدارة المخاطر التشغيلية</w:t>
      </w:r>
      <w:bookmarkEnd w:id="36"/>
    </w:p>
    <w:p w14:paraId="49FAAF6B"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تكتسب إدارة المخاطر التشغيلية أهميةً متزايدة في بيئة الأعمال المعاصرة، إذ باتت تُمثل أحد المداخل الجوهرية لحماية المؤسسات من الخسائر غير المتوقعة وتعزيز قدرتها على الاستمرار في ظل بيئة شديدة التقلب. وقد تنامى الاهتمام بها في ضوء تصاعد تكاليف الأحداث التشغيلية في مختلف القطاعات، وتزايد الضغوط الرقابية على المؤسسات المالية للالتزام بمعايير دولية في إدارة المخاطر</w:t>
      </w:r>
      <w:r w:rsidRPr="00C330FB">
        <w:rPr>
          <w:rFonts w:ascii="Simplified Arabic" w:eastAsia="Times New Roman" w:hAnsi="Simplified Arabic" w:cs="Simplified Arabic"/>
          <w:color w:val="000000" w:themeColor="text1"/>
          <w:kern w:val="0"/>
          <w:sz w:val="28"/>
          <w:szCs w:val="28"/>
          <w:lang w:bidi="ar-EG"/>
          <w14:ligatures w14:val="none"/>
        </w:rPr>
        <w:t>.</w:t>
      </w:r>
    </w:p>
    <w:p w14:paraId="3128863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ويُشير </w:t>
      </w:r>
      <w:proofErr w:type="spellStart"/>
      <w:r w:rsidRPr="00C330FB">
        <w:rPr>
          <w:rFonts w:ascii="Simplified Arabic" w:eastAsia="Times New Roman" w:hAnsi="Simplified Arabic" w:cs="Simplified Arabic"/>
          <w:color w:val="000000" w:themeColor="text1"/>
          <w:kern w:val="0"/>
          <w:sz w:val="28"/>
          <w:szCs w:val="28"/>
          <w:rtl/>
          <w14:ligatures w14:val="none"/>
        </w:rPr>
        <w:t>الكلش</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(٢٠٢٥) إلى أن أهمية إدارة المخاطر التشغيلية تتجلى في عدة محاور، أبرزها: حماية المؤسسة من الخسائر المالية الناجمة عن قصور العمليات أو الأخطاء البشرية، وتعزيز الثقة في المؤسسة لدى المساهمين والعملاء، وضمان الالتزام بالمتطلبات الرقابية والتشريعية، فضلًا عن دعم القدرة على اتخاذ قرارات استثمارية وتشغيلية مدروسة في ظل أوضاع غير مستقرة. ويُضيف بوليفة وآخرون (٢٠٢٢) أن أهمية إدارة المخاطر التشغيلية تتعمق في القطاع المصرفي تحديدًا، إذ يرون أنها تُسهم في حماية رأس المال المصرفي، وتعزيز ملاءة البنوك، ودعم استقرار النظام المالي ككل، فضلًا عن تحسين كفاءة العمليات اليومية</w:t>
      </w:r>
      <w:r w:rsidRPr="00C330FB">
        <w:rPr>
          <w:rFonts w:ascii="Simplified Arabic" w:eastAsia="Times New Roman" w:hAnsi="Simplified Arabic" w:cs="Simplified Arabic"/>
          <w:color w:val="000000" w:themeColor="text1"/>
          <w:kern w:val="0"/>
          <w:sz w:val="28"/>
          <w:szCs w:val="28"/>
          <w:lang w:bidi="ar-EG"/>
          <w14:ligatures w14:val="none"/>
        </w:rPr>
        <w:t>.</w:t>
      </w:r>
    </w:p>
    <w:p w14:paraId="7AB0FC56"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ويرى مسعود وشهاب (٢٠٢٤) أن أهمية إدارة المخاطر التشغيلية تتجلى في علاقتها بالحوكمة المصرفية، إذ تُمثل أحد أعمدتها الأساسية، وتُسهم في تعزيز الشفافية والمساءلة وضبط السلوك المؤسسي وحماية مصالح أصحاب المصلحة. ويُكمّل وهدان (٢٠٢٤) هذا الطرح بأن إدارة المخاطر التشغيلية تكتسب أهميتها من كونها تُمثل المجال الذي يتفاعل فيه التدقيق الداخلي مع باقي الوظائف الإدارية، بما يُسهم في كشف نقاط الضعف وتعزيز فاعلية الضوابط الداخلية</w:t>
      </w:r>
      <w:r w:rsidRPr="00C330FB">
        <w:rPr>
          <w:rFonts w:ascii="Simplified Arabic" w:eastAsia="Times New Roman" w:hAnsi="Simplified Arabic" w:cs="Simplified Arabic"/>
          <w:color w:val="000000" w:themeColor="text1"/>
          <w:kern w:val="0"/>
          <w:sz w:val="28"/>
          <w:szCs w:val="28"/>
          <w:lang w:bidi="ar-EG"/>
          <w14:ligatures w14:val="none"/>
        </w:rPr>
        <w:t>.</w:t>
      </w:r>
    </w:p>
    <w:p w14:paraId="72CD56B7"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ويُبيّن أبو المليح وآخرون (٢٠٢٥) أن أهمية إدارة المخاطر التشغيلية في شركات التأمين تتمحور حول تقليل المخاطر الناشئة عن التشغيل الإلكتروني، وتعزيز موثوقية العمليات الرقمية، وضمان جودة البيانات المتداولة، فضلًا عن تحسين قدرة الشركات على المنافسة في بيئة رقمية متسارعة. وترى المعايطة </w:t>
      </w:r>
      <w:proofErr w:type="spellStart"/>
      <w:r w:rsidRPr="00C330FB">
        <w:rPr>
          <w:rFonts w:ascii="Simplified Arabic" w:eastAsia="Times New Roman" w:hAnsi="Simplified Arabic" w:cs="Simplified Arabic"/>
          <w:color w:val="000000" w:themeColor="text1"/>
          <w:kern w:val="0"/>
          <w:sz w:val="28"/>
          <w:szCs w:val="28"/>
          <w:rtl/>
          <w14:ligatures w14:val="none"/>
        </w:rPr>
        <w:t>والمخادمة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lastRenderedPageBreak/>
        <w:t>(٢٠٢٣) أن أهمية إدارة المخاطر التشغيلية تتجلى في كونها تُمثل رافعة للميزة التنافسية، إذ تُسهم في تمييز المؤسسة عن منافسيها من خلال جودة عملياتها ومستوى استقرارها</w:t>
      </w:r>
      <w:r w:rsidRPr="00C330FB">
        <w:rPr>
          <w:rFonts w:ascii="Simplified Arabic" w:eastAsia="Times New Roman" w:hAnsi="Simplified Arabic" w:cs="Simplified Arabic"/>
          <w:color w:val="000000" w:themeColor="text1"/>
          <w:kern w:val="0"/>
          <w:sz w:val="28"/>
          <w:szCs w:val="28"/>
          <w:lang w:bidi="ar-EG"/>
          <w14:ligatures w14:val="none"/>
        </w:rPr>
        <w:t>.</w:t>
      </w:r>
    </w:p>
    <w:p w14:paraId="4A84A4D7"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ويُشير</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 </w:t>
      </w:r>
      <w:r w:rsidRPr="00C330FB">
        <w:rPr>
          <w:rFonts w:ascii="Simplified Arabic" w:eastAsia="Times New Roman" w:hAnsi="Simplified Arabic" w:cs="Simplified Arabic"/>
          <w:color w:val="000000" w:themeColor="text1"/>
          <w:kern w:val="0"/>
          <w:sz w:val="28"/>
          <w:szCs w:val="28"/>
          <w:rtl/>
          <w14:ligatures w14:val="none"/>
        </w:rPr>
        <w:t>إلى أن أهمية إدارة المخاطر التشغيلية تتعمق في عصر البيانات الضخمة، إذ باتت تُمثل أحد أبرز المجالات التي تُسهم فيها تحليلات البيانات في تطوير منهجيات القياس والتقييم.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Cornwell et al. (2023) </w:t>
      </w:r>
      <w:r w:rsidRPr="00C330FB">
        <w:rPr>
          <w:rFonts w:ascii="Simplified Arabic" w:eastAsia="Times New Roman" w:hAnsi="Simplified Arabic" w:cs="Simplified Arabic"/>
          <w:color w:val="000000" w:themeColor="text1"/>
          <w:kern w:val="0"/>
          <w:sz w:val="28"/>
          <w:szCs w:val="28"/>
          <w:rtl/>
          <w14:ligatures w14:val="none"/>
        </w:rPr>
        <w:t>أن أهمية إدارة المخاطر التشغيلية تتجلى في قدرتها على التحديث المستمر عبر استثمار تحليل العوامل السببية، بما يُتيح فهمًا أعمق للأحداث التشغيلية وأسبابها الجذرية</w:t>
      </w:r>
      <w:r w:rsidRPr="00C330FB">
        <w:rPr>
          <w:rFonts w:ascii="Simplified Arabic" w:eastAsia="Times New Roman" w:hAnsi="Simplified Arabic" w:cs="Simplified Arabic"/>
          <w:color w:val="000000" w:themeColor="text1"/>
          <w:kern w:val="0"/>
          <w:sz w:val="28"/>
          <w:szCs w:val="28"/>
          <w:lang w:bidi="ar-EG"/>
          <w14:ligatures w14:val="none"/>
        </w:rPr>
        <w:t>.</w:t>
      </w:r>
    </w:p>
    <w:p w14:paraId="5DB4976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ويُبيّن</w:t>
      </w:r>
      <w:r w:rsidRPr="00C330FB">
        <w:rPr>
          <w:rFonts w:ascii="Simplified Arabic" w:eastAsia="Times New Roman" w:hAnsi="Simplified Arabic" w:cs="Simplified Arabic"/>
          <w:color w:val="000000" w:themeColor="text1"/>
          <w:kern w:val="0"/>
          <w:sz w:val="28"/>
          <w:szCs w:val="28"/>
          <w:lang w:bidi="ar-EG"/>
          <w14:ligatures w14:val="none"/>
        </w:rPr>
        <w:t xml:space="preserve"> Yin et al. (2024) </w:t>
      </w:r>
      <w:r w:rsidRPr="00C330FB">
        <w:rPr>
          <w:rFonts w:ascii="Simplified Arabic" w:eastAsia="Times New Roman" w:hAnsi="Simplified Arabic" w:cs="Simplified Arabic"/>
          <w:color w:val="000000" w:themeColor="text1"/>
          <w:kern w:val="0"/>
          <w:sz w:val="28"/>
          <w:szCs w:val="28"/>
          <w:rtl/>
          <w14:ligatures w14:val="none"/>
        </w:rPr>
        <w:t>أن أهمية إدارة المخاطر التشغيلية تتزايد في البيئات الرقمية، إذ إن التحول الرقمي يُولّد مخاطر جديدة تستلزم استجابات إدارية مبتكرة، وأن إدارة هذه المخاطر تُمثل ركيزة في نجاح التحول الرقمي ذاته. ويرى</w:t>
      </w:r>
      <w:r w:rsidRPr="00C330FB">
        <w:rPr>
          <w:rFonts w:ascii="Simplified Arabic" w:eastAsia="Times New Roman" w:hAnsi="Simplified Arabic" w:cs="Simplified Arabic"/>
          <w:color w:val="000000" w:themeColor="text1"/>
          <w:kern w:val="0"/>
          <w:sz w:val="28"/>
          <w:szCs w:val="28"/>
          <w:lang w:bidi="ar-EG"/>
          <w14:ligatures w14:val="none"/>
        </w:rPr>
        <w:t xml:space="preserve"> Mahembe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Mutezo</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(2025) </w:t>
      </w:r>
      <w:r w:rsidRPr="00C330FB">
        <w:rPr>
          <w:rFonts w:ascii="Simplified Arabic" w:eastAsia="Times New Roman" w:hAnsi="Simplified Arabic" w:cs="Simplified Arabic"/>
          <w:color w:val="000000" w:themeColor="text1"/>
          <w:kern w:val="0"/>
          <w:sz w:val="28"/>
          <w:szCs w:val="28"/>
          <w:rtl/>
          <w14:ligatures w14:val="none"/>
        </w:rPr>
        <w:t>أن أهمية إدارة المخاطر التشغيلية تبرز بوضوح في أوقات الكوارث، إذ تُمثل خط الدفاع الأول الذي يحمي المؤسسات الصغيرة والمتوسطة من الانهيار، ويُتيح لها الاستمرار في تقديم خدماتها رغم الظروف الاستثنائية</w:t>
      </w:r>
      <w:r w:rsidRPr="00C330FB">
        <w:rPr>
          <w:rFonts w:ascii="Simplified Arabic" w:eastAsia="Times New Roman" w:hAnsi="Simplified Arabic" w:cs="Simplified Arabic"/>
          <w:color w:val="000000" w:themeColor="text1"/>
          <w:kern w:val="0"/>
          <w:sz w:val="28"/>
          <w:szCs w:val="28"/>
          <w:lang w:bidi="ar-EG"/>
          <w14:ligatures w14:val="none"/>
        </w:rPr>
        <w:t>.</w:t>
      </w:r>
    </w:p>
    <w:p w14:paraId="74215FAC"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ويرى</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Ko</w:t>
      </w:r>
      <w:r w:rsidRPr="00C330FB">
        <w:rPr>
          <w:rFonts w:ascii="Cambria" w:eastAsia="Times New Roman" w:hAnsi="Cambria" w:cs="Cambria"/>
          <w:color w:val="000000" w:themeColor="text1"/>
          <w:kern w:val="0"/>
          <w:sz w:val="28"/>
          <w:szCs w:val="28"/>
          <w:lang w:bidi="ar-EG"/>
          <w14:ligatures w14:val="none"/>
        </w:rPr>
        <w:t>č</w:t>
      </w:r>
      <w:r w:rsidRPr="00C330FB">
        <w:rPr>
          <w:rFonts w:ascii="Simplified Arabic" w:eastAsia="Times New Roman" w:hAnsi="Simplified Arabic" w:cs="Simplified Arabic"/>
          <w:color w:val="000000" w:themeColor="text1"/>
          <w:kern w:val="0"/>
          <w:sz w:val="28"/>
          <w:szCs w:val="28"/>
          <w:lang w:bidi="ar-EG"/>
          <w14:ligatures w14:val="none"/>
        </w:rPr>
        <w:t>išov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Mišankov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(2023) </w:t>
      </w:r>
      <w:r w:rsidRPr="00C330FB">
        <w:rPr>
          <w:rFonts w:ascii="Simplified Arabic" w:eastAsia="Times New Roman" w:hAnsi="Simplified Arabic" w:cs="Simplified Arabic"/>
          <w:color w:val="000000" w:themeColor="text1"/>
          <w:kern w:val="0"/>
          <w:sz w:val="28"/>
          <w:szCs w:val="28"/>
          <w:rtl/>
          <w14:ligatures w14:val="none"/>
        </w:rPr>
        <w:t>أن أهمية إدارة المخاطر التشغيلية تتجلى في علاقتها بالأداء المالي، إذ إنها تُسهم في تحسين المؤشرات المالية للمؤسسات عبر خفض الخسائر التشغيلية وتعزيز كفاءة استخدام الموارد. ويستخلص الباحث من هذه القراءات أن أهمية إدارة المخاطر التشغيلية في شركات التأمين يمكن تصنيفها في ثلاثة مستويات متكاملة: مستوى وقائي يرتبط بحماية الشركة من الخسائر، ومستوى تنموي يتصل بتحسين كفاءة العمليات وتعزيز الميزة التنافسية، ومستوى استراتيجي يرتبط ببناء سمعة مؤسسية قوية وضمان الاستدامة طويلة الأمد</w:t>
      </w:r>
      <w:r w:rsidRPr="00C330FB">
        <w:rPr>
          <w:rFonts w:ascii="Simplified Arabic" w:eastAsia="Times New Roman" w:hAnsi="Simplified Arabic" w:cs="Simplified Arabic"/>
          <w:color w:val="000000" w:themeColor="text1"/>
          <w:kern w:val="0"/>
          <w:sz w:val="28"/>
          <w:szCs w:val="28"/>
          <w:lang w:bidi="ar-EG"/>
          <w14:ligatures w14:val="none"/>
        </w:rPr>
        <w:t>.</w:t>
      </w:r>
    </w:p>
    <w:p w14:paraId="3F604318" w14:textId="613F9DC7"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7" w:name="_Toc233816296"/>
      <w:r w:rsidRPr="00C330FB">
        <w:rPr>
          <w:rFonts w:ascii="Simplified Arabic" w:eastAsia="Times New Roman" w:hAnsi="Simplified Arabic" w:cs="Simplified Arabic" w:hint="cs"/>
          <w:b/>
          <w:bCs/>
          <w:color w:val="000000" w:themeColor="text1"/>
          <w:kern w:val="0"/>
          <w:sz w:val="32"/>
          <w:szCs w:val="32"/>
          <w:rtl/>
          <w14:ligatures w14:val="none"/>
        </w:rPr>
        <w:t xml:space="preserve">4.2.2 </w:t>
      </w:r>
      <w:r w:rsidR="002A726B" w:rsidRPr="00C330FB">
        <w:rPr>
          <w:rFonts w:ascii="Simplified Arabic" w:eastAsia="Times New Roman" w:hAnsi="Simplified Arabic" w:cs="Simplified Arabic"/>
          <w:b/>
          <w:bCs/>
          <w:color w:val="000000" w:themeColor="text1"/>
          <w:kern w:val="0"/>
          <w:sz w:val="32"/>
          <w:szCs w:val="32"/>
          <w:rtl/>
          <w14:ligatures w14:val="none"/>
        </w:rPr>
        <w:t>أهداف إدارة المخاطر التشغيلية</w:t>
      </w:r>
      <w:bookmarkEnd w:id="37"/>
    </w:p>
    <w:p w14:paraId="6AFAC210"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تتعدد الأهداف التي تسعى المؤسسات إلى تحقيقها من خلال إدارة المخاطر التشغيلية، وتتباين باختلاف طبيعة النشاط والسياق التشغيلي، غير أنها تلتقي عند غاية كبرى تتمثل في حماية المؤسسة من الخسائر غير المتوقعة وتعزيز كفاءة عملياتها</w:t>
      </w:r>
      <w:r w:rsidRPr="00C330FB">
        <w:rPr>
          <w:rFonts w:ascii="Simplified Arabic" w:eastAsia="Times New Roman" w:hAnsi="Simplified Arabic" w:cs="Simplified Arabic"/>
          <w:color w:val="000000" w:themeColor="text1"/>
          <w:kern w:val="0"/>
          <w:sz w:val="28"/>
          <w:szCs w:val="28"/>
          <w:lang w:bidi="ar-EG"/>
          <w14:ligatures w14:val="none"/>
        </w:rPr>
        <w:t>.</w:t>
      </w:r>
    </w:p>
    <w:p w14:paraId="30F3D18E"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lastRenderedPageBreak/>
        <w:t xml:space="preserve">ويرى </w:t>
      </w:r>
      <w:proofErr w:type="spellStart"/>
      <w:r w:rsidRPr="00C330FB">
        <w:rPr>
          <w:rFonts w:ascii="Simplified Arabic" w:eastAsia="Times New Roman" w:hAnsi="Simplified Arabic" w:cs="Simplified Arabic"/>
          <w:color w:val="000000" w:themeColor="text1"/>
          <w:kern w:val="0"/>
          <w:sz w:val="28"/>
          <w:szCs w:val="28"/>
          <w:rtl/>
          <w14:ligatures w14:val="none"/>
        </w:rPr>
        <w:t>الكلش</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(٢٠٢٥) أن أهداف إدارة المخاطر التشغيلية يمكن إجمالها في عدة نقاط، تشمل: تحديد المخاطر التشغيلية بدقة وفق مصادرها الأربعة، وقياس مستوى التعرض لكل نوع من المخاطر، ووضع استراتيجيات مناسبة للتعامل معها سواء بالتجنب أو التخفيف أو التحويل أو القبول، فضلًا عن المتابعة المستمرة لفاعلية هذه الاستراتيجيات في ضوء المستجدات</w:t>
      </w:r>
      <w:r w:rsidRPr="00C330FB">
        <w:rPr>
          <w:rFonts w:ascii="Simplified Arabic" w:eastAsia="Times New Roman" w:hAnsi="Simplified Arabic" w:cs="Simplified Arabic"/>
          <w:color w:val="000000" w:themeColor="text1"/>
          <w:kern w:val="0"/>
          <w:sz w:val="28"/>
          <w:szCs w:val="28"/>
          <w:lang w:bidi="ar-EG"/>
          <w14:ligatures w14:val="none"/>
        </w:rPr>
        <w:t>.</w:t>
      </w:r>
    </w:p>
    <w:p w14:paraId="14BB043D"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ويُكمّل بوليفة وآخرون (٢٠٢٢) هذا الطرح بإضافة أهداف أخرى، من بينها: تعزيز الاستقرار المؤسسي للبنوك التجارية، وحماية أصولها من التآكل، وضمان الالتزام بالمتطلبات الرقابية لبنك التسويات الدولية، إلى جانب تطوير ثقافة مؤسسية واعية بالمخاطر تشمل جميع المستويات الإدارية</w:t>
      </w:r>
      <w:r w:rsidRPr="00C330FB">
        <w:rPr>
          <w:rFonts w:ascii="Simplified Arabic" w:eastAsia="Times New Roman" w:hAnsi="Simplified Arabic" w:cs="Simplified Arabic"/>
          <w:color w:val="000000" w:themeColor="text1"/>
          <w:kern w:val="0"/>
          <w:sz w:val="28"/>
          <w:szCs w:val="28"/>
          <w:lang w:bidi="ar-EG"/>
          <w14:ligatures w14:val="none"/>
        </w:rPr>
        <w:t>.</w:t>
      </w:r>
    </w:p>
    <w:p w14:paraId="659E4EDB"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ويُحدّد خوجة وعلمي (٢٠٢٢) جملةً من الأهداف ذات الطابع التشخيصي، تشمل: بناء منظومة من مؤشرات المخاطر الرئيسية، ورصد التطورات في كل مؤشر بصورة دورية، واستباق تجاوز المؤشرات لحدودها المقبولة، وتزويد الإدارة بتقارير منتظمة عن الوضع التشغيلي للمؤسسة. ويُضيف مسعود وشهاب (٢٠٢٤) أهدافًا تتصل بالحوكمة، من بينها: تعزيز الالتزام بأنظمة الرقابة الداخلية، وتحسين جودة الإفصاح عن المخاطر، وتقوية دور لجان المخاطر في مجالس الإدارة</w:t>
      </w:r>
      <w:r w:rsidRPr="00C330FB">
        <w:rPr>
          <w:rFonts w:ascii="Simplified Arabic" w:eastAsia="Times New Roman" w:hAnsi="Simplified Arabic" w:cs="Simplified Arabic"/>
          <w:color w:val="000000" w:themeColor="text1"/>
          <w:kern w:val="0"/>
          <w:sz w:val="28"/>
          <w:szCs w:val="28"/>
          <w:lang w:bidi="ar-EG"/>
          <w14:ligatures w14:val="none"/>
        </w:rPr>
        <w:t>.</w:t>
      </w:r>
    </w:p>
    <w:p w14:paraId="05441854"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ويُشير وهدان (٢٠٢٤) إلى أهداف ترتبط بالتدقيق الداخلي، تشمل: تقييم فاعلية الضوابط الداخلية، وكشف نقاط الضعف في العمليات، ورفع التوصيات لتعزيز منظومة المخاطر، خاصةً في البنوك الإسلامية. ويُضيف أبو المليح وآخرون (٢٠٢٥) أهدافًا تتصل بالتشغيل الإلكتروني في شركات التأمين، من بينها: ضمان أمن البيانات الإلكترونية، والحدّ من مخاطر الاحتيال الرقمي، وتعزيز موثوقية الأنظمة الإلكترونية</w:t>
      </w:r>
      <w:r w:rsidRPr="00C330FB">
        <w:rPr>
          <w:rFonts w:ascii="Simplified Arabic" w:eastAsia="Times New Roman" w:hAnsi="Simplified Arabic" w:cs="Simplified Arabic"/>
          <w:color w:val="000000" w:themeColor="text1"/>
          <w:kern w:val="0"/>
          <w:sz w:val="28"/>
          <w:szCs w:val="28"/>
          <w:lang w:bidi="ar-EG"/>
          <w14:ligatures w14:val="none"/>
        </w:rPr>
        <w:t>.</w:t>
      </w:r>
    </w:p>
    <w:p w14:paraId="2066102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ومن منظور تنافسي، ترى المعايطة </w:t>
      </w:r>
      <w:proofErr w:type="spellStart"/>
      <w:r w:rsidRPr="00C330FB">
        <w:rPr>
          <w:rFonts w:ascii="Simplified Arabic" w:eastAsia="Times New Roman" w:hAnsi="Simplified Arabic" w:cs="Simplified Arabic"/>
          <w:color w:val="000000" w:themeColor="text1"/>
          <w:kern w:val="0"/>
          <w:sz w:val="28"/>
          <w:szCs w:val="28"/>
          <w:rtl/>
          <w14:ligatures w14:val="none"/>
        </w:rPr>
        <w:t>والمخادمة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(٢٠٢٣) أن أهداف إدارة المخاطر التشغيلية تشمل: تمييز المؤسسة عن منافسيها بجودة عملياتها، وتعزيز ثقة العملاء فيها، وبناء سمعة مؤسسية قوية تنعكس على الموقع التنافسي. ويرى</w:t>
      </w:r>
      <w:r w:rsidRPr="00C330FB">
        <w:rPr>
          <w:rFonts w:ascii="Simplified Arabic" w:eastAsia="Times New Roman" w:hAnsi="Simplified Arabic" w:cs="Simplified Arabic"/>
          <w:color w:val="000000" w:themeColor="text1"/>
          <w:kern w:val="0"/>
          <w:sz w:val="28"/>
          <w:szCs w:val="28"/>
          <w:lang w:bidi="ar-EG"/>
          <w14:ligatures w14:val="none"/>
        </w:rPr>
        <w:t xml:space="preserve"> Adekunle et al. (2021) </w:t>
      </w:r>
      <w:r w:rsidRPr="00C330FB">
        <w:rPr>
          <w:rFonts w:ascii="Simplified Arabic" w:eastAsia="Times New Roman" w:hAnsi="Simplified Arabic" w:cs="Simplified Arabic"/>
          <w:color w:val="000000" w:themeColor="text1"/>
          <w:kern w:val="0"/>
          <w:sz w:val="28"/>
          <w:szCs w:val="28"/>
          <w:rtl/>
          <w14:ligatures w14:val="none"/>
        </w:rPr>
        <w:t>أن من أبرز أهداف إدارة المخاطر التشغيلية في العصر الراهن: تحسين العمليات عبر النمذجة التنبؤية، والحدّ من أوجه القصور التشغيلية باستثمار التعلم الآلي، وتحويل البيانات التشغيلية إلى رؤى قرارية</w:t>
      </w:r>
      <w:r w:rsidRPr="00C330FB">
        <w:rPr>
          <w:rFonts w:ascii="Simplified Arabic" w:eastAsia="Times New Roman" w:hAnsi="Simplified Arabic" w:cs="Simplified Arabic"/>
          <w:color w:val="000000" w:themeColor="text1"/>
          <w:kern w:val="0"/>
          <w:sz w:val="28"/>
          <w:szCs w:val="28"/>
          <w:lang w:bidi="ar-EG"/>
          <w14:ligatures w14:val="none"/>
        </w:rPr>
        <w:t>.</w:t>
      </w:r>
    </w:p>
    <w:p w14:paraId="0686868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ويستخلص الباحث من هذه القراءات أن أهداف إدارة المخاطر التشغيلية في شركات التأمين يمكن تصنيفها في ثلاثة مستويات: أهداف تشخيصية تتصل بتحديد المخاطر وقياسها، وأهداف علاجية ترتبط </w:t>
      </w:r>
      <w:r w:rsidRPr="00C330FB">
        <w:rPr>
          <w:rFonts w:ascii="Simplified Arabic" w:eastAsia="Times New Roman" w:hAnsi="Simplified Arabic" w:cs="Simplified Arabic"/>
          <w:color w:val="000000" w:themeColor="text1"/>
          <w:kern w:val="0"/>
          <w:sz w:val="28"/>
          <w:szCs w:val="28"/>
          <w:rtl/>
          <w14:ligatures w14:val="none"/>
        </w:rPr>
        <w:lastRenderedPageBreak/>
        <w:t>بمعالجة المخاطر بأدوات متنوعة، وأهداف استراتيجية تتعلق ببناء قدرة مؤسسية على التكيّف مع المخاطر المتغيرة وتحويلها إلى فرص للتمايز التنافسي</w:t>
      </w:r>
      <w:r w:rsidRPr="00C330FB">
        <w:rPr>
          <w:rFonts w:ascii="Simplified Arabic" w:eastAsia="Times New Roman" w:hAnsi="Simplified Arabic" w:cs="Simplified Arabic"/>
          <w:color w:val="000000" w:themeColor="text1"/>
          <w:kern w:val="0"/>
          <w:sz w:val="28"/>
          <w:szCs w:val="28"/>
          <w:lang w:bidi="ar-EG"/>
          <w14:ligatures w14:val="none"/>
        </w:rPr>
        <w:t>.</w:t>
      </w:r>
    </w:p>
    <w:p w14:paraId="71E2D0A3" w14:textId="01DE9A69"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8" w:name="_Toc233816297"/>
      <w:r w:rsidRPr="00C330FB">
        <w:rPr>
          <w:rFonts w:ascii="Simplified Arabic" w:eastAsia="Times New Roman" w:hAnsi="Simplified Arabic" w:cs="Simplified Arabic" w:hint="cs"/>
          <w:b/>
          <w:bCs/>
          <w:color w:val="000000" w:themeColor="text1"/>
          <w:kern w:val="0"/>
          <w:sz w:val="32"/>
          <w:szCs w:val="32"/>
          <w:rtl/>
          <w14:ligatures w14:val="none"/>
        </w:rPr>
        <w:t xml:space="preserve">5.2.2 </w:t>
      </w:r>
      <w:r w:rsidR="002A726B" w:rsidRPr="00C330FB">
        <w:rPr>
          <w:rFonts w:ascii="Simplified Arabic" w:eastAsia="Times New Roman" w:hAnsi="Simplified Arabic" w:cs="Simplified Arabic"/>
          <w:b/>
          <w:bCs/>
          <w:color w:val="000000" w:themeColor="text1"/>
          <w:kern w:val="0"/>
          <w:sz w:val="32"/>
          <w:szCs w:val="32"/>
          <w:rtl/>
          <w14:ligatures w14:val="none"/>
        </w:rPr>
        <w:t>أبعاد إدارة المخاطر التشغيلية</w:t>
      </w:r>
      <w:bookmarkEnd w:id="38"/>
    </w:p>
    <w:p w14:paraId="256AEBE3"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تم تحديد أبعاد إدارة المخاطر التشغيلية في هذه الدراسة بناءً على ما طرحه </w:t>
      </w:r>
      <w:proofErr w:type="spellStart"/>
      <w:r w:rsidRPr="00C330FB">
        <w:rPr>
          <w:rFonts w:ascii="Simplified Arabic" w:eastAsia="Times New Roman" w:hAnsi="Simplified Arabic" w:cs="Simplified Arabic"/>
          <w:color w:val="000000" w:themeColor="text1"/>
          <w:kern w:val="0"/>
          <w:sz w:val="28"/>
          <w:szCs w:val="28"/>
          <w:rtl/>
          <w14:ligatures w14:val="none"/>
        </w:rPr>
        <w:t>الكلش</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(٢٠٢٥) في معالجته الشاملة لإدارة المخاطر في القطاع المصرفي، وما قدّمه بوليفة وآخرون (٢٠٢٢) من تأطير لإدارة المخاطر التشغيلية في البنوك التجارية، وما أضافه خوجة وعلمي (٢٠٢٢) من رؤية حول مؤشرات المخاطر الرئيسية وعلاقتها بالمخاطر التشغيلية، إلى جانب ما طرحه</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 </w:t>
      </w:r>
      <w:r w:rsidRPr="00C330FB">
        <w:rPr>
          <w:rFonts w:ascii="Simplified Arabic" w:eastAsia="Times New Roman" w:hAnsi="Simplified Arabic" w:cs="Simplified Arabic"/>
          <w:color w:val="000000" w:themeColor="text1"/>
          <w:kern w:val="0"/>
          <w:sz w:val="28"/>
          <w:szCs w:val="28"/>
          <w:rtl/>
          <w14:ligatures w14:val="none"/>
        </w:rPr>
        <w:t>من تأطير لتحليلات البيانات ضمن إدارة المخاطر التشغيلية. وقد أسفر التكامل بين هذه المعالجات عن تحديد أربعة أبعاد رئيسية تُمثل البنية المفاهيمية للمتغير التابع في الدراسة الحالية</w:t>
      </w:r>
      <w:r w:rsidRPr="00C330FB">
        <w:rPr>
          <w:rFonts w:ascii="Simplified Arabic" w:eastAsia="Times New Roman" w:hAnsi="Simplified Arabic" w:cs="Simplified Arabic"/>
          <w:color w:val="000000" w:themeColor="text1"/>
          <w:kern w:val="0"/>
          <w:sz w:val="28"/>
          <w:szCs w:val="28"/>
          <w:lang w:bidi="ar-EG"/>
          <w14:ligatures w14:val="none"/>
        </w:rPr>
        <w:t>.</w:t>
      </w:r>
    </w:p>
    <w:p w14:paraId="11E821E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البُعد الأول: تحديد المخاطر التشغيلية</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يُمثل هذا البُعد الخطوة الأولى في منظومة إدارة المخاطر التشغيلية، إذ لا يمكن إدارة ما لا يمكن تحديده. ويتمثل تحديد المخاطر في عملية منظَّمة لاستكشاف مصادر المخاطر المحتملة في العمليات الداخلية والأفراد والأنظمة والأحداث الخارجية. ويُشير خوجة وعلمي (٢٠٢٢) إلى أن تحديد المخاطر يستلزم بناء خارطة شاملة للمخاطر تُغطي جميع وحدات المؤسسة وأنشطتها، وأن مؤشرات المخاطر الرئيسية تُمثل أداةً جوهرية في هذه العملية. ويُضيف وهدان (٢٠٢٤) أن التدقيق الداخلي يُسهم بدور محوري في تحديد المخاطر التشغيلية، عبر فحص العمليات وكشف نقاط الضعف فيها. ويُكمّل أبو المليح وآخرون (٢٠٢٥) هذا الطرح بأن المراجعة المستمرة تُتيح تحديد المخاطر الناشئة عن التشغيل الإلكتروني في الوقت المناسب، بما يضمن استباق الأحداث قبل وقوعها</w:t>
      </w:r>
      <w:r w:rsidRPr="00C330FB">
        <w:rPr>
          <w:rFonts w:ascii="Simplified Arabic" w:eastAsia="Times New Roman" w:hAnsi="Simplified Arabic" w:cs="Simplified Arabic"/>
          <w:color w:val="000000" w:themeColor="text1"/>
          <w:kern w:val="0"/>
          <w:sz w:val="28"/>
          <w:szCs w:val="28"/>
          <w:lang w:bidi="ar-EG"/>
          <w14:ligatures w14:val="none"/>
        </w:rPr>
        <w:t>.</w:t>
      </w:r>
    </w:p>
    <w:p w14:paraId="11689A5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البُعد الثاني: قياس المخاطر التشغيلية وتقييمها</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ينتقل هذا البُعد بمنظومة إدارة المخاطر من مرحلة التحديد إلى مرحلة التقدير الكمي والنوعي للمخاطر المكتشفة، عبر تقدير احتمال وقوعها وشدة آثارها. ويُبيّن بوليفة وآخرون (٢٠٢٢) أن قياس المخاطر التشغيلية يستلزم اعتماد منهجيات متعددة، تشمل الأساليب الإحصائية والنوعية وأساليب السيناريوهات، بما يُتيح للمؤسسة تقديرًا متكاملًا لمستوى تعرضها.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 </w:t>
      </w:r>
      <w:r w:rsidRPr="00C330FB">
        <w:rPr>
          <w:rFonts w:ascii="Simplified Arabic" w:eastAsia="Times New Roman" w:hAnsi="Simplified Arabic" w:cs="Simplified Arabic"/>
          <w:color w:val="000000" w:themeColor="text1"/>
          <w:kern w:val="0"/>
          <w:sz w:val="28"/>
          <w:szCs w:val="28"/>
          <w:rtl/>
          <w14:ligatures w14:val="none"/>
        </w:rPr>
        <w:t>أن تحليلات البيانات الحديثة باتت تُتيح قياس المخاطر التشغيلية بدرجة عالية من الدقة، عبر استثمار البيانات الضخمة وخوارزميات التعلم الآلي في بناء نماذج قياس متطورة.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lang w:bidi="ar-EG"/>
          <w14:ligatures w14:val="none"/>
        </w:rPr>
        <w:lastRenderedPageBreak/>
        <w:t xml:space="preserve">Cornwell et al. (2023) </w:t>
      </w:r>
      <w:r w:rsidRPr="00C330FB">
        <w:rPr>
          <w:rFonts w:ascii="Simplified Arabic" w:eastAsia="Times New Roman" w:hAnsi="Simplified Arabic" w:cs="Simplified Arabic"/>
          <w:color w:val="000000" w:themeColor="text1"/>
          <w:kern w:val="0"/>
          <w:sz w:val="28"/>
          <w:szCs w:val="28"/>
          <w:rtl/>
          <w14:ligatures w14:val="none"/>
        </w:rPr>
        <w:t>هذا الطرح بأن تحليل العوامل السببية يُتيح تقييمًا أعمق للمخاطر، عبر الانتقال من رصد الأحداث إلى فهم العوامل المسببة لها، بما يُسهم في تطوير منظومات قياس أكثر تفسيريةً</w:t>
      </w:r>
      <w:r w:rsidRPr="00C330FB">
        <w:rPr>
          <w:rFonts w:ascii="Simplified Arabic" w:eastAsia="Times New Roman" w:hAnsi="Simplified Arabic" w:cs="Simplified Arabic"/>
          <w:color w:val="000000" w:themeColor="text1"/>
          <w:kern w:val="0"/>
          <w:sz w:val="28"/>
          <w:szCs w:val="28"/>
          <w:lang w:bidi="ar-EG"/>
          <w14:ligatures w14:val="none"/>
        </w:rPr>
        <w:t>.</w:t>
      </w:r>
    </w:p>
    <w:p w14:paraId="74F5E121"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البُعد الثالث: معالجة المخاطر التشغيلية</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 xml:space="preserve">يُمثل هذا البُعد المرحلة التنفيذية في منظومة إدارة المخاطر، إذ يتمحور حول اتخاذ القرارات المناسبة للتعامل مع المخاطر المكتشفة والمقاسة. وتتنوع أساليب المعالجة بين تجنب المخاطر، أو تخفيفها عبر تعزيز الضوابط، أو تحويلها عبر التأمين والتعاقد، أو قبولها حين تكون كلفة المعالجة أعلى من كلفة الحدث. ويُشير </w:t>
      </w:r>
      <w:proofErr w:type="spellStart"/>
      <w:r w:rsidRPr="00C330FB">
        <w:rPr>
          <w:rFonts w:ascii="Simplified Arabic" w:eastAsia="Times New Roman" w:hAnsi="Simplified Arabic" w:cs="Simplified Arabic"/>
          <w:color w:val="000000" w:themeColor="text1"/>
          <w:kern w:val="0"/>
          <w:sz w:val="28"/>
          <w:szCs w:val="28"/>
          <w:rtl/>
          <w14:ligatures w14:val="none"/>
        </w:rPr>
        <w:t>الكلش</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(٢٠٢٥) إلى أن اختيار أسلوب المعالجة يستلزم تحليلًا دقيقًا للكلفة والعائد، ومراعاةً لطبيعة المخاطر وسياقها. ويُضيف مسعود وشهاب (٢٠٢٤) أن الحوكمة المصرفية تُوفّر إطارًا منظَّمًا لمعالجة المخاطر، عبر تحديد الصلاحيات والمسؤوليات وضبط السلوك المؤسسي. ويُكمّل</w:t>
      </w:r>
      <w:r w:rsidRPr="00C330FB">
        <w:rPr>
          <w:rFonts w:ascii="Simplified Arabic" w:eastAsia="Times New Roman" w:hAnsi="Simplified Arabic" w:cs="Simplified Arabic"/>
          <w:color w:val="000000" w:themeColor="text1"/>
          <w:kern w:val="0"/>
          <w:sz w:val="28"/>
          <w:szCs w:val="28"/>
          <w:lang w:bidi="ar-EG"/>
          <w14:ligatures w14:val="none"/>
        </w:rPr>
        <w:t xml:space="preserve"> Chowdhury et al. (2023) </w:t>
      </w:r>
      <w:r w:rsidRPr="00C330FB">
        <w:rPr>
          <w:rFonts w:ascii="Simplified Arabic" w:eastAsia="Times New Roman" w:hAnsi="Simplified Arabic" w:cs="Simplified Arabic"/>
          <w:color w:val="000000" w:themeColor="text1"/>
          <w:kern w:val="0"/>
          <w:sz w:val="28"/>
          <w:szCs w:val="28"/>
          <w:rtl/>
          <w14:ligatures w14:val="none"/>
        </w:rPr>
        <w:t>هذا الطرح بأن التقنيات الناشئة كسلاسل الكتل باتت تُتيح أساليب جديدة لمعالجة المخاطر في العمليات وسلاسل التوريد، عبر تعزيز الشفافية والمصداقية وتقليل فرص التلاعب</w:t>
      </w:r>
      <w:r w:rsidRPr="00C330FB">
        <w:rPr>
          <w:rFonts w:ascii="Simplified Arabic" w:eastAsia="Times New Roman" w:hAnsi="Simplified Arabic" w:cs="Simplified Arabic"/>
          <w:color w:val="000000" w:themeColor="text1"/>
          <w:kern w:val="0"/>
          <w:sz w:val="28"/>
          <w:szCs w:val="28"/>
          <w:lang w:bidi="ar-EG"/>
          <w14:ligatures w14:val="none"/>
        </w:rPr>
        <w:t>.</w:t>
      </w:r>
    </w:p>
    <w:p w14:paraId="17CAB3EA"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البُعد الرابع: متابعة المخاطر التشغيلية ومراقبتها</w:t>
      </w:r>
      <w:r w:rsidRPr="00C330FB">
        <w:rPr>
          <w:rFonts w:ascii="Simplified Arabic" w:eastAsia="Times New Roman" w:hAnsi="Simplified Arabic" w:cs="Simplified Arabic"/>
          <w:color w:val="000000" w:themeColor="text1"/>
          <w:kern w:val="0"/>
          <w:sz w:val="28"/>
          <w:szCs w:val="28"/>
          <w:lang w:bidi="ar-EG"/>
          <w14:ligatures w14:val="none"/>
        </w:rPr>
        <w:t xml:space="preserve">. </w:t>
      </w:r>
      <w:r w:rsidRPr="00C330FB">
        <w:rPr>
          <w:rFonts w:ascii="Simplified Arabic" w:eastAsia="Times New Roman" w:hAnsi="Simplified Arabic" w:cs="Simplified Arabic"/>
          <w:color w:val="000000" w:themeColor="text1"/>
          <w:kern w:val="0"/>
          <w:sz w:val="28"/>
          <w:szCs w:val="28"/>
          <w:rtl/>
          <w14:ligatures w14:val="none"/>
        </w:rPr>
        <w:t>يُمثل هذا البُعد المرحلة المستمرة في منظومة إدارة المخاطر، إذ لا تنتهي إدارة المخاطر بمعالجتها بل تستلزم متابعة دائمة لرصد التطورات وتقييم فاعلية الإجراءات المتبعة. ويُبيّن أبو المليح وآخرون (٢٠٢٥) أن المراجعة المستمرة تُمثل آليةً جوهريةً في متابعة المخاطر التشغيلية، إذ تُتيح رصد الأحداث في الوقت المناسب واتخاذ الإجراءات التصحيحية بسرعة.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Yin et al. (2024) </w:t>
      </w:r>
      <w:r w:rsidRPr="00C330FB">
        <w:rPr>
          <w:rFonts w:ascii="Simplified Arabic" w:eastAsia="Times New Roman" w:hAnsi="Simplified Arabic" w:cs="Simplified Arabic"/>
          <w:color w:val="000000" w:themeColor="text1"/>
          <w:kern w:val="0"/>
          <w:sz w:val="28"/>
          <w:szCs w:val="28"/>
          <w:rtl/>
          <w14:ligatures w14:val="none"/>
        </w:rPr>
        <w:t xml:space="preserve">أن </w:t>
      </w:r>
      <w:proofErr w:type="spellStart"/>
      <w:r w:rsidRPr="00C330FB">
        <w:rPr>
          <w:rFonts w:ascii="Simplified Arabic" w:eastAsia="Times New Roman" w:hAnsi="Simplified Arabic" w:cs="Simplified Arabic"/>
          <w:color w:val="000000" w:themeColor="text1"/>
          <w:kern w:val="0"/>
          <w:sz w:val="28"/>
          <w:szCs w:val="28"/>
          <w:rtl/>
          <w14:ligatures w14:val="none"/>
        </w:rPr>
        <w:t>الرقمنة</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تُتيح أدوات متقدمة لمتابعة المخاطر، عبر منظومات معلومات تُحدّث تقديرات المخاطر بصورة آنية. ويرى</w:t>
      </w:r>
      <w:r w:rsidRPr="00C330FB">
        <w:rPr>
          <w:rFonts w:ascii="Simplified Arabic" w:eastAsia="Times New Roman" w:hAnsi="Simplified Arabic" w:cs="Simplified Arabic"/>
          <w:color w:val="000000" w:themeColor="text1"/>
          <w:kern w:val="0"/>
          <w:sz w:val="28"/>
          <w:szCs w:val="28"/>
          <w:lang w:bidi="ar-EG"/>
          <w14:ligatures w14:val="none"/>
        </w:rPr>
        <w:t xml:space="preserve"> Li et al. (2021) </w:t>
      </w:r>
      <w:r w:rsidRPr="00C330FB">
        <w:rPr>
          <w:rFonts w:ascii="Simplified Arabic" w:eastAsia="Times New Roman" w:hAnsi="Simplified Arabic" w:cs="Simplified Arabic"/>
          <w:color w:val="000000" w:themeColor="text1"/>
          <w:kern w:val="0"/>
          <w:sz w:val="28"/>
          <w:szCs w:val="28"/>
          <w:rtl/>
          <w14:ligatures w14:val="none"/>
        </w:rPr>
        <w:t>أن متابعة المخاطر تستلزم ربطها بمؤشرات الأداء الكلي للمؤسسة، إذ إن إدارة المخاطر الفاعلة تنعكس على خفض المخاطر غير المنتظمة وتحسين الأداء العام</w:t>
      </w:r>
      <w:r w:rsidRPr="00C330FB">
        <w:rPr>
          <w:rFonts w:ascii="Simplified Arabic" w:eastAsia="Times New Roman" w:hAnsi="Simplified Arabic" w:cs="Simplified Arabic"/>
          <w:color w:val="000000" w:themeColor="text1"/>
          <w:kern w:val="0"/>
          <w:sz w:val="28"/>
          <w:szCs w:val="28"/>
          <w:lang w:bidi="ar-EG"/>
          <w14:ligatures w14:val="none"/>
        </w:rPr>
        <w:t>.</w:t>
      </w:r>
    </w:p>
    <w:p w14:paraId="5664D479" w14:textId="785512F1"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39" w:name="_Toc233816298"/>
      <w:r w:rsidRPr="00C330FB">
        <w:rPr>
          <w:rFonts w:ascii="Simplified Arabic" w:eastAsia="Times New Roman" w:hAnsi="Simplified Arabic" w:cs="Simplified Arabic" w:hint="cs"/>
          <w:b/>
          <w:bCs/>
          <w:color w:val="000000" w:themeColor="text1"/>
          <w:kern w:val="0"/>
          <w:sz w:val="32"/>
          <w:szCs w:val="32"/>
          <w:rtl/>
          <w14:ligatures w14:val="none"/>
        </w:rPr>
        <w:t xml:space="preserve">6.2.2 </w:t>
      </w:r>
      <w:r w:rsidR="002A726B" w:rsidRPr="00C330FB">
        <w:rPr>
          <w:rFonts w:ascii="Simplified Arabic" w:eastAsia="Times New Roman" w:hAnsi="Simplified Arabic" w:cs="Simplified Arabic"/>
          <w:b/>
          <w:bCs/>
          <w:color w:val="000000" w:themeColor="text1"/>
          <w:kern w:val="0"/>
          <w:sz w:val="32"/>
          <w:szCs w:val="32"/>
          <w:rtl/>
          <w14:ligatures w14:val="none"/>
        </w:rPr>
        <w:t>استراتيجيات إدارة المخاطر التشغيلية</w:t>
      </w:r>
      <w:bookmarkEnd w:id="39"/>
    </w:p>
    <w:p w14:paraId="75381632"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تتعدد الاستراتيجيات التي يمكن لشركات التأمين اعتمادها في إدارة المخاطر التشغيلية، وتتدرج من استراتيجيات تشغيلية قصيرة الأمد إلى استراتيجيات استراتيجية طويلة الأمد. وتتمثل الاستراتيجية الأولى في بناء منظومة حوكمة متكاملة للمخاطر، كما يطرحها مسعود وشهاب (٢٠٢٤)، عبر إنشاء لجان مخاطر متخصصة، وتحديد الصلاحيات والمسؤوليات، وبناء سياسات واضحة لإدارة المخاطر. وتأتي الاستراتيجية </w:t>
      </w:r>
      <w:r w:rsidRPr="00C330FB">
        <w:rPr>
          <w:rFonts w:ascii="Simplified Arabic" w:eastAsia="Times New Roman" w:hAnsi="Simplified Arabic" w:cs="Simplified Arabic"/>
          <w:color w:val="000000" w:themeColor="text1"/>
          <w:kern w:val="0"/>
          <w:sz w:val="28"/>
          <w:szCs w:val="28"/>
          <w:rtl/>
          <w14:ligatures w14:val="none"/>
        </w:rPr>
        <w:lastRenderedPageBreak/>
        <w:t>الثانية في تعزيز دور التدقيق الداخلي، كما يُبيّن وهدان (٢٠٢٤)، عبر تطوير قدرات التدقيق على فحص العمليات وكشف نقاط الضعف، خاصةً في البيئات ذات الطبيعة الخاصة كالبنوك الإسلامية</w:t>
      </w:r>
      <w:r w:rsidRPr="00C330FB">
        <w:rPr>
          <w:rFonts w:ascii="Simplified Arabic" w:eastAsia="Times New Roman" w:hAnsi="Simplified Arabic" w:cs="Simplified Arabic"/>
          <w:color w:val="000000" w:themeColor="text1"/>
          <w:kern w:val="0"/>
          <w:sz w:val="28"/>
          <w:szCs w:val="28"/>
          <w:lang w:bidi="ar-EG"/>
          <w14:ligatures w14:val="none"/>
        </w:rPr>
        <w:t>.</w:t>
      </w:r>
    </w:p>
    <w:p w14:paraId="03B8801E"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وتتمثل الاستراتيجية الثالثة في تبني المراجعة المستمرة، كما يطرحها أبو المليح وآخرون (٢٠٢٥)، عبر منظومات إلكترونية تُتيح رصد العمليات في الوقت المناسب، خاصةً في البيئات الرقمية. وتأتي الاستراتيجية الرابعة في استثمار تحليلات البيانات، كما يُشير</w:t>
      </w:r>
      <w:r w:rsidRPr="00C330FB">
        <w:rPr>
          <w:rFonts w:ascii="Simplified Arabic" w:eastAsia="Times New Roman" w:hAnsi="Simplified Arabic" w:cs="Simplified Arabic"/>
          <w:color w:val="000000" w:themeColor="text1"/>
          <w:kern w:val="0"/>
          <w:sz w:val="28"/>
          <w:szCs w:val="28"/>
          <w:lang w:bidi="ar-EG"/>
          <w14:ligatures w14:val="none"/>
        </w:rPr>
        <w:t xml:space="preserve"> Sanford et al. (2022)</w:t>
      </w:r>
      <w:r w:rsidRPr="00C330FB">
        <w:rPr>
          <w:rFonts w:ascii="Simplified Arabic" w:eastAsia="Times New Roman" w:hAnsi="Simplified Arabic" w:cs="Simplified Arabic"/>
          <w:color w:val="000000" w:themeColor="text1"/>
          <w:kern w:val="0"/>
          <w:sz w:val="28"/>
          <w:szCs w:val="28"/>
          <w:rtl/>
          <w14:ligatures w14:val="none"/>
        </w:rPr>
        <w:t>، عبر تطوير قدرات المؤسسة على استخراج الأنماط من البيانات التشغيلية وبناء نماذج تنبؤية متقدمة. وتتمثل الاستراتيجية الخامسة في تبني النمذجة التنبؤية، كما يطرحها</w:t>
      </w:r>
      <w:r w:rsidRPr="00C330FB">
        <w:rPr>
          <w:rFonts w:ascii="Simplified Arabic" w:eastAsia="Times New Roman" w:hAnsi="Simplified Arabic" w:cs="Simplified Arabic"/>
          <w:color w:val="000000" w:themeColor="text1"/>
          <w:kern w:val="0"/>
          <w:sz w:val="28"/>
          <w:szCs w:val="28"/>
          <w:lang w:bidi="ar-EG"/>
          <w14:ligatures w14:val="none"/>
        </w:rPr>
        <w:t xml:space="preserve"> Adekunle et al. (2021)</w:t>
      </w:r>
      <w:r w:rsidRPr="00C330FB">
        <w:rPr>
          <w:rFonts w:ascii="Simplified Arabic" w:eastAsia="Times New Roman" w:hAnsi="Simplified Arabic" w:cs="Simplified Arabic"/>
          <w:color w:val="000000" w:themeColor="text1"/>
          <w:kern w:val="0"/>
          <w:sz w:val="28"/>
          <w:szCs w:val="28"/>
          <w:rtl/>
          <w14:ligatures w14:val="none"/>
        </w:rPr>
        <w:t>، عبر استثمار التعلم الآلي في توقع الأحداث التشغيلية والحدّ من أوجه القصور قبل تفاقمها. وتأتي الاستراتيجية السادسة في توظيف التقنيات الناشئة، كما يُبيّن</w:t>
      </w:r>
      <w:r w:rsidRPr="00C330FB">
        <w:rPr>
          <w:rFonts w:ascii="Simplified Arabic" w:eastAsia="Times New Roman" w:hAnsi="Simplified Arabic" w:cs="Simplified Arabic"/>
          <w:color w:val="000000" w:themeColor="text1"/>
          <w:kern w:val="0"/>
          <w:sz w:val="28"/>
          <w:szCs w:val="28"/>
          <w:lang w:bidi="ar-EG"/>
          <w14:ligatures w14:val="none"/>
        </w:rPr>
        <w:t xml:space="preserve"> Chowdhury et al. (2023)</w:t>
      </w:r>
      <w:r w:rsidRPr="00C330FB">
        <w:rPr>
          <w:rFonts w:ascii="Simplified Arabic" w:eastAsia="Times New Roman" w:hAnsi="Simplified Arabic" w:cs="Simplified Arabic"/>
          <w:color w:val="000000" w:themeColor="text1"/>
          <w:kern w:val="0"/>
          <w:sz w:val="28"/>
          <w:szCs w:val="28"/>
          <w:rtl/>
          <w14:ligatures w14:val="none"/>
        </w:rPr>
        <w:t>، عبر تبني تقنيات سلاسل الكتل في تعزيز شفافية العمليات وتقليل فرص التلاعب، خاصةً في سلاسل التوريد المرتبطة بنشاط شركات التأمين</w:t>
      </w:r>
      <w:r w:rsidRPr="00C330FB">
        <w:rPr>
          <w:rFonts w:ascii="Simplified Arabic" w:eastAsia="Times New Roman" w:hAnsi="Simplified Arabic" w:cs="Simplified Arabic"/>
          <w:color w:val="000000" w:themeColor="text1"/>
          <w:kern w:val="0"/>
          <w:sz w:val="28"/>
          <w:szCs w:val="28"/>
          <w:lang w:bidi="ar-EG"/>
          <w14:ligatures w14:val="none"/>
        </w:rPr>
        <w:t>.</w:t>
      </w:r>
    </w:p>
    <w:p w14:paraId="5817AD6E" w14:textId="3339693B"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0" w:name="_Toc233816299"/>
      <w:r w:rsidRPr="00C330FB">
        <w:rPr>
          <w:rFonts w:ascii="Simplified Arabic" w:eastAsia="Times New Roman" w:hAnsi="Simplified Arabic" w:cs="Simplified Arabic" w:hint="cs"/>
          <w:b/>
          <w:bCs/>
          <w:color w:val="000000" w:themeColor="text1"/>
          <w:kern w:val="0"/>
          <w:sz w:val="32"/>
          <w:szCs w:val="32"/>
          <w:rtl/>
          <w14:ligatures w14:val="none"/>
        </w:rPr>
        <w:t xml:space="preserve">7.2.2 </w:t>
      </w:r>
      <w:r w:rsidR="002A726B" w:rsidRPr="00C330FB">
        <w:rPr>
          <w:rFonts w:ascii="Simplified Arabic" w:eastAsia="Times New Roman" w:hAnsi="Simplified Arabic" w:cs="Simplified Arabic"/>
          <w:b/>
          <w:bCs/>
          <w:color w:val="000000" w:themeColor="text1"/>
          <w:kern w:val="0"/>
          <w:sz w:val="32"/>
          <w:szCs w:val="32"/>
          <w:rtl/>
          <w14:ligatures w14:val="none"/>
        </w:rPr>
        <w:t>مصادر المخاطر التشغيلية في شركات التأمين</w:t>
      </w:r>
      <w:bookmarkEnd w:id="40"/>
    </w:p>
    <w:p w14:paraId="1F652716"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 xml:space="preserve">تتوزع مصادر المخاطر التشغيلية في شركات التأمين على أربعة مصادر رئيسية وفق التصنيف المعتمد دوليًا. ويتمثل المصدر الأول في العمليات الداخلية، التي تنشأ منها مخاطر تتصل بقصور الإجراءات أو ضعف الضوابط أو عدم كفاية التوثيق. ويتمثل المصدر الثاني في الأفراد، إذ تنشأ مخاطر من الأخطاء البشرية أو الاحتيال الداخلي أو نقص الكفاءة أو ضعف الالتزام بالسياسات. ويتمثل المصدر الثالث في الأنظمة، إذ تنشأ مخاطر من أعطال البنية التحتية التقنية أو الاختراقات السيبرانية أو ضعف أمن البيانات. ويتمثل المصدر الرابع في الأحداث الخارجية، إذ تنشأ مخاطر من الكوارث الطبيعية والظواهر المناخية القصوى والتغيرات التشريعية والاضطرابات الاقتصادية. ويُشير </w:t>
      </w:r>
      <w:proofErr w:type="spellStart"/>
      <w:r w:rsidRPr="00C330FB">
        <w:rPr>
          <w:rFonts w:ascii="Simplified Arabic" w:eastAsia="Times New Roman" w:hAnsi="Simplified Arabic" w:cs="Simplified Arabic"/>
          <w:color w:val="000000" w:themeColor="text1"/>
          <w:kern w:val="0"/>
          <w:sz w:val="28"/>
          <w:szCs w:val="28"/>
          <w:rtl/>
          <w14:ligatures w14:val="none"/>
        </w:rPr>
        <w:t>الكلش</w:t>
      </w:r>
      <w:proofErr w:type="spellEnd"/>
      <w:r w:rsidRPr="00C330FB">
        <w:rPr>
          <w:rFonts w:ascii="Simplified Arabic" w:eastAsia="Times New Roman" w:hAnsi="Simplified Arabic" w:cs="Simplified Arabic"/>
          <w:color w:val="000000" w:themeColor="text1"/>
          <w:kern w:val="0"/>
          <w:sz w:val="28"/>
          <w:szCs w:val="28"/>
          <w:rtl/>
          <w14:ligatures w14:val="none"/>
        </w:rPr>
        <w:t xml:space="preserve"> (٢٠٢٥) إلى أن هذا التصنيف الرباعي يُمثل الإطار المعتمد عالميًا في إدارة المخاطر التشغيلية، وأن كل مصدر يستلزم أدوات قياس ومعالجة مختلفة</w:t>
      </w:r>
      <w:r w:rsidRPr="00C330FB">
        <w:rPr>
          <w:rFonts w:ascii="Simplified Arabic" w:eastAsia="Times New Roman" w:hAnsi="Simplified Arabic" w:cs="Simplified Arabic"/>
          <w:color w:val="000000" w:themeColor="text1"/>
          <w:kern w:val="0"/>
          <w:sz w:val="28"/>
          <w:szCs w:val="28"/>
          <w:lang w:bidi="ar-EG"/>
          <w14:ligatures w14:val="none"/>
        </w:rPr>
        <w:t>.</w:t>
      </w:r>
    </w:p>
    <w:p w14:paraId="06992D78" w14:textId="33E31150" w:rsidR="002A726B" w:rsidRPr="00C330FB" w:rsidRDefault="00EC3F4A" w:rsidP="00EC3F4A">
      <w:pPr>
        <w:spacing w:before="100" w:beforeAutospacing="1" w:after="100" w:afterAutospacing="1" w:line="276" w:lineRule="auto"/>
        <w:jc w:val="both"/>
        <w:outlineLvl w:val="2"/>
        <w:rPr>
          <w:rFonts w:ascii="Simplified Arabic" w:eastAsia="Times New Roman" w:hAnsi="Simplified Arabic" w:cs="Simplified Arabic"/>
          <w:b/>
          <w:bCs/>
          <w:color w:val="000000" w:themeColor="text1"/>
          <w:kern w:val="0"/>
          <w:sz w:val="32"/>
          <w:szCs w:val="32"/>
          <w:lang w:bidi="ar-EG"/>
          <w14:ligatures w14:val="none"/>
        </w:rPr>
      </w:pPr>
      <w:bookmarkStart w:id="41" w:name="_Toc233816300"/>
      <w:r w:rsidRPr="00C330FB">
        <w:rPr>
          <w:rFonts w:ascii="Simplified Arabic" w:eastAsia="Times New Roman" w:hAnsi="Simplified Arabic" w:cs="Simplified Arabic" w:hint="cs"/>
          <w:b/>
          <w:bCs/>
          <w:color w:val="000000" w:themeColor="text1"/>
          <w:kern w:val="0"/>
          <w:sz w:val="32"/>
          <w:szCs w:val="32"/>
          <w:rtl/>
          <w14:ligatures w14:val="none"/>
        </w:rPr>
        <w:t xml:space="preserve">8.2.2 </w:t>
      </w:r>
      <w:r w:rsidR="002A726B" w:rsidRPr="00C330FB">
        <w:rPr>
          <w:rFonts w:ascii="Simplified Arabic" w:eastAsia="Times New Roman" w:hAnsi="Simplified Arabic" w:cs="Simplified Arabic"/>
          <w:b/>
          <w:bCs/>
          <w:color w:val="000000" w:themeColor="text1"/>
          <w:kern w:val="0"/>
          <w:sz w:val="32"/>
          <w:szCs w:val="32"/>
          <w:rtl/>
          <w14:ligatures w14:val="none"/>
        </w:rPr>
        <w:t>التوجهات الحديثة في إدارة المخاطر التشغيلية</w:t>
      </w:r>
      <w:bookmarkEnd w:id="41"/>
    </w:p>
    <w:p w14:paraId="3D720A1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تتجه إدارة المخاطر التشغيلية في الوقت الراهن نحو عدة توجهات حديثة، أبرزها التحول من المقاربات الوصفية إلى المقاربات التنبؤية، عبر استثمار البيانات الضخمة والذكاء الاصطناعي في توقع الأحداث قبل وقوعها. ويُبيّن</w:t>
      </w:r>
      <w:r w:rsidRPr="00C330FB">
        <w:rPr>
          <w:rFonts w:ascii="Simplified Arabic" w:eastAsia="Times New Roman" w:hAnsi="Simplified Arabic" w:cs="Simplified Arabic"/>
          <w:color w:val="000000" w:themeColor="text1"/>
          <w:kern w:val="0"/>
          <w:sz w:val="28"/>
          <w:szCs w:val="28"/>
          <w:lang w:bidi="ar-EG"/>
          <w14:ligatures w14:val="none"/>
        </w:rPr>
        <w:t xml:space="preserve"> Adekunle et al. (2021) </w:t>
      </w:r>
      <w:r w:rsidRPr="00C330FB">
        <w:rPr>
          <w:rFonts w:ascii="Simplified Arabic" w:eastAsia="Times New Roman" w:hAnsi="Simplified Arabic" w:cs="Simplified Arabic"/>
          <w:color w:val="000000" w:themeColor="text1"/>
          <w:kern w:val="0"/>
          <w:sz w:val="28"/>
          <w:szCs w:val="28"/>
          <w:rtl/>
          <w14:ligatures w14:val="none"/>
        </w:rPr>
        <w:t xml:space="preserve">أن النمذجة التنبؤية باتت تُمثل أحد أبرز التوجهات في </w:t>
      </w:r>
      <w:r w:rsidRPr="00C330FB">
        <w:rPr>
          <w:rFonts w:ascii="Simplified Arabic" w:eastAsia="Times New Roman" w:hAnsi="Simplified Arabic" w:cs="Simplified Arabic"/>
          <w:color w:val="000000" w:themeColor="text1"/>
          <w:kern w:val="0"/>
          <w:sz w:val="28"/>
          <w:szCs w:val="28"/>
          <w:rtl/>
          <w14:ligatures w14:val="none"/>
        </w:rPr>
        <w:lastRenderedPageBreak/>
        <w:t>تحسين العمليات والحدّ من المخاطر التشغيلية. ويُضيف</w:t>
      </w:r>
      <w:r w:rsidRPr="00C330FB">
        <w:rPr>
          <w:rFonts w:ascii="Simplified Arabic" w:eastAsia="Times New Roman" w:hAnsi="Simplified Arabic" w:cs="Simplified Arabic"/>
          <w:color w:val="000000" w:themeColor="text1"/>
          <w:kern w:val="0"/>
          <w:sz w:val="28"/>
          <w:szCs w:val="28"/>
          <w:lang w:bidi="ar-EG"/>
          <w14:ligatures w14:val="none"/>
        </w:rPr>
        <w:t xml:space="preserve"> Yin et al. (2024) </w:t>
      </w:r>
      <w:r w:rsidRPr="00C330FB">
        <w:rPr>
          <w:rFonts w:ascii="Simplified Arabic" w:eastAsia="Times New Roman" w:hAnsi="Simplified Arabic" w:cs="Simplified Arabic"/>
          <w:color w:val="000000" w:themeColor="text1"/>
          <w:kern w:val="0"/>
          <w:sz w:val="28"/>
          <w:szCs w:val="28"/>
          <w:rtl/>
          <w14:ligatures w14:val="none"/>
        </w:rPr>
        <w:t>أن التحول الرقمي يُعيد تشكيل منظومة إدارة المخاطر التشغيلية، عبر تزويدها بأدوات معالجة معلومات أكثر تطورًا</w:t>
      </w:r>
      <w:r w:rsidRPr="00C330FB">
        <w:rPr>
          <w:rFonts w:ascii="Simplified Arabic" w:eastAsia="Times New Roman" w:hAnsi="Simplified Arabic" w:cs="Simplified Arabic"/>
          <w:color w:val="000000" w:themeColor="text1"/>
          <w:kern w:val="0"/>
          <w:sz w:val="28"/>
          <w:szCs w:val="28"/>
          <w:lang w:bidi="ar-EG"/>
          <w14:ligatures w14:val="none"/>
        </w:rPr>
        <w:t>.</w:t>
      </w:r>
    </w:p>
    <w:p w14:paraId="5AFA08B8" w14:textId="77777777" w:rsidR="002A726B" w:rsidRPr="00C330FB" w:rsidRDefault="002A726B" w:rsidP="005F3EA8">
      <w:pPr>
        <w:spacing w:before="100" w:beforeAutospacing="1" w:after="100" w:afterAutospacing="1" w:line="276" w:lineRule="auto"/>
        <w:ind w:firstLine="424"/>
        <w:jc w:val="both"/>
        <w:rPr>
          <w:rFonts w:ascii="Simplified Arabic" w:eastAsia="Times New Roman" w:hAnsi="Simplified Arabic" w:cs="Simplified Arabic"/>
          <w:color w:val="000000" w:themeColor="text1"/>
          <w:kern w:val="0"/>
          <w:sz w:val="28"/>
          <w:szCs w:val="28"/>
          <w:lang w:bidi="ar-EG"/>
          <w14:ligatures w14:val="none"/>
        </w:rPr>
      </w:pPr>
      <w:r w:rsidRPr="00C330FB">
        <w:rPr>
          <w:rFonts w:ascii="Simplified Arabic" w:eastAsia="Times New Roman" w:hAnsi="Simplified Arabic" w:cs="Simplified Arabic"/>
          <w:color w:val="000000" w:themeColor="text1"/>
          <w:kern w:val="0"/>
          <w:sz w:val="28"/>
          <w:szCs w:val="28"/>
          <w:rtl/>
          <w14:ligatures w14:val="none"/>
        </w:rPr>
        <w:t>ويتجه المجال كذلك نحو تعميق ارتباط إدارة المخاطر بالأداء المالي، كما يُبيّن</w:t>
      </w:r>
      <w:r w:rsidRPr="00C330FB">
        <w:rPr>
          <w:rFonts w:ascii="Simplified Arabic" w:eastAsia="Times New Roman" w:hAnsi="Simplified Arabic" w:cs="Simplified Arabic"/>
          <w:color w:val="000000" w:themeColor="text1"/>
          <w:kern w:val="0"/>
          <w:sz w:val="28"/>
          <w:szCs w:val="28"/>
          <w:lang w:bidi="ar-EG"/>
          <w14:ligatures w14:val="none"/>
        </w:rPr>
        <w:t xml:space="preserve"> </w:t>
      </w:r>
      <w:proofErr w:type="spellStart"/>
      <w:r w:rsidRPr="00C330FB">
        <w:rPr>
          <w:rFonts w:ascii="Simplified Arabic" w:eastAsia="Times New Roman" w:hAnsi="Simplified Arabic" w:cs="Simplified Arabic"/>
          <w:color w:val="000000" w:themeColor="text1"/>
          <w:kern w:val="0"/>
          <w:sz w:val="28"/>
          <w:szCs w:val="28"/>
          <w:lang w:bidi="ar-EG"/>
          <w14:ligatures w14:val="none"/>
        </w:rPr>
        <w:t>Ko</w:t>
      </w:r>
      <w:r w:rsidRPr="00C330FB">
        <w:rPr>
          <w:rFonts w:ascii="Cambria" w:eastAsia="Times New Roman" w:hAnsi="Cambria" w:cs="Cambria"/>
          <w:color w:val="000000" w:themeColor="text1"/>
          <w:kern w:val="0"/>
          <w:sz w:val="28"/>
          <w:szCs w:val="28"/>
          <w:lang w:bidi="ar-EG"/>
          <w14:ligatures w14:val="none"/>
        </w:rPr>
        <w:t>č</w:t>
      </w:r>
      <w:r w:rsidRPr="00C330FB">
        <w:rPr>
          <w:rFonts w:ascii="Simplified Arabic" w:eastAsia="Times New Roman" w:hAnsi="Simplified Arabic" w:cs="Simplified Arabic"/>
          <w:color w:val="000000" w:themeColor="text1"/>
          <w:kern w:val="0"/>
          <w:sz w:val="28"/>
          <w:szCs w:val="28"/>
          <w:lang w:bidi="ar-EG"/>
          <w14:ligatures w14:val="none"/>
        </w:rPr>
        <w:t>išov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Mišankov</w:t>
      </w:r>
      <w:r w:rsidRPr="00C330FB">
        <w:rPr>
          <w:rFonts w:ascii="Cambria" w:eastAsia="Times New Roman" w:hAnsi="Cambria" w:cs="Cambria"/>
          <w:color w:val="000000" w:themeColor="text1"/>
          <w:kern w:val="0"/>
          <w:sz w:val="28"/>
          <w:szCs w:val="28"/>
          <w:lang w:bidi="ar-EG"/>
          <w14:ligatures w14:val="none"/>
        </w:rPr>
        <w:t>á</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(2023)</w:t>
      </w:r>
      <w:r w:rsidRPr="00C330FB">
        <w:rPr>
          <w:rFonts w:ascii="Simplified Arabic" w:eastAsia="Times New Roman" w:hAnsi="Simplified Arabic" w:cs="Simplified Arabic"/>
          <w:color w:val="000000" w:themeColor="text1"/>
          <w:kern w:val="0"/>
          <w:sz w:val="28"/>
          <w:szCs w:val="28"/>
          <w:rtl/>
          <w14:ligatures w14:val="none"/>
        </w:rPr>
        <w:t>، بحيث تتحول من وظيفة دفاعية إلى رافعة لتحسين الأداء. ويتجه نحو الربط بين إدارة المخاطر والمسؤولية الاجتماعية، كما يطرحه</w:t>
      </w:r>
      <w:r w:rsidRPr="00C330FB">
        <w:rPr>
          <w:rFonts w:ascii="Simplified Arabic" w:eastAsia="Times New Roman" w:hAnsi="Simplified Arabic" w:cs="Simplified Arabic"/>
          <w:color w:val="000000" w:themeColor="text1"/>
          <w:kern w:val="0"/>
          <w:sz w:val="28"/>
          <w:szCs w:val="28"/>
          <w:lang w:bidi="ar-EG"/>
          <w14:ligatures w14:val="none"/>
        </w:rPr>
        <w:t xml:space="preserve"> Li et al. (2021)</w:t>
      </w:r>
      <w:r w:rsidRPr="00C330FB">
        <w:rPr>
          <w:rFonts w:ascii="Simplified Arabic" w:eastAsia="Times New Roman" w:hAnsi="Simplified Arabic" w:cs="Simplified Arabic"/>
          <w:color w:val="000000" w:themeColor="text1"/>
          <w:kern w:val="0"/>
          <w:sz w:val="28"/>
          <w:szCs w:val="28"/>
          <w:rtl/>
          <w14:ligatures w14:val="none"/>
        </w:rPr>
        <w:t>، إذ إن الأداء البيئي والاجتماعي للشركات يرتبط بمستوى المخاطر غير المنتظمة فيها. ويتجه أيضًا نحو إدارة المخاطر في أوقات الكوارث، كما يُبيّن</w:t>
      </w:r>
      <w:r w:rsidRPr="00C330FB">
        <w:rPr>
          <w:rFonts w:ascii="Simplified Arabic" w:eastAsia="Times New Roman" w:hAnsi="Simplified Arabic" w:cs="Simplified Arabic"/>
          <w:color w:val="000000" w:themeColor="text1"/>
          <w:kern w:val="0"/>
          <w:sz w:val="28"/>
          <w:szCs w:val="28"/>
          <w:lang w:bidi="ar-EG"/>
          <w14:ligatures w14:val="none"/>
        </w:rPr>
        <w:t xml:space="preserve"> Mahembe &amp; </w:t>
      </w:r>
      <w:proofErr w:type="spellStart"/>
      <w:r w:rsidRPr="00C330FB">
        <w:rPr>
          <w:rFonts w:ascii="Simplified Arabic" w:eastAsia="Times New Roman" w:hAnsi="Simplified Arabic" w:cs="Simplified Arabic"/>
          <w:color w:val="000000" w:themeColor="text1"/>
          <w:kern w:val="0"/>
          <w:sz w:val="28"/>
          <w:szCs w:val="28"/>
          <w:lang w:bidi="ar-EG"/>
          <w14:ligatures w14:val="none"/>
        </w:rPr>
        <w:t>Mutezo</w:t>
      </w:r>
      <w:proofErr w:type="spellEnd"/>
      <w:r w:rsidRPr="00C330FB">
        <w:rPr>
          <w:rFonts w:ascii="Simplified Arabic" w:eastAsia="Times New Roman" w:hAnsi="Simplified Arabic" w:cs="Simplified Arabic"/>
          <w:color w:val="000000" w:themeColor="text1"/>
          <w:kern w:val="0"/>
          <w:sz w:val="28"/>
          <w:szCs w:val="28"/>
          <w:lang w:bidi="ar-EG"/>
          <w14:ligatures w14:val="none"/>
        </w:rPr>
        <w:t xml:space="preserve"> (2025)</w:t>
      </w:r>
      <w:r w:rsidRPr="00C330FB">
        <w:rPr>
          <w:rFonts w:ascii="Simplified Arabic" w:eastAsia="Times New Roman" w:hAnsi="Simplified Arabic" w:cs="Simplified Arabic"/>
          <w:color w:val="000000" w:themeColor="text1"/>
          <w:kern w:val="0"/>
          <w:sz w:val="28"/>
          <w:szCs w:val="28"/>
          <w:rtl/>
          <w14:ligatures w14:val="none"/>
        </w:rPr>
        <w:t>، عبر بناء منظومات استجابة سريعة تُتيح للمؤسسات الاستمرار في ظل الظروف الاستثنائية</w:t>
      </w:r>
      <w:r w:rsidRPr="00C330FB">
        <w:rPr>
          <w:rFonts w:ascii="Simplified Arabic" w:eastAsia="Times New Roman" w:hAnsi="Simplified Arabic" w:cs="Simplified Arabic"/>
          <w:color w:val="000000" w:themeColor="text1"/>
          <w:kern w:val="0"/>
          <w:sz w:val="28"/>
          <w:szCs w:val="28"/>
          <w:lang w:bidi="ar-EG"/>
          <w14:ligatures w14:val="none"/>
        </w:rPr>
        <w:t>.</w:t>
      </w:r>
    </w:p>
    <w:p w14:paraId="227E99A1" w14:textId="19DC8C48" w:rsidR="009F793B" w:rsidRPr="00C330FB" w:rsidRDefault="00EC3F4A" w:rsidP="00043780">
      <w:pPr>
        <w:jc w:val="center"/>
        <w:outlineLvl w:val="0"/>
        <w:rPr>
          <w:rFonts w:ascii="Simplified Arabic" w:hAnsi="Simplified Arabic" w:cs="Simplified Arabic"/>
          <w:b/>
          <w:bCs/>
          <w:color w:val="000000" w:themeColor="text1"/>
          <w:szCs w:val="28"/>
          <w:rtl/>
        </w:rPr>
        <w:sectPr w:rsidR="009F793B" w:rsidRPr="00C330FB" w:rsidSect="005F3EA8">
          <w:footerReference w:type="default" r:id="rId11"/>
          <w:pgSz w:w="11906" w:h="16838" w:code="9"/>
          <w:pgMar w:top="1134" w:right="1701" w:bottom="1134" w:left="1134" w:header="720" w:footer="720" w:gutter="0"/>
          <w:pgNumType w:start="1"/>
          <w:cols w:space="708"/>
          <w:bidi/>
          <w:rtlGutter/>
          <w:docGrid w:linePitch="360"/>
        </w:sectPr>
      </w:pPr>
      <w:r w:rsidRPr="00C330FB">
        <w:rPr>
          <w:rFonts w:ascii="Simplified Arabic" w:eastAsia="Times New Roman" w:hAnsi="Simplified Arabic" w:cs="Simplified Arabic"/>
          <w:b/>
          <w:bCs/>
          <w:color w:val="000000" w:themeColor="text1"/>
          <w:kern w:val="0"/>
          <w:sz w:val="40"/>
          <w:szCs w:val="40"/>
          <w:rtl/>
          <w:lang w:bidi="ar-EG"/>
          <w14:ligatures w14:val="none"/>
        </w:rPr>
        <w:br w:type="page"/>
      </w:r>
      <w:bookmarkEnd w:id="18"/>
    </w:p>
    <w:p w14:paraId="29D4231B" w14:textId="30799B5C" w:rsidR="0081623B" w:rsidRPr="00C330FB" w:rsidRDefault="00246C3F" w:rsidP="009F793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330FB">
        <w:rPr>
          <w:rFonts w:asciiTheme="majorBidi" w:hAnsiTheme="majorBidi" w:cstheme="majorBidi"/>
          <w:b/>
          <w:bCs/>
          <w:noProof/>
          <w:color w:val="000000" w:themeColor="text1"/>
          <w:sz w:val="32"/>
          <w:szCs w:val="32"/>
        </w:rPr>
        <w:lastRenderedPageBreak/>
        <w:drawing>
          <wp:anchor distT="0" distB="0" distL="114300" distR="114300" simplePos="0" relativeHeight="251658240" behindDoc="1" locked="0" layoutInCell="1" allowOverlap="1" wp14:anchorId="76B23884" wp14:editId="234BF47F">
            <wp:simplePos x="0" y="0"/>
            <wp:positionH relativeFrom="column">
              <wp:posOffset>4248150</wp:posOffset>
            </wp:positionH>
            <wp:positionV relativeFrom="paragraph">
              <wp:posOffset>0</wp:posOffset>
            </wp:positionV>
            <wp:extent cx="1556385" cy="1442085"/>
            <wp:effectExtent l="0" t="0" r="5715" b="5715"/>
            <wp:wrapTight wrapText="bothSides">
              <wp:wrapPolygon edited="0">
                <wp:start x="0" y="0"/>
                <wp:lineTo x="0" y="21400"/>
                <wp:lineTo x="21415" y="21400"/>
                <wp:lineTo x="21415" y="0"/>
                <wp:lineTo x="0" y="0"/>
              </wp:wrapPolygon>
            </wp:wrapTight>
            <wp:docPr id="1889337374"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56385" cy="1442085"/>
                    </a:xfrm>
                    <a:prstGeom prst="rect">
                      <a:avLst/>
                    </a:prstGeom>
                    <a:noFill/>
                  </pic:spPr>
                </pic:pic>
              </a:graphicData>
            </a:graphic>
            <wp14:sizeRelH relativeFrom="margin">
              <wp14:pctWidth>0</wp14:pctWidth>
            </wp14:sizeRelH>
            <wp14:sizeRelV relativeFrom="margin">
              <wp14:pctHeight>0</wp14:pctHeight>
            </wp14:sizeRelV>
          </wp:anchor>
        </w:drawing>
      </w:r>
      <w:r w:rsidRPr="00C330FB">
        <w:rPr>
          <w:rFonts w:asciiTheme="majorBidi" w:eastAsia="Calibri" w:hAnsiTheme="majorBidi" w:cstheme="majorBidi"/>
          <w:b/>
          <w:bCs/>
          <w:color w:val="000000" w:themeColor="text1"/>
          <w:kern w:val="0"/>
          <w:sz w:val="32"/>
          <w:szCs w:val="32"/>
          <w:lang w:bidi="ar-EG"/>
          <w14:ligatures w14:val="none"/>
        </w:rPr>
        <w:t xml:space="preserve">Mid </w:t>
      </w:r>
      <w:r w:rsidR="0081623B" w:rsidRPr="00C330FB">
        <w:rPr>
          <w:rFonts w:asciiTheme="majorBidi" w:eastAsia="Calibri" w:hAnsiTheme="majorBidi" w:cstheme="majorBidi"/>
          <w:b/>
          <w:bCs/>
          <w:color w:val="000000" w:themeColor="text1"/>
          <w:kern w:val="0"/>
          <w:sz w:val="32"/>
          <w:szCs w:val="32"/>
          <w:lang w:bidi="ar-EG"/>
          <w14:ligatures w14:val="none"/>
        </w:rPr>
        <w:t>Ocean University</w:t>
      </w:r>
    </w:p>
    <w:p w14:paraId="4A539B4C" w14:textId="1DCB78E7" w:rsidR="0081623B" w:rsidRPr="00C330FB" w:rsidRDefault="0081623B" w:rsidP="009F793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lang w:bidi="ar-EG"/>
          <w14:ligatures w14:val="none"/>
        </w:rPr>
      </w:pPr>
      <w:r w:rsidRPr="00C330FB">
        <w:rPr>
          <w:rFonts w:asciiTheme="majorBidi" w:eastAsia="Calibri" w:hAnsiTheme="majorBidi" w:cstheme="majorBidi"/>
          <w:b/>
          <w:bCs/>
          <w:color w:val="000000" w:themeColor="text1"/>
          <w:kern w:val="0"/>
          <w:sz w:val="32"/>
          <w:szCs w:val="32"/>
          <w:lang w:bidi="ar-EG"/>
          <w14:ligatures w14:val="none"/>
        </w:rPr>
        <w:t>College of Management</w:t>
      </w:r>
    </w:p>
    <w:p w14:paraId="1F6A29C8" w14:textId="75234432" w:rsidR="00E66E20" w:rsidRPr="00C330FB" w:rsidRDefault="00857739" w:rsidP="009F793B">
      <w:pPr>
        <w:bidi w:val="0"/>
        <w:spacing w:before="100" w:beforeAutospacing="1" w:after="100" w:afterAutospacing="1" w:line="276" w:lineRule="auto"/>
        <w:jc w:val="both"/>
        <w:rPr>
          <w:rFonts w:asciiTheme="majorBidi" w:eastAsia="Calibri" w:hAnsiTheme="majorBidi" w:cstheme="majorBidi"/>
          <w:b/>
          <w:bCs/>
          <w:color w:val="000000" w:themeColor="text1"/>
          <w:kern w:val="0"/>
          <w:sz w:val="32"/>
          <w:szCs w:val="32"/>
          <w14:ligatures w14:val="none"/>
        </w:rPr>
      </w:pPr>
      <w:r w:rsidRPr="00C330FB">
        <w:rPr>
          <w:rFonts w:asciiTheme="majorBidi" w:eastAsia="Calibri" w:hAnsiTheme="majorBidi" w:cstheme="majorBidi"/>
          <w:b/>
          <w:bCs/>
          <w:color w:val="000000" w:themeColor="text1"/>
          <w:kern w:val="0"/>
          <w:sz w:val="32"/>
          <w:szCs w:val="32"/>
          <w:lang w:bidi="ar-EG"/>
          <w14:ligatures w14:val="none"/>
        </w:rPr>
        <w:t xml:space="preserve">Department of </w:t>
      </w:r>
      <w:r w:rsidR="00E66E20" w:rsidRPr="00C330FB">
        <w:rPr>
          <w:rFonts w:asciiTheme="majorBidi" w:eastAsia="Calibri" w:hAnsiTheme="majorBidi" w:cstheme="majorBidi"/>
          <w:b/>
          <w:bCs/>
          <w:color w:val="000000" w:themeColor="text1"/>
          <w:kern w:val="0"/>
          <w:sz w:val="32"/>
          <w:szCs w:val="32"/>
          <w14:ligatures w14:val="none"/>
        </w:rPr>
        <w:t>business administration</w:t>
      </w:r>
    </w:p>
    <w:p w14:paraId="0CBE22B0" w14:textId="77777777" w:rsidR="00CC6261" w:rsidRPr="00C330FB" w:rsidRDefault="00CC6261" w:rsidP="005F3EA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31EC66CD" w14:textId="77777777" w:rsidR="009E1558" w:rsidRPr="00C330FB" w:rsidRDefault="009E1558"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40"/>
          <w:szCs w:val="40"/>
          <w:lang w:bidi="ar-EG"/>
          <w14:ligatures w14:val="none"/>
        </w:rPr>
      </w:pPr>
      <w:r w:rsidRPr="00C330FB">
        <w:rPr>
          <w:rFonts w:asciiTheme="majorBidi" w:eastAsia="Calibri" w:hAnsiTheme="majorBidi" w:cstheme="majorBidi"/>
          <w:b/>
          <w:bCs/>
          <w:color w:val="000000" w:themeColor="text1"/>
          <w:kern w:val="0"/>
          <w:sz w:val="40"/>
          <w:szCs w:val="40"/>
          <w:lang w:bidi="ar-EG"/>
          <w14:ligatures w14:val="none"/>
        </w:rPr>
        <w:t>The Impact of Using Meteorological Data in Risk Management on Reducing Operational Risks: A Field Study on Meteorological Centers in the Kingdom of Saudi Arabia</w:t>
      </w:r>
    </w:p>
    <w:p w14:paraId="7C15ACE1"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p w14:paraId="24532F5F" w14:textId="0DB20700" w:rsidR="000D353F" w:rsidRPr="00C330FB" w:rsidRDefault="000D353F"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r w:rsidRPr="00C330FB">
        <w:rPr>
          <w:rFonts w:asciiTheme="majorBidi" w:eastAsia="Calibri" w:hAnsiTheme="majorBidi" w:cstheme="majorBidi"/>
          <w:b/>
          <w:bCs/>
          <w:color w:val="000000" w:themeColor="text1"/>
          <w:kern w:val="0"/>
          <w:sz w:val="36"/>
          <w:szCs w:val="36"/>
          <w:lang w:bidi="ar-EG"/>
          <w14:ligatures w14:val="none"/>
        </w:rPr>
        <w:t>Prepared by:</w:t>
      </w:r>
    </w:p>
    <w:p w14:paraId="3869BBF9" w14:textId="08A83122" w:rsidR="009F793B" w:rsidRPr="006F7967" w:rsidRDefault="006F7967" w:rsidP="006F7967">
      <w:pPr>
        <w:spacing w:line="276" w:lineRule="auto"/>
        <w:jc w:val="center"/>
        <w:rPr>
          <w:rFonts w:ascii="Simplified Arabic" w:hAnsi="Simplified Arabic" w:cs="Simplified Arabic"/>
          <w:sz w:val="28"/>
          <w:szCs w:val="28"/>
          <w:rtl/>
          <w:lang w:bidi="ar-EG"/>
        </w:rPr>
      </w:pPr>
      <w:r w:rsidRPr="006F7967">
        <w:rPr>
          <w:rFonts w:asciiTheme="majorBidi" w:eastAsia="Calibri" w:hAnsiTheme="majorBidi" w:cstheme="majorBidi"/>
          <w:b/>
          <w:bCs/>
          <w:color w:val="000000" w:themeColor="text1"/>
          <w:kern w:val="0"/>
          <w:sz w:val="36"/>
          <w:szCs w:val="36"/>
          <w:lang w:bidi="ar-EG"/>
          <w14:ligatures w14:val="none"/>
        </w:rPr>
        <w:t>Ibrahim Abdullah</w:t>
      </w:r>
      <w:r>
        <w:rPr>
          <w:rFonts w:ascii="Simplified Arabic" w:hAnsi="Simplified Arabic" w:cs="Simplified Arabic"/>
          <w:sz w:val="28"/>
          <w:szCs w:val="28"/>
          <w:lang w:bidi="ar-EG"/>
        </w:rPr>
        <w:t xml:space="preserve"> </w:t>
      </w:r>
      <w:r w:rsidRPr="006F7967">
        <w:rPr>
          <w:rFonts w:asciiTheme="majorBidi" w:eastAsia="Calibri" w:hAnsiTheme="majorBidi" w:cstheme="majorBidi"/>
          <w:b/>
          <w:bCs/>
          <w:color w:val="000000" w:themeColor="text1"/>
          <w:kern w:val="0"/>
          <w:sz w:val="36"/>
          <w:szCs w:val="36"/>
          <w:lang w:bidi="ar-EG"/>
          <w14:ligatures w14:val="none"/>
        </w:rPr>
        <w:t>Abdulrab</w:t>
      </w:r>
      <w:r w:rsidRPr="006F7967">
        <w:rPr>
          <w:rFonts w:asciiTheme="majorBidi" w:eastAsia="Calibri" w:hAnsiTheme="majorBidi" w:cstheme="majorBidi" w:hint="cs"/>
          <w:b/>
          <w:bCs/>
          <w:color w:val="000000" w:themeColor="text1"/>
          <w:kern w:val="0"/>
          <w:sz w:val="36"/>
          <w:szCs w:val="36"/>
          <w:rtl/>
          <w:lang w:bidi="ar-EG"/>
          <w14:ligatures w14:val="none"/>
        </w:rPr>
        <w:t xml:space="preserve"> /</w:t>
      </w:r>
      <w:r>
        <w:rPr>
          <w:rFonts w:ascii="Simplified Arabic" w:hAnsi="Simplified Arabic" w:cs="Simplified Arabic" w:hint="cs"/>
          <w:sz w:val="28"/>
          <w:szCs w:val="28"/>
          <w:rtl/>
          <w:lang w:bidi="ar-EG"/>
        </w:rPr>
        <w:t xml:space="preserve"> </w:t>
      </w:r>
      <w:r w:rsidRPr="006F7967">
        <w:rPr>
          <w:rFonts w:asciiTheme="majorBidi" w:eastAsia="Calibri" w:hAnsiTheme="majorBidi" w:cstheme="majorBidi"/>
          <w:b/>
          <w:bCs/>
          <w:color w:val="000000" w:themeColor="text1"/>
          <w:kern w:val="0"/>
          <w:sz w:val="36"/>
          <w:szCs w:val="36"/>
          <w:lang w:bidi="ar-EG"/>
          <w14:ligatures w14:val="none"/>
        </w:rPr>
        <w:t>253000909</w:t>
      </w:r>
    </w:p>
    <w:p w14:paraId="4B5D1F24"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rtl/>
          <w:lang w:bidi="ar-EG"/>
          <w14:ligatures w14:val="none"/>
        </w:rPr>
      </w:pP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9F793B" w:rsidRPr="00C330FB" w14:paraId="11052888" w14:textId="77777777" w:rsidTr="009F793B">
        <w:tc>
          <w:tcPr>
            <w:tcW w:w="4530" w:type="dxa"/>
          </w:tcPr>
          <w:p w14:paraId="32C2C905"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30FB">
              <w:rPr>
                <w:rFonts w:asciiTheme="majorBidi" w:eastAsia="Calibri" w:hAnsiTheme="majorBidi" w:cstheme="majorBidi"/>
                <w:b/>
                <w:bCs/>
                <w:color w:val="000000" w:themeColor="text1"/>
                <w:kern w:val="0"/>
                <w:sz w:val="36"/>
                <w:szCs w:val="36"/>
                <w:lang w:bidi="ar-EG"/>
                <w14:ligatures w14:val="none"/>
              </w:rPr>
              <w:t>Main supervisor</w:t>
            </w:r>
            <w:r w:rsidRPr="00C330FB">
              <w:rPr>
                <w:rFonts w:asciiTheme="majorBidi" w:eastAsia="Calibri" w:hAnsiTheme="majorBidi" w:cstheme="majorBidi"/>
                <w:b/>
                <w:bCs/>
                <w:color w:val="000000" w:themeColor="text1"/>
                <w:kern w:val="0"/>
                <w:sz w:val="36"/>
                <w:szCs w:val="36"/>
                <w:rtl/>
                <w:lang w:bidi="ar-EG"/>
                <w14:ligatures w14:val="none"/>
              </w:rPr>
              <w:t>/</w:t>
            </w:r>
          </w:p>
        </w:tc>
        <w:tc>
          <w:tcPr>
            <w:tcW w:w="4531" w:type="dxa"/>
          </w:tcPr>
          <w:p w14:paraId="75A689E6"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30FB">
              <w:rPr>
                <w:rFonts w:asciiTheme="majorBidi" w:eastAsia="Calibri" w:hAnsiTheme="majorBidi" w:cstheme="majorBidi"/>
                <w:b/>
                <w:bCs/>
                <w:color w:val="000000" w:themeColor="text1"/>
                <w:kern w:val="0"/>
                <w:sz w:val="36"/>
                <w:szCs w:val="36"/>
                <w:lang w:bidi="ar-EG"/>
                <w14:ligatures w14:val="none"/>
              </w:rPr>
              <w:t>Second supervisor</w:t>
            </w:r>
            <w:r w:rsidRPr="00C330FB">
              <w:rPr>
                <w:rFonts w:asciiTheme="majorBidi" w:eastAsia="Calibri" w:hAnsiTheme="majorBidi" w:cstheme="majorBidi"/>
                <w:b/>
                <w:bCs/>
                <w:color w:val="000000" w:themeColor="text1"/>
                <w:kern w:val="0"/>
                <w:sz w:val="36"/>
                <w:szCs w:val="36"/>
                <w:rtl/>
                <w:lang w:bidi="ar-EG"/>
                <w14:ligatures w14:val="none"/>
              </w:rPr>
              <w:t>/</w:t>
            </w:r>
          </w:p>
        </w:tc>
      </w:tr>
      <w:tr w:rsidR="009F793B" w:rsidRPr="00C330FB" w14:paraId="626ECE88" w14:textId="77777777" w:rsidTr="009F793B">
        <w:tc>
          <w:tcPr>
            <w:tcW w:w="4530" w:type="dxa"/>
          </w:tcPr>
          <w:p w14:paraId="0DF09325"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30FB">
              <w:rPr>
                <w:rFonts w:asciiTheme="majorBidi" w:eastAsia="Calibri" w:hAnsiTheme="majorBidi" w:cstheme="majorBidi"/>
                <w:color w:val="000000" w:themeColor="text1"/>
                <w:kern w:val="0"/>
                <w:sz w:val="36"/>
                <w:szCs w:val="36"/>
                <w:lang w:bidi="ar-EG"/>
                <w14:ligatures w14:val="none"/>
              </w:rPr>
              <w:t>Dr. Al-Faisal Abdelhamid</w:t>
            </w:r>
          </w:p>
        </w:tc>
        <w:tc>
          <w:tcPr>
            <w:tcW w:w="4531" w:type="dxa"/>
          </w:tcPr>
          <w:p w14:paraId="6149AC96"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r w:rsidRPr="00C330FB">
              <w:rPr>
                <w:rFonts w:asciiTheme="majorBidi" w:eastAsia="Calibri" w:hAnsiTheme="majorBidi" w:cstheme="majorBidi"/>
                <w:color w:val="000000" w:themeColor="text1"/>
                <w:kern w:val="0"/>
                <w:sz w:val="36"/>
                <w:szCs w:val="36"/>
                <w:lang w:bidi="ar-EG"/>
                <w14:ligatures w14:val="none"/>
              </w:rPr>
              <w:t>Dr. Fayez Jarad</w:t>
            </w:r>
          </w:p>
        </w:tc>
      </w:tr>
    </w:tbl>
    <w:p w14:paraId="4FF621A7" w14:textId="77777777" w:rsidR="009F793B" w:rsidRPr="00C330FB" w:rsidRDefault="009F793B" w:rsidP="009F793B">
      <w:pPr>
        <w:bidi w:val="0"/>
        <w:spacing w:before="100" w:beforeAutospacing="1" w:after="100" w:afterAutospacing="1" w:line="276" w:lineRule="auto"/>
        <w:jc w:val="center"/>
        <w:rPr>
          <w:rFonts w:asciiTheme="majorBidi" w:hAnsiTheme="majorBidi" w:cstheme="majorBidi"/>
          <w:color w:val="000000" w:themeColor="text1"/>
          <w:sz w:val="36"/>
          <w:szCs w:val="36"/>
          <w:rtl/>
        </w:rPr>
      </w:pPr>
      <w:r w:rsidRPr="00C330FB">
        <w:rPr>
          <w:rFonts w:asciiTheme="majorBidi" w:eastAsia="Calibri" w:hAnsiTheme="majorBidi" w:cstheme="majorBidi"/>
          <w:color w:val="000000" w:themeColor="text1"/>
          <w:kern w:val="0"/>
          <w:sz w:val="36"/>
          <w:szCs w:val="36"/>
          <w:rtl/>
          <w:lang w:bidi="ar-EG"/>
          <w14:ligatures w14:val="none"/>
        </w:rPr>
        <w:t>1448 – 2026</w:t>
      </w:r>
    </w:p>
    <w:p w14:paraId="4E808031" w14:textId="77777777" w:rsidR="009F793B" w:rsidRPr="00C330FB" w:rsidRDefault="009F793B" w:rsidP="009F793B">
      <w:pPr>
        <w:bidi w:val="0"/>
        <w:spacing w:before="100" w:beforeAutospacing="1" w:after="100" w:afterAutospacing="1" w:line="276" w:lineRule="auto"/>
        <w:jc w:val="center"/>
        <w:rPr>
          <w:rFonts w:asciiTheme="majorBidi" w:eastAsia="Calibri" w:hAnsiTheme="majorBidi" w:cstheme="majorBidi"/>
          <w:b/>
          <w:bCs/>
          <w:color w:val="000000" w:themeColor="text1"/>
          <w:kern w:val="0"/>
          <w:sz w:val="36"/>
          <w:szCs w:val="36"/>
          <w:lang w:bidi="ar-EG"/>
          <w14:ligatures w14:val="none"/>
        </w:rPr>
      </w:pPr>
    </w:p>
    <w:p w14:paraId="7296D620" w14:textId="77777777" w:rsidR="00EA15E2" w:rsidRPr="00C330FB" w:rsidRDefault="00EA15E2" w:rsidP="005F3EA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rtl/>
          <w:lang w:bidi="ar-EG"/>
          <w14:ligatures w14:val="none"/>
        </w:rPr>
      </w:pPr>
    </w:p>
    <w:p w14:paraId="6F5DD89B" w14:textId="77777777" w:rsidR="009E1558" w:rsidRPr="00C330FB" w:rsidRDefault="009E1558" w:rsidP="005F3EA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14:ligatures w14:val="none"/>
        </w:rPr>
      </w:pPr>
    </w:p>
    <w:p w14:paraId="68287F43" w14:textId="77777777" w:rsidR="00E27D3B" w:rsidRPr="00C330FB" w:rsidRDefault="00E27D3B" w:rsidP="005F3EA8">
      <w:pPr>
        <w:bidi w:val="0"/>
        <w:spacing w:before="100" w:beforeAutospacing="1" w:after="100" w:afterAutospacing="1" w:line="276" w:lineRule="auto"/>
        <w:jc w:val="both"/>
        <w:rPr>
          <w:rFonts w:ascii="Simplified Arabic" w:eastAsia="Calibri" w:hAnsi="Simplified Arabic" w:cs="Simplified Arabic"/>
          <w:color w:val="000000" w:themeColor="text1"/>
          <w:kern w:val="0"/>
          <w:sz w:val="28"/>
          <w:szCs w:val="28"/>
          <w:lang w:bidi="ar-EG"/>
          <w14:ligatures w14:val="none"/>
        </w:rPr>
      </w:pPr>
    </w:p>
    <w:p w14:paraId="6E52896B" w14:textId="27D6F1E1" w:rsidR="009125CE" w:rsidRPr="00C330FB" w:rsidRDefault="009125CE" w:rsidP="005F3EA8">
      <w:pPr>
        <w:bidi w:val="0"/>
        <w:spacing w:before="100" w:beforeAutospacing="1" w:after="100" w:afterAutospacing="1" w:line="276" w:lineRule="auto"/>
        <w:jc w:val="both"/>
        <w:rPr>
          <w:rFonts w:ascii="Simplified Arabic" w:hAnsi="Simplified Arabic" w:cs="Simplified Arabic"/>
          <w:color w:val="000000" w:themeColor="text1"/>
          <w:sz w:val="28"/>
          <w:szCs w:val="28"/>
          <w:rtl/>
        </w:rPr>
      </w:pPr>
    </w:p>
    <w:sectPr w:rsidR="009125CE" w:rsidRPr="00C330FB" w:rsidSect="005F3EA8">
      <w:footerReference w:type="default" r:id="rId13"/>
      <w:pgSz w:w="11906" w:h="16838" w:code="9"/>
      <w:pgMar w:top="1134" w:right="1701" w:bottom="1134" w:left="1134" w:header="720" w:footer="720"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C0C7F3" w14:textId="77777777" w:rsidR="00172DBE" w:rsidRDefault="00172DBE" w:rsidP="009125CE">
      <w:pPr>
        <w:spacing w:after="0" w:line="240" w:lineRule="auto"/>
      </w:pPr>
      <w:r>
        <w:separator/>
      </w:r>
    </w:p>
  </w:endnote>
  <w:endnote w:type="continuationSeparator" w:id="0">
    <w:p w14:paraId="700EBDD2" w14:textId="77777777" w:rsidR="00172DBE" w:rsidRDefault="00172DB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FAF2A" w14:textId="55E0AA65" w:rsidR="009F793B" w:rsidRPr="005F3EA8" w:rsidRDefault="009F793B" w:rsidP="005F3EA8">
    <w:pPr>
      <w:pStyle w:val="a4"/>
      <w:tabs>
        <w:tab w:val="left" w:pos="4283"/>
        <w:tab w:val="center" w:pos="4535"/>
      </w:tabs>
      <w:rPr>
        <w:rFonts w:ascii="Simplified Arabic" w:hAnsi="Simplified Arabic" w:cs="Simplified Arabic"/>
        <w:b/>
        <w:bCs/>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73742553"/>
      <w:docPartObj>
        <w:docPartGallery w:val="Page Numbers (Bottom of Page)"/>
        <w:docPartUnique/>
      </w:docPartObj>
    </w:sdtPr>
    <w:sdtEndPr>
      <w:rPr>
        <w:noProof/>
      </w:rPr>
    </w:sdtEndPr>
    <w:sdtContent>
      <w:p w14:paraId="5F1A8124" w14:textId="26C821BA" w:rsidR="009F793B" w:rsidRDefault="009F793B">
        <w:pPr>
          <w:pStyle w:val="a4"/>
          <w:jc w:val="center"/>
        </w:pPr>
        <w:r>
          <w:fldChar w:fldCharType="begin"/>
        </w:r>
        <w:r>
          <w:instrText xml:space="preserve"> PAGE   \* MERGEFORMAT </w:instrText>
        </w:r>
        <w:r>
          <w:fldChar w:fldCharType="separate"/>
        </w:r>
        <w:r>
          <w:rPr>
            <w:noProof/>
            <w:rtl/>
          </w:rPr>
          <w:t>2</w:t>
        </w:r>
        <w:r>
          <w:rPr>
            <w:noProof/>
          </w:rPr>
          <w:fldChar w:fldCharType="end"/>
        </w:r>
      </w:p>
    </w:sdtContent>
  </w:sdt>
  <w:p w14:paraId="13047AE1" w14:textId="77777777" w:rsidR="009F793B" w:rsidRDefault="009F793B">
    <w:pPr>
      <w:pStyle w:val="a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71218241"/>
      <w:docPartObj>
        <w:docPartGallery w:val="Page Numbers (Bottom of Page)"/>
        <w:docPartUnique/>
      </w:docPartObj>
    </w:sdtPr>
    <w:sdtEndPr>
      <w:rPr>
        <w:rFonts w:ascii="Simplified Arabic" w:hAnsi="Simplified Arabic" w:cs="Simplified Arabic"/>
        <w:b/>
        <w:bCs/>
        <w:noProof/>
        <w:sz w:val="24"/>
        <w:szCs w:val="24"/>
      </w:rPr>
    </w:sdtEndPr>
    <w:sdtContent>
      <w:p w14:paraId="43257736" w14:textId="77777777" w:rsidR="009F793B" w:rsidRDefault="009F793B">
        <w:pPr>
          <w:pStyle w:val="a4"/>
          <w:jc w:val="center"/>
        </w:pPr>
        <w:r>
          <w:rPr>
            <w:noProof/>
          </w:rPr>
          <mc:AlternateContent>
            <mc:Choice Requires="wps">
              <w:drawing>
                <wp:inline distT="0" distB="0" distL="0" distR="0" wp14:anchorId="36EDBFE0" wp14:editId="59E6CFF0">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20B62542"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0F5B26D7" w14:textId="77777777" w:rsidR="009F793B" w:rsidRPr="005F3EA8" w:rsidRDefault="009F793B" w:rsidP="005F3EA8">
        <w:pPr>
          <w:pStyle w:val="a4"/>
          <w:jc w:val="center"/>
          <w:rPr>
            <w:rFonts w:ascii="Simplified Arabic" w:hAnsi="Simplified Arabic" w:cs="Simplified Arabic"/>
            <w:b/>
            <w:bCs/>
            <w:sz w:val="24"/>
            <w:szCs w:val="24"/>
          </w:rPr>
        </w:pPr>
        <w:r w:rsidRPr="005F3EA8">
          <w:rPr>
            <w:rFonts w:ascii="Simplified Arabic" w:hAnsi="Simplified Arabic" w:cs="Simplified Arabic"/>
            <w:b/>
            <w:bCs/>
            <w:sz w:val="24"/>
            <w:szCs w:val="24"/>
          </w:rPr>
          <w:fldChar w:fldCharType="begin"/>
        </w:r>
        <w:r w:rsidRPr="005F3EA8">
          <w:rPr>
            <w:rFonts w:ascii="Simplified Arabic" w:hAnsi="Simplified Arabic" w:cs="Simplified Arabic"/>
            <w:b/>
            <w:bCs/>
            <w:sz w:val="24"/>
            <w:szCs w:val="24"/>
          </w:rPr>
          <w:instrText xml:space="preserve"> PAGE    \* MERGEFORMAT </w:instrText>
        </w:r>
        <w:r w:rsidRPr="005F3EA8">
          <w:rPr>
            <w:rFonts w:ascii="Simplified Arabic" w:hAnsi="Simplified Arabic" w:cs="Simplified Arabic"/>
            <w:b/>
            <w:bCs/>
            <w:sz w:val="24"/>
            <w:szCs w:val="24"/>
          </w:rPr>
          <w:fldChar w:fldCharType="separate"/>
        </w:r>
        <w:r w:rsidR="00043780">
          <w:rPr>
            <w:rFonts w:ascii="Simplified Arabic" w:hAnsi="Simplified Arabic" w:cs="Simplified Arabic"/>
            <w:b/>
            <w:bCs/>
            <w:noProof/>
            <w:sz w:val="24"/>
            <w:szCs w:val="24"/>
            <w:rtl/>
          </w:rPr>
          <w:t>40</w:t>
        </w:r>
        <w:r w:rsidRPr="005F3EA8">
          <w:rPr>
            <w:rFonts w:ascii="Simplified Arabic" w:hAnsi="Simplified Arabic" w:cs="Simplified Arabic"/>
            <w:b/>
            <w:bCs/>
            <w:noProof/>
            <w:sz w:val="24"/>
            <w:szCs w:val="24"/>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519666862"/>
      <w:docPartObj>
        <w:docPartGallery w:val="Page Numbers (Bottom of Page)"/>
        <w:docPartUnique/>
      </w:docPartObj>
    </w:sdtPr>
    <w:sdtEndPr>
      <w:rPr>
        <w:rFonts w:ascii="Simplified Arabic" w:hAnsi="Simplified Arabic" w:cs="Simplified Arabic"/>
        <w:b/>
        <w:bCs/>
        <w:noProof/>
        <w:sz w:val="24"/>
        <w:szCs w:val="24"/>
      </w:rPr>
    </w:sdtEndPr>
    <w:sdtContent>
      <w:p w14:paraId="3D11B173" w14:textId="78ACD4BD" w:rsidR="009F793B" w:rsidRDefault="009F793B">
        <w:pPr>
          <w:pStyle w:val="a4"/>
          <w:jc w:val="center"/>
        </w:pPr>
      </w:p>
      <w:p w14:paraId="6AD16CF4" w14:textId="6A7AE539" w:rsidR="009F793B" w:rsidRPr="005F3EA8" w:rsidRDefault="00000000" w:rsidP="005F3EA8">
        <w:pPr>
          <w:pStyle w:val="a4"/>
          <w:jc w:val="center"/>
          <w:rPr>
            <w:rFonts w:ascii="Simplified Arabic" w:hAnsi="Simplified Arabic" w:cs="Simplified Arabic"/>
            <w:b/>
            <w:bCs/>
            <w:sz w:val="24"/>
            <w:szCs w:val="24"/>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93684" w14:textId="77777777" w:rsidR="00172DBE" w:rsidRDefault="00172DBE" w:rsidP="009125CE">
      <w:pPr>
        <w:spacing w:after="0" w:line="240" w:lineRule="auto"/>
      </w:pPr>
      <w:r>
        <w:separator/>
      </w:r>
    </w:p>
  </w:footnote>
  <w:footnote w:type="continuationSeparator" w:id="0">
    <w:p w14:paraId="7236F8E0" w14:textId="77777777" w:rsidR="00172DBE" w:rsidRDefault="00172DB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942C1"/>
    <w:multiLevelType w:val="hybridMultilevel"/>
    <w:tmpl w:val="5352E2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15518"/>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3D3463B"/>
    <w:multiLevelType w:val="multilevel"/>
    <w:tmpl w:val="1AF45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A63D46"/>
    <w:multiLevelType w:val="hybridMultilevel"/>
    <w:tmpl w:val="DFD8E2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0063D22"/>
    <w:multiLevelType w:val="hybridMultilevel"/>
    <w:tmpl w:val="A2700F1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4DB2123"/>
    <w:multiLevelType w:val="multilevel"/>
    <w:tmpl w:val="E55CAC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3B7221"/>
    <w:multiLevelType w:val="multilevel"/>
    <w:tmpl w:val="479C85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5712C6E"/>
    <w:multiLevelType w:val="hybridMultilevel"/>
    <w:tmpl w:val="8CA87D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443EFA"/>
    <w:multiLevelType w:val="multilevel"/>
    <w:tmpl w:val="7B1AFD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561E39"/>
    <w:multiLevelType w:val="multilevel"/>
    <w:tmpl w:val="429E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F271BB9"/>
    <w:multiLevelType w:val="hybridMultilevel"/>
    <w:tmpl w:val="696602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9035C2"/>
    <w:multiLevelType w:val="hybridMultilevel"/>
    <w:tmpl w:val="4E58F110"/>
    <w:lvl w:ilvl="0" w:tplc="684A5794">
      <w:start w:val="1"/>
      <w:numFmt w:val="decimal"/>
      <w:lvlText w:val="%1."/>
      <w:lvlJc w:val="left"/>
      <w:pPr>
        <w:ind w:left="756" w:hanging="396"/>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720B9E"/>
    <w:multiLevelType w:val="hybridMultilevel"/>
    <w:tmpl w:val="D7DA69A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3A243FDF"/>
    <w:multiLevelType w:val="multilevel"/>
    <w:tmpl w:val="0B040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E3F2D0D"/>
    <w:multiLevelType w:val="hybridMultilevel"/>
    <w:tmpl w:val="44FE408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B72F28"/>
    <w:multiLevelType w:val="hybridMultilevel"/>
    <w:tmpl w:val="98C66B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102357B"/>
    <w:multiLevelType w:val="multilevel"/>
    <w:tmpl w:val="32D452C0"/>
    <w:lvl w:ilvl="0">
      <w:start w:val="1"/>
      <w:numFmt w:val="bullet"/>
      <w:lvlText w:val="-"/>
      <w:lvlJc w:val="left"/>
      <w:pPr>
        <w:tabs>
          <w:tab w:val="num" w:pos="720"/>
        </w:tabs>
        <w:ind w:left="720" w:hanging="360"/>
      </w:pPr>
      <w:rPr>
        <w:rFonts w:ascii="Traditional Arabic" w:eastAsia="Times New Roman" w:hAnsi="Traditional Arabic" w:cs="Traditional Arabic"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EC3E46"/>
    <w:multiLevelType w:val="hybridMultilevel"/>
    <w:tmpl w:val="8B5A810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425E5D35"/>
    <w:multiLevelType w:val="hybridMultilevel"/>
    <w:tmpl w:val="23667F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1D3100"/>
    <w:multiLevelType w:val="hybridMultilevel"/>
    <w:tmpl w:val="1C286B7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83A1570"/>
    <w:multiLevelType w:val="multilevel"/>
    <w:tmpl w:val="272AF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8FC3A02"/>
    <w:multiLevelType w:val="multilevel"/>
    <w:tmpl w:val="291A1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12777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B814DBE"/>
    <w:multiLevelType w:val="hybridMultilevel"/>
    <w:tmpl w:val="6D9687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D9D54F0"/>
    <w:multiLevelType w:val="multilevel"/>
    <w:tmpl w:val="6FA6B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E154931"/>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2EC78EF"/>
    <w:multiLevelType w:val="hybridMultilevel"/>
    <w:tmpl w:val="33B298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3BC0E10"/>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502676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5D21892"/>
    <w:multiLevelType w:val="multilevel"/>
    <w:tmpl w:val="9604A1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7C27480"/>
    <w:multiLevelType w:val="multilevel"/>
    <w:tmpl w:val="383CE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D706EE8"/>
    <w:multiLevelType w:val="hybridMultilevel"/>
    <w:tmpl w:val="148223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4E4AB2"/>
    <w:multiLevelType w:val="hybridMultilevel"/>
    <w:tmpl w:val="876E072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4321F6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6104267"/>
    <w:multiLevelType w:val="multilevel"/>
    <w:tmpl w:val="7AA69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15:restartNumberingAfterBreak="0">
    <w:nsid w:val="6727134B"/>
    <w:multiLevelType w:val="hybridMultilevel"/>
    <w:tmpl w:val="DC16E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E767A03"/>
    <w:multiLevelType w:val="hybridMultilevel"/>
    <w:tmpl w:val="1E783D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F3E65F8"/>
    <w:multiLevelType w:val="multilevel"/>
    <w:tmpl w:val="6A7E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19648F2"/>
    <w:multiLevelType w:val="multilevel"/>
    <w:tmpl w:val="7F185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31B2BA2"/>
    <w:multiLevelType w:val="hybridMultilevel"/>
    <w:tmpl w:val="3C9C9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3562F9"/>
    <w:multiLevelType w:val="hybridMultilevel"/>
    <w:tmpl w:val="50C62E2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15:restartNumberingAfterBreak="0">
    <w:nsid w:val="756900A5"/>
    <w:multiLevelType w:val="hybridMultilevel"/>
    <w:tmpl w:val="B8E856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5EA5D70"/>
    <w:multiLevelType w:val="hybridMultilevel"/>
    <w:tmpl w:val="B2EC95F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76B84E7F"/>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A335731"/>
    <w:multiLevelType w:val="multilevel"/>
    <w:tmpl w:val="94D4F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B58345B"/>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C843A53"/>
    <w:multiLevelType w:val="multilevel"/>
    <w:tmpl w:val="1E4A7D9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CFB6E12"/>
    <w:multiLevelType w:val="hybridMultilevel"/>
    <w:tmpl w:val="9A58C210"/>
    <w:lvl w:ilvl="0" w:tplc="0409000B">
      <w:start w:val="1"/>
      <w:numFmt w:val="bullet"/>
      <w:lvlText w:val=""/>
      <w:lvlJc w:val="left"/>
      <w:pPr>
        <w:ind w:left="720" w:hanging="360"/>
      </w:pPr>
      <w:rPr>
        <w:rFonts w:ascii="Wingdings" w:hAnsi="Wingdings" w:hint="default"/>
      </w:rPr>
    </w:lvl>
    <w:lvl w:ilvl="1" w:tplc="512A40F2">
      <w:start w:val="2"/>
      <w:numFmt w:val="bullet"/>
      <w:lvlText w:val="•"/>
      <w:lvlJc w:val="left"/>
      <w:pPr>
        <w:ind w:left="1800" w:hanging="72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7205814">
    <w:abstractNumId w:val="17"/>
  </w:num>
  <w:num w:numId="2" w16cid:durableId="2020884629">
    <w:abstractNumId w:val="38"/>
  </w:num>
  <w:num w:numId="3" w16cid:durableId="851648550">
    <w:abstractNumId w:val="35"/>
  </w:num>
  <w:num w:numId="4" w16cid:durableId="355927462">
    <w:abstractNumId w:val="37"/>
  </w:num>
  <w:num w:numId="5" w16cid:durableId="912472036">
    <w:abstractNumId w:val="2"/>
  </w:num>
  <w:num w:numId="6" w16cid:durableId="378435583">
    <w:abstractNumId w:val="46"/>
  </w:num>
  <w:num w:numId="7" w16cid:durableId="1765303582">
    <w:abstractNumId w:val="6"/>
  </w:num>
  <w:num w:numId="8" w16cid:durableId="506791575">
    <w:abstractNumId w:val="8"/>
  </w:num>
  <w:num w:numId="9" w16cid:durableId="703753755">
    <w:abstractNumId w:val="40"/>
  </w:num>
  <w:num w:numId="10" w16cid:durableId="1826700150">
    <w:abstractNumId w:val="5"/>
  </w:num>
  <w:num w:numId="11" w16cid:durableId="688142695">
    <w:abstractNumId w:val="26"/>
  </w:num>
  <w:num w:numId="12" w16cid:durableId="1926575496">
    <w:abstractNumId w:val="28"/>
  </w:num>
  <w:num w:numId="13" w16cid:durableId="276299862">
    <w:abstractNumId w:val="48"/>
  </w:num>
  <w:num w:numId="14" w16cid:durableId="2063016467">
    <w:abstractNumId w:val="34"/>
  </w:num>
  <w:num w:numId="15" w16cid:durableId="805902345">
    <w:abstractNumId w:val="1"/>
  </w:num>
  <w:num w:numId="16" w16cid:durableId="1356422925">
    <w:abstractNumId w:val="29"/>
  </w:num>
  <w:num w:numId="17" w16cid:durableId="1983729091">
    <w:abstractNumId w:val="47"/>
  </w:num>
  <w:num w:numId="18" w16cid:durableId="1679190406">
    <w:abstractNumId w:val="23"/>
  </w:num>
  <w:num w:numId="19" w16cid:durableId="874657655">
    <w:abstractNumId w:val="21"/>
  </w:num>
  <w:num w:numId="20" w16cid:durableId="1977681776">
    <w:abstractNumId w:val="30"/>
  </w:num>
  <w:num w:numId="21" w16cid:durableId="331957348">
    <w:abstractNumId w:val="45"/>
  </w:num>
  <w:num w:numId="22" w16cid:durableId="1469010235">
    <w:abstractNumId w:val="0"/>
  </w:num>
  <w:num w:numId="23" w16cid:durableId="1996837918">
    <w:abstractNumId w:val="41"/>
  </w:num>
  <w:num w:numId="24" w16cid:durableId="2012835400">
    <w:abstractNumId w:val="12"/>
  </w:num>
  <w:num w:numId="25" w16cid:durableId="640765666">
    <w:abstractNumId w:val="44"/>
  </w:num>
  <w:num w:numId="26" w16cid:durableId="1224684477">
    <w:abstractNumId w:val="31"/>
  </w:num>
  <w:num w:numId="27" w16cid:durableId="1665671072">
    <w:abstractNumId w:val="25"/>
  </w:num>
  <w:num w:numId="28" w16cid:durableId="985429426">
    <w:abstractNumId w:val="14"/>
  </w:num>
  <w:num w:numId="29" w16cid:durableId="211307800">
    <w:abstractNumId w:val="10"/>
  </w:num>
  <w:num w:numId="30" w16cid:durableId="2134907938">
    <w:abstractNumId w:val="22"/>
  </w:num>
  <w:num w:numId="31" w16cid:durableId="851263422">
    <w:abstractNumId w:val="39"/>
  </w:num>
  <w:num w:numId="32" w16cid:durableId="952244660">
    <w:abstractNumId w:val="24"/>
  </w:num>
  <w:num w:numId="33" w16cid:durableId="1589926156">
    <w:abstractNumId w:val="43"/>
  </w:num>
  <w:num w:numId="34" w16cid:durableId="251163058">
    <w:abstractNumId w:val="49"/>
  </w:num>
  <w:num w:numId="35" w16cid:durableId="1672638380">
    <w:abstractNumId w:val="7"/>
  </w:num>
  <w:num w:numId="36" w16cid:durableId="597642150">
    <w:abstractNumId w:val="19"/>
  </w:num>
  <w:num w:numId="37" w16cid:durableId="1838837374">
    <w:abstractNumId w:val="13"/>
  </w:num>
  <w:num w:numId="38" w16cid:durableId="1160581493">
    <w:abstractNumId w:val="4"/>
  </w:num>
  <w:num w:numId="39" w16cid:durableId="1912042568">
    <w:abstractNumId w:val="33"/>
  </w:num>
  <w:num w:numId="40" w16cid:durableId="2146003316">
    <w:abstractNumId w:val="15"/>
  </w:num>
  <w:num w:numId="41" w16cid:durableId="222256333">
    <w:abstractNumId w:val="3"/>
  </w:num>
  <w:num w:numId="42" w16cid:durableId="125054827">
    <w:abstractNumId w:val="32"/>
  </w:num>
  <w:num w:numId="43" w16cid:durableId="2073504419">
    <w:abstractNumId w:val="27"/>
  </w:num>
  <w:num w:numId="44" w16cid:durableId="1040671416">
    <w:abstractNumId w:val="11"/>
  </w:num>
  <w:num w:numId="45" w16cid:durableId="358244877">
    <w:abstractNumId w:val="16"/>
  </w:num>
  <w:num w:numId="46" w16cid:durableId="1657613123">
    <w:abstractNumId w:val="42"/>
  </w:num>
  <w:num w:numId="47" w16cid:durableId="1096436586">
    <w:abstractNumId w:val="20"/>
  </w:num>
  <w:num w:numId="48" w16cid:durableId="588463477">
    <w:abstractNumId w:val="18"/>
  </w:num>
  <w:num w:numId="49" w16cid:durableId="195705499">
    <w:abstractNumId w:val="9"/>
  </w:num>
  <w:num w:numId="50" w16cid:durableId="430048323">
    <w:abstractNumId w:val="3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91F"/>
    <w:rsid w:val="000146E6"/>
    <w:rsid w:val="000204A8"/>
    <w:rsid w:val="00020F7B"/>
    <w:rsid w:val="00022B3A"/>
    <w:rsid w:val="00043780"/>
    <w:rsid w:val="0004554E"/>
    <w:rsid w:val="00052AB0"/>
    <w:rsid w:val="00053122"/>
    <w:rsid w:val="000543EF"/>
    <w:rsid w:val="000602CA"/>
    <w:rsid w:val="000610C9"/>
    <w:rsid w:val="00061FA2"/>
    <w:rsid w:val="00064FF1"/>
    <w:rsid w:val="00067938"/>
    <w:rsid w:val="0007333A"/>
    <w:rsid w:val="0007370A"/>
    <w:rsid w:val="000769E1"/>
    <w:rsid w:val="000842EB"/>
    <w:rsid w:val="000845E9"/>
    <w:rsid w:val="00093973"/>
    <w:rsid w:val="00094E98"/>
    <w:rsid w:val="000A06E6"/>
    <w:rsid w:val="000A2ED4"/>
    <w:rsid w:val="000A4AC3"/>
    <w:rsid w:val="000A4DAE"/>
    <w:rsid w:val="000A6930"/>
    <w:rsid w:val="000C4130"/>
    <w:rsid w:val="000C46EE"/>
    <w:rsid w:val="000D03ED"/>
    <w:rsid w:val="000D2E22"/>
    <w:rsid w:val="000D353F"/>
    <w:rsid w:val="000D7A52"/>
    <w:rsid w:val="000E0212"/>
    <w:rsid w:val="000E2A00"/>
    <w:rsid w:val="000E3680"/>
    <w:rsid w:val="000E503B"/>
    <w:rsid w:val="000F44B4"/>
    <w:rsid w:val="00105749"/>
    <w:rsid w:val="00110487"/>
    <w:rsid w:val="00114941"/>
    <w:rsid w:val="0012342D"/>
    <w:rsid w:val="001306F3"/>
    <w:rsid w:val="00131E44"/>
    <w:rsid w:val="001375AF"/>
    <w:rsid w:val="00143989"/>
    <w:rsid w:val="00150B32"/>
    <w:rsid w:val="001510C1"/>
    <w:rsid w:val="00152611"/>
    <w:rsid w:val="00153B41"/>
    <w:rsid w:val="00170871"/>
    <w:rsid w:val="00172DBE"/>
    <w:rsid w:val="00174E80"/>
    <w:rsid w:val="00175050"/>
    <w:rsid w:val="00180436"/>
    <w:rsid w:val="0018142E"/>
    <w:rsid w:val="001833A1"/>
    <w:rsid w:val="001840E8"/>
    <w:rsid w:val="0018557F"/>
    <w:rsid w:val="001856D4"/>
    <w:rsid w:val="001867D0"/>
    <w:rsid w:val="00186C33"/>
    <w:rsid w:val="001902DB"/>
    <w:rsid w:val="0019163E"/>
    <w:rsid w:val="001923DA"/>
    <w:rsid w:val="00194472"/>
    <w:rsid w:val="001962D1"/>
    <w:rsid w:val="001A1039"/>
    <w:rsid w:val="001A1758"/>
    <w:rsid w:val="001A41B9"/>
    <w:rsid w:val="001A5094"/>
    <w:rsid w:val="001B0D06"/>
    <w:rsid w:val="001B6D18"/>
    <w:rsid w:val="001B7151"/>
    <w:rsid w:val="001C2162"/>
    <w:rsid w:val="001C398F"/>
    <w:rsid w:val="001C42F9"/>
    <w:rsid w:val="001D4406"/>
    <w:rsid w:val="001E249E"/>
    <w:rsid w:val="001E7B16"/>
    <w:rsid w:val="001F0034"/>
    <w:rsid w:val="001F159D"/>
    <w:rsid w:val="001F220F"/>
    <w:rsid w:val="001F46A5"/>
    <w:rsid w:val="00207629"/>
    <w:rsid w:val="0021718D"/>
    <w:rsid w:val="00217ADA"/>
    <w:rsid w:val="00223AE0"/>
    <w:rsid w:val="002304C2"/>
    <w:rsid w:val="002322E4"/>
    <w:rsid w:val="00234450"/>
    <w:rsid w:val="00244894"/>
    <w:rsid w:val="00246C3F"/>
    <w:rsid w:val="00250D99"/>
    <w:rsid w:val="00251BCA"/>
    <w:rsid w:val="00256363"/>
    <w:rsid w:val="00260558"/>
    <w:rsid w:val="0026283D"/>
    <w:rsid w:val="00270FB5"/>
    <w:rsid w:val="00274BDE"/>
    <w:rsid w:val="002766BC"/>
    <w:rsid w:val="00280068"/>
    <w:rsid w:val="002828EF"/>
    <w:rsid w:val="002853C1"/>
    <w:rsid w:val="00286958"/>
    <w:rsid w:val="0029680E"/>
    <w:rsid w:val="002A32D6"/>
    <w:rsid w:val="002A365A"/>
    <w:rsid w:val="002A726B"/>
    <w:rsid w:val="002A76B5"/>
    <w:rsid w:val="002B1274"/>
    <w:rsid w:val="002C205F"/>
    <w:rsid w:val="002C21BB"/>
    <w:rsid w:val="002C5EE0"/>
    <w:rsid w:val="002D0190"/>
    <w:rsid w:val="002D30A7"/>
    <w:rsid w:val="002D3120"/>
    <w:rsid w:val="002D5C0C"/>
    <w:rsid w:val="002E36BC"/>
    <w:rsid w:val="002E4629"/>
    <w:rsid w:val="002F5FA3"/>
    <w:rsid w:val="00301731"/>
    <w:rsid w:val="00303BF8"/>
    <w:rsid w:val="00304304"/>
    <w:rsid w:val="0031075C"/>
    <w:rsid w:val="00310B47"/>
    <w:rsid w:val="00311651"/>
    <w:rsid w:val="00323FD3"/>
    <w:rsid w:val="00327620"/>
    <w:rsid w:val="00333A26"/>
    <w:rsid w:val="00335D11"/>
    <w:rsid w:val="0033775D"/>
    <w:rsid w:val="00341565"/>
    <w:rsid w:val="0034173E"/>
    <w:rsid w:val="00341900"/>
    <w:rsid w:val="00343DEA"/>
    <w:rsid w:val="00343EE8"/>
    <w:rsid w:val="00357BB1"/>
    <w:rsid w:val="00357CD0"/>
    <w:rsid w:val="003620C0"/>
    <w:rsid w:val="0036476A"/>
    <w:rsid w:val="00370FDA"/>
    <w:rsid w:val="0037141D"/>
    <w:rsid w:val="00372E99"/>
    <w:rsid w:val="00375565"/>
    <w:rsid w:val="003773DF"/>
    <w:rsid w:val="00377D51"/>
    <w:rsid w:val="00377DD2"/>
    <w:rsid w:val="0038272F"/>
    <w:rsid w:val="0038357B"/>
    <w:rsid w:val="00384D34"/>
    <w:rsid w:val="003873E8"/>
    <w:rsid w:val="00396510"/>
    <w:rsid w:val="003A5312"/>
    <w:rsid w:val="003A757C"/>
    <w:rsid w:val="003B30A9"/>
    <w:rsid w:val="003B38CF"/>
    <w:rsid w:val="003B44D3"/>
    <w:rsid w:val="003B48BD"/>
    <w:rsid w:val="003B51C3"/>
    <w:rsid w:val="003C2495"/>
    <w:rsid w:val="003C6112"/>
    <w:rsid w:val="003D5D45"/>
    <w:rsid w:val="003D6376"/>
    <w:rsid w:val="003E0E80"/>
    <w:rsid w:val="003E29FB"/>
    <w:rsid w:val="003E3EBB"/>
    <w:rsid w:val="003E7CB6"/>
    <w:rsid w:val="00401DBE"/>
    <w:rsid w:val="00402123"/>
    <w:rsid w:val="00403383"/>
    <w:rsid w:val="004130C0"/>
    <w:rsid w:val="00413CBD"/>
    <w:rsid w:val="00413DF8"/>
    <w:rsid w:val="00413F36"/>
    <w:rsid w:val="004163C7"/>
    <w:rsid w:val="004215C5"/>
    <w:rsid w:val="004260FE"/>
    <w:rsid w:val="00433FD4"/>
    <w:rsid w:val="0043649D"/>
    <w:rsid w:val="00446ED1"/>
    <w:rsid w:val="004475C8"/>
    <w:rsid w:val="004613E8"/>
    <w:rsid w:val="00461DB2"/>
    <w:rsid w:val="00464637"/>
    <w:rsid w:val="00464AF1"/>
    <w:rsid w:val="004708AB"/>
    <w:rsid w:val="00470A2D"/>
    <w:rsid w:val="00473631"/>
    <w:rsid w:val="00474A1C"/>
    <w:rsid w:val="00475C10"/>
    <w:rsid w:val="00476ADB"/>
    <w:rsid w:val="0047707D"/>
    <w:rsid w:val="00482056"/>
    <w:rsid w:val="00482616"/>
    <w:rsid w:val="00491EAB"/>
    <w:rsid w:val="004A035D"/>
    <w:rsid w:val="004A1755"/>
    <w:rsid w:val="004B118D"/>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22010"/>
    <w:rsid w:val="0052581D"/>
    <w:rsid w:val="005423FA"/>
    <w:rsid w:val="00544E3F"/>
    <w:rsid w:val="00545455"/>
    <w:rsid w:val="005459E0"/>
    <w:rsid w:val="00545E45"/>
    <w:rsid w:val="00550EC8"/>
    <w:rsid w:val="005527F0"/>
    <w:rsid w:val="00557A05"/>
    <w:rsid w:val="00557B85"/>
    <w:rsid w:val="0058591B"/>
    <w:rsid w:val="00586F13"/>
    <w:rsid w:val="00590B27"/>
    <w:rsid w:val="005979A0"/>
    <w:rsid w:val="00597F74"/>
    <w:rsid w:val="005A4D65"/>
    <w:rsid w:val="005A4FB6"/>
    <w:rsid w:val="005A755A"/>
    <w:rsid w:val="005B112C"/>
    <w:rsid w:val="005B2F92"/>
    <w:rsid w:val="005B5824"/>
    <w:rsid w:val="005B7D85"/>
    <w:rsid w:val="005D0E3A"/>
    <w:rsid w:val="005D25AE"/>
    <w:rsid w:val="005D2620"/>
    <w:rsid w:val="005D5DB7"/>
    <w:rsid w:val="005E37C2"/>
    <w:rsid w:val="005E4AF3"/>
    <w:rsid w:val="005F2722"/>
    <w:rsid w:val="005F3EA8"/>
    <w:rsid w:val="006020A6"/>
    <w:rsid w:val="006044AD"/>
    <w:rsid w:val="006112DD"/>
    <w:rsid w:val="0061146E"/>
    <w:rsid w:val="00617C5B"/>
    <w:rsid w:val="00625CAD"/>
    <w:rsid w:val="0062761F"/>
    <w:rsid w:val="00633F50"/>
    <w:rsid w:val="006344B4"/>
    <w:rsid w:val="006352B0"/>
    <w:rsid w:val="00642229"/>
    <w:rsid w:val="006450DB"/>
    <w:rsid w:val="00647482"/>
    <w:rsid w:val="0066191A"/>
    <w:rsid w:val="00663FD3"/>
    <w:rsid w:val="00666183"/>
    <w:rsid w:val="00667140"/>
    <w:rsid w:val="006716C2"/>
    <w:rsid w:val="00680F37"/>
    <w:rsid w:val="00681671"/>
    <w:rsid w:val="00681F47"/>
    <w:rsid w:val="00686D49"/>
    <w:rsid w:val="006904F6"/>
    <w:rsid w:val="006910C9"/>
    <w:rsid w:val="006948DE"/>
    <w:rsid w:val="006A0FCA"/>
    <w:rsid w:val="006A2677"/>
    <w:rsid w:val="006A3B5F"/>
    <w:rsid w:val="006A5078"/>
    <w:rsid w:val="006A6C3D"/>
    <w:rsid w:val="006A700F"/>
    <w:rsid w:val="006B07CD"/>
    <w:rsid w:val="006B3A4B"/>
    <w:rsid w:val="006B40EF"/>
    <w:rsid w:val="006B4F02"/>
    <w:rsid w:val="006D0A16"/>
    <w:rsid w:val="006D4C88"/>
    <w:rsid w:val="006E4126"/>
    <w:rsid w:val="006E41F3"/>
    <w:rsid w:val="006E65A3"/>
    <w:rsid w:val="006F162C"/>
    <w:rsid w:val="006F29F1"/>
    <w:rsid w:val="006F7967"/>
    <w:rsid w:val="0070333D"/>
    <w:rsid w:val="00705AF7"/>
    <w:rsid w:val="00706E7F"/>
    <w:rsid w:val="0071504C"/>
    <w:rsid w:val="007178EE"/>
    <w:rsid w:val="00723DBF"/>
    <w:rsid w:val="007301E5"/>
    <w:rsid w:val="00731DC0"/>
    <w:rsid w:val="007401DF"/>
    <w:rsid w:val="00741B9A"/>
    <w:rsid w:val="007501C6"/>
    <w:rsid w:val="007526FA"/>
    <w:rsid w:val="0075485F"/>
    <w:rsid w:val="00754DB9"/>
    <w:rsid w:val="00755053"/>
    <w:rsid w:val="00756A6F"/>
    <w:rsid w:val="00757802"/>
    <w:rsid w:val="00760A35"/>
    <w:rsid w:val="00766D40"/>
    <w:rsid w:val="007739B3"/>
    <w:rsid w:val="007753A5"/>
    <w:rsid w:val="00775634"/>
    <w:rsid w:val="00780E8F"/>
    <w:rsid w:val="0078216A"/>
    <w:rsid w:val="007874FA"/>
    <w:rsid w:val="00791E1F"/>
    <w:rsid w:val="00792A28"/>
    <w:rsid w:val="007A7A94"/>
    <w:rsid w:val="007B0AEC"/>
    <w:rsid w:val="007B0E54"/>
    <w:rsid w:val="007B2139"/>
    <w:rsid w:val="007B3150"/>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6F3A"/>
    <w:rsid w:val="00806716"/>
    <w:rsid w:val="00807477"/>
    <w:rsid w:val="00811E32"/>
    <w:rsid w:val="008124AA"/>
    <w:rsid w:val="008156EA"/>
    <w:rsid w:val="0081623B"/>
    <w:rsid w:val="00821534"/>
    <w:rsid w:val="0083081C"/>
    <w:rsid w:val="00831F14"/>
    <w:rsid w:val="008332E4"/>
    <w:rsid w:val="0083662A"/>
    <w:rsid w:val="0084024D"/>
    <w:rsid w:val="00845A85"/>
    <w:rsid w:val="00850760"/>
    <w:rsid w:val="0085226F"/>
    <w:rsid w:val="00854A80"/>
    <w:rsid w:val="00854B0B"/>
    <w:rsid w:val="00854D73"/>
    <w:rsid w:val="00857739"/>
    <w:rsid w:val="00857D1D"/>
    <w:rsid w:val="00871660"/>
    <w:rsid w:val="00874CD5"/>
    <w:rsid w:val="00874D2F"/>
    <w:rsid w:val="008756CE"/>
    <w:rsid w:val="00877AAC"/>
    <w:rsid w:val="00881AB1"/>
    <w:rsid w:val="00882D37"/>
    <w:rsid w:val="00882D53"/>
    <w:rsid w:val="00887133"/>
    <w:rsid w:val="008904CF"/>
    <w:rsid w:val="00891FC0"/>
    <w:rsid w:val="0089704E"/>
    <w:rsid w:val="00897F7E"/>
    <w:rsid w:val="008A0A06"/>
    <w:rsid w:val="008A2196"/>
    <w:rsid w:val="008A248D"/>
    <w:rsid w:val="008A425D"/>
    <w:rsid w:val="008A5317"/>
    <w:rsid w:val="008B1846"/>
    <w:rsid w:val="008B2333"/>
    <w:rsid w:val="008B3965"/>
    <w:rsid w:val="008B41AE"/>
    <w:rsid w:val="008B6EE6"/>
    <w:rsid w:val="008C1ABE"/>
    <w:rsid w:val="008C300E"/>
    <w:rsid w:val="008C42C1"/>
    <w:rsid w:val="008C4A35"/>
    <w:rsid w:val="008C52C9"/>
    <w:rsid w:val="008C7BB4"/>
    <w:rsid w:val="008D15AF"/>
    <w:rsid w:val="008D1829"/>
    <w:rsid w:val="008E1B7E"/>
    <w:rsid w:val="008E5C19"/>
    <w:rsid w:val="008E7314"/>
    <w:rsid w:val="008F1EAE"/>
    <w:rsid w:val="008F6829"/>
    <w:rsid w:val="008F6B36"/>
    <w:rsid w:val="0090105B"/>
    <w:rsid w:val="0090438F"/>
    <w:rsid w:val="00905FD8"/>
    <w:rsid w:val="009125CE"/>
    <w:rsid w:val="00914D5B"/>
    <w:rsid w:val="0092088B"/>
    <w:rsid w:val="009216A4"/>
    <w:rsid w:val="00927901"/>
    <w:rsid w:val="009307B0"/>
    <w:rsid w:val="00930A79"/>
    <w:rsid w:val="00931F42"/>
    <w:rsid w:val="00932A89"/>
    <w:rsid w:val="00937CA3"/>
    <w:rsid w:val="00951F48"/>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6888"/>
    <w:rsid w:val="009B7EAF"/>
    <w:rsid w:val="009C0161"/>
    <w:rsid w:val="009C20C7"/>
    <w:rsid w:val="009C3E61"/>
    <w:rsid w:val="009C6715"/>
    <w:rsid w:val="009D108D"/>
    <w:rsid w:val="009D2E51"/>
    <w:rsid w:val="009D2E90"/>
    <w:rsid w:val="009D4539"/>
    <w:rsid w:val="009D59AE"/>
    <w:rsid w:val="009E1436"/>
    <w:rsid w:val="009E1558"/>
    <w:rsid w:val="009E31A0"/>
    <w:rsid w:val="009E5668"/>
    <w:rsid w:val="009F47B9"/>
    <w:rsid w:val="009F793B"/>
    <w:rsid w:val="009F7996"/>
    <w:rsid w:val="00A02DBC"/>
    <w:rsid w:val="00A057D1"/>
    <w:rsid w:val="00A10072"/>
    <w:rsid w:val="00A10B45"/>
    <w:rsid w:val="00A1279C"/>
    <w:rsid w:val="00A130CC"/>
    <w:rsid w:val="00A13C6F"/>
    <w:rsid w:val="00A15287"/>
    <w:rsid w:val="00A15584"/>
    <w:rsid w:val="00A16431"/>
    <w:rsid w:val="00A23992"/>
    <w:rsid w:val="00A23F5C"/>
    <w:rsid w:val="00A2564F"/>
    <w:rsid w:val="00A30D10"/>
    <w:rsid w:val="00A31A25"/>
    <w:rsid w:val="00A348C1"/>
    <w:rsid w:val="00A3547E"/>
    <w:rsid w:val="00A35B21"/>
    <w:rsid w:val="00A40ADE"/>
    <w:rsid w:val="00A44EBE"/>
    <w:rsid w:val="00A4659A"/>
    <w:rsid w:val="00A50745"/>
    <w:rsid w:val="00A55EF3"/>
    <w:rsid w:val="00A57461"/>
    <w:rsid w:val="00A71BCE"/>
    <w:rsid w:val="00A74F76"/>
    <w:rsid w:val="00A823EC"/>
    <w:rsid w:val="00A840CF"/>
    <w:rsid w:val="00A86E11"/>
    <w:rsid w:val="00A97576"/>
    <w:rsid w:val="00A979D6"/>
    <w:rsid w:val="00AA005F"/>
    <w:rsid w:val="00AA79E9"/>
    <w:rsid w:val="00AB0A70"/>
    <w:rsid w:val="00AB3E18"/>
    <w:rsid w:val="00AB41F1"/>
    <w:rsid w:val="00AB5A3B"/>
    <w:rsid w:val="00AB6A7C"/>
    <w:rsid w:val="00AD0E94"/>
    <w:rsid w:val="00AD722B"/>
    <w:rsid w:val="00AE3C7A"/>
    <w:rsid w:val="00AF20BD"/>
    <w:rsid w:val="00AF24F6"/>
    <w:rsid w:val="00AF31BE"/>
    <w:rsid w:val="00AF46DF"/>
    <w:rsid w:val="00AF49EF"/>
    <w:rsid w:val="00B04BD9"/>
    <w:rsid w:val="00B05F9C"/>
    <w:rsid w:val="00B134E7"/>
    <w:rsid w:val="00B15A9E"/>
    <w:rsid w:val="00B16D15"/>
    <w:rsid w:val="00B31E1F"/>
    <w:rsid w:val="00B346DF"/>
    <w:rsid w:val="00B36FBC"/>
    <w:rsid w:val="00B4269F"/>
    <w:rsid w:val="00B44182"/>
    <w:rsid w:val="00B467CC"/>
    <w:rsid w:val="00B5443B"/>
    <w:rsid w:val="00B570EB"/>
    <w:rsid w:val="00B57582"/>
    <w:rsid w:val="00B63B0F"/>
    <w:rsid w:val="00B653F7"/>
    <w:rsid w:val="00B72A08"/>
    <w:rsid w:val="00B74A10"/>
    <w:rsid w:val="00B74FF2"/>
    <w:rsid w:val="00B75E84"/>
    <w:rsid w:val="00B7678A"/>
    <w:rsid w:val="00B801FA"/>
    <w:rsid w:val="00B9286F"/>
    <w:rsid w:val="00BA0E1B"/>
    <w:rsid w:val="00BA1572"/>
    <w:rsid w:val="00BA1B67"/>
    <w:rsid w:val="00BA3D6A"/>
    <w:rsid w:val="00BA5817"/>
    <w:rsid w:val="00BB1144"/>
    <w:rsid w:val="00BB3514"/>
    <w:rsid w:val="00BC24EE"/>
    <w:rsid w:val="00BC454D"/>
    <w:rsid w:val="00BC61BD"/>
    <w:rsid w:val="00BD03D1"/>
    <w:rsid w:val="00BD590D"/>
    <w:rsid w:val="00BE2024"/>
    <w:rsid w:val="00BF35D5"/>
    <w:rsid w:val="00C01C2B"/>
    <w:rsid w:val="00C1175F"/>
    <w:rsid w:val="00C11CB2"/>
    <w:rsid w:val="00C16713"/>
    <w:rsid w:val="00C16D65"/>
    <w:rsid w:val="00C20A1C"/>
    <w:rsid w:val="00C23616"/>
    <w:rsid w:val="00C23A70"/>
    <w:rsid w:val="00C32E49"/>
    <w:rsid w:val="00C330FB"/>
    <w:rsid w:val="00C35B07"/>
    <w:rsid w:val="00C35BBA"/>
    <w:rsid w:val="00C43D61"/>
    <w:rsid w:val="00C45767"/>
    <w:rsid w:val="00C46354"/>
    <w:rsid w:val="00C62935"/>
    <w:rsid w:val="00C67472"/>
    <w:rsid w:val="00C71E18"/>
    <w:rsid w:val="00C730BE"/>
    <w:rsid w:val="00C74890"/>
    <w:rsid w:val="00C75201"/>
    <w:rsid w:val="00C75293"/>
    <w:rsid w:val="00C75BC1"/>
    <w:rsid w:val="00C77324"/>
    <w:rsid w:val="00C77A43"/>
    <w:rsid w:val="00C80FEB"/>
    <w:rsid w:val="00C83C91"/>
    <w:rsid w:val="00C83DD5"/>
    <w:rsid w:val="00C83F6A"/>
    <w:rsid w:val="00C86842"/>
    <w:rsid w:val="00C9427A"/>
    <w:rsid w:val="00C9690C"/>
    <w:rsid w:val="00C96BB5"/>
    <w:rsid w:val="00CA0736"/>
    <w:rsid w:val="00CA24A2"/>
    <w:rsid w:val="00CA49E9"/>
    <w:rsid w:val="00CA6DC7"/>
    <w:rsid w:val="00CB2A94"/>
    <w:rsid w:val="00CB4A76"/>
    <w:rsid w:val="00CC4484"/>
    <w:rsid w:val="00CC6261"/>
    <w:rsid w:val="00CC6705"/>
    <w:rsid w:val="00CC7877"/>
    <w:rsid w:val="00CD105C"/>
    <w:rsid w:val="00CF1F0B"/>
    <w:rsid w:val="00CF4901"/>
    <w:rsid w:val="00CF552E"/>
    <w:rsid w:val="00CF6CEC"/>
    <w:rsid w:val="00D043D4"/>
    <w:rsid w:val="00D1053F"/>
    <w:rsid w:val="00D10F38"/>
    <w:rsid w:val="00D1454F"/>
    <w:rsid w:val="00D216C5"/>
    <w:rsid w:val="00D22171"/>
    <w:rsid w:val="00D274B5"/>
    <w:rsid w:val="00D27AED"/>
    <w:rsid w:val="00D30845"/>
    <w:rsid w:val="00D3210F"/>
    <w:rsid w:val="00D32470"/>
    <w:rsid w:val="00D417B5"/>
    <w:rsid w:val="00D5653F"/>
    <w:rsid w:val="00D60743"/>
    <w:rsid w:val="00D75AD3"/>
    <w:rsid w:val="00D92BC0"/>
    <w:rsid w:val="00D92F77"/>
    <w:rsid w:val="00D965B5"/>
    <w:rsid w:val="00DA0EBA"/>
    <w:rsid w:val="00DA1C1B"/>
    <w:rsid w:val="00DA3C05"/>
    <w:rsid w:val="00DA4EAA"/>
    <w:rsid w:val="00DA61E2"/>
    <w:rsid w:val="00DB1F25"/>
    <w:rsid w:val="00DB43B3"/>
    <w:rsid w:val="00DB6455"/>
    <w:rsid w:val="00DC10F4"/>
    <w:rsid w:val="00DC40DA"/>
    <w:rsid w:val="00DC6851"/>
    <w:rsid w:val="00DC7F13"/>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D94"/>
    <w:rsid w:val="00E07C45"/>
    <w:rsid w:val="00E114AA"/>
    <w:rsid w:val="00E17556"/>
    <w:rsid w:val="00E24460"/>
    <w:rsid w:val="00E2784D"/>
    <w:rsid w:val="00E27D3B"/>
    <w:rsid w:val="00E30EB7"/>
    <w:rsid w:val="00E3112D"/>
    <w:rsid w:val="00E373EB"/>
    <w:rsid w:val="00E42E37"/>
    <w:rsid w:val="00E43E62"/>
    <w:rsid w:val="00E452A2"/>
    <w:rsid w:val="00E50B03"/>
    <w:rsid w:val="00E53564"/>
    <w:rsid w:val="00E552BA"/>
    <w:rsid w:val="00E640C5"/>
    <w:rsid w:val="00E64188"/>
    <w:rsid w:val="00E6570B"/>
    <w:rsid w:val="00E663FA"/>
    <w:rsid w:val="00E66E20"/>
    <w:rsid w:val="00E67CA1"/>
    <w:rsid w:val="00E67D1B"/>
    <w:rsid w:val="00E71C79"/>
    <w:rsid w:val="00E7565E"/>
    <w:rsid w:val="00E76742"/>
    <w:rsid w:val="00E76A3D"/>
    <w:rsid w:val="00E76DB1"/>
    <w:rsid w:val="00E802F2"/>
    <w:rsid w:val="00E82DAD"/>
    <w:rsid w:val="00E86613"/>
    <w:rsid w:val="00E97126"/>
    <w:rsid w:val="00EA15E2"/>
    <w:rsid w:val="00EA48F8"/>
    <w:rsid w:val="00EA6B5D"/>
    <w:rsid w:val="00EA6CD1"/>
    <w:rsid w:val="00EB46EF"/>
    <w:rsid w:val="00EB60A5"/>
    <w:rsid w:val="00EC10F6"/>
    <w:rsid w:val="00EC3F4A"/>
    <w:rsid w:val="00EC5DCF"/>
    <w:rsid w:val="00ED1918"/>
    <w:rsid w:val="00ED24E8"/>
    <w:rsid w:val="00ED2B59"/>
    <w:rsid w:val="00ED2F10"/>
    <w:rsid w:val="00ED5DB0"/>
    <w:rsid w:val="00EE0BB8"/>
    <w:rsid w:val="00EE0BD0"/>
    <w:rsid w:val="00EE7B86"/>
    <w:rsid w:val="00EF118F"/>
    <w:rsid w:val="00EF5F43"/>
    <w:rsid w:val="00F00FB8"/>
    <w:rsid w:val="00F10C89"/>
    <w:rsid w:val="00F11345"/>
    <w:rsid w:val="00F12EEC"/>
    <w:rsid w:val="00F1646F"/>
    <w:rsid w:val="00F168A5"/>
    <w:rsid w:val="00F21CC6"/>
    <w:rsid w:val="00F30BD7"/>
    <w:rsid w:val="00F310F2"/>
    <w:rsid w:val="00F33937"/>
    <w:rsid w:val="00F3442D"/>
    <w:rsid w:val="00F450D5"/>
    <w:rsid w:val="00F540A1"/>
    <w:rsid w:val="00F546CE"/>
    <w:rsid w:val="00F563E2"/>
    <w:rsid w:val="00F60BB7"/>
    <w:rsid w:val="00F66109"/>
    <w:rsid w:val="00F72CBB"/>
    <w:rsid w:val="00F733B2"/>
    <w:rsid w:val="00F91846"/>
    <w:rsid w:val="00F95872"/>
    <w:rsid w:val="00FA0A03"/>
    <w:rsid w:val="00FA24AF"/>
    <w:rsid w:val="00FA4282"/>
    <w:rsid w:val="00FA44AF"/>
    <w:rsid w:val="00FB11CC"/>
    <w:rsid w:val="00FB22B3"/>
    <w:rsid w:val="00FB4F4E"/>
    <w:rsid w:val="00FB7A83"/>
    <w:rsid w:val="00FC20BB"/>
    <w:rsid w:val="00FC31E7"/>
    <w:rsid w:val="00FC4E54"/>
    <w:rsid w:val="00FC65CC"/>
    <w:rsid w:val="00FD1591"/>
    <w:rsid w:val="00FD1CCA"/>
    <w:rsid w:val="00FD4AA8"/>
    <w:rsid w:val="00FD4AC0"/>
    <w:rsid w:val="00FD5F5A"/>
    <w:rsid w:val="00FD7B84"/>
    <w:rsid w:val="00FE0443"/>
    <w:rsid w:val="00FE1E71"/>
    <w:rsid w:val="00FE22A8"/>
    <w:rsid w:val="00FF0880"/>
    <w:rsid w:val="00FF1D40"/>
    <w:rsid w:val="00FF46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EC3F4A"/>
    <w:pPr>
      <w:keepNext/>
      <w:keepLines/>
      <w:spacing w:before="100" w:beforeAutospacing="1" w:after="100" w:afterAutospacing="1" w:line="276" w:lineRule="auto"/>
      <w:jc w:val="both"/>
      <w:outlineLvl w:val="0"/>
    </w:pPr>
    <w:rPr>
      <w:rFonts w:ascii="Simplified Arabic" w:eastAsiaTheme="majorEastAsia" w:hAnsi="Simplified Arabic"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EC3F4A"/>
    <w:rPr>
      <w:rFonts w:ascii="Simplified Arabic" w:eastAsiaTheme="majorEastAsia"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E27D3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30">
    <w:name w:val="toc 3"/>
    <w:basedOn w:val="a"/>
    <w:next w:val="a"/>
    <w:autoRedefine/>
    <w:uiPriority w:val="39"/>
    <w:unhideWhenUsed/>
    <w:rsid w:val="00B31E1F"/>
    <w:pPr>
      <w:spacing w:after="100"/>
      <w:ind w:left="440"/>
    </w:pPr>
  </w:style>
  <w:style w:type="character" w:styleId="ab">
    <w:name w:val="Emphasis"/>
    <w:basedOn w:val="a0"/>
    <w:uiPriority w:val="20"/>
    <w:qFormat/>
    <w:rsid w:val="00335D11"/>
    <w:rPr>
      <w:i/>
      <w:iCs/>
    </w:rPr>
  </w:style>
  <w:style w:type="paragraph" w:customStyle="1" w:styleId="msonormal0">
    <w:name w:val="msonormal"/>
    <w:basedOn w:val="a"/>
    <w:rsid w:val="002A726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1-4">
    <w:name w:val="Grid Table 1 Light Accent 4"/>
    <w:basedOn w:val="a1"/>
    <w:uiPriority w:val="46"/>
    <w:rsid w:val="005F3EA8"/>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6-3">
    <w:name w:val="Grid Table 6 Colorful Accent 3"/>
    <w:basedOn w:val="a1"/>
    <w:uiPriority w:val="51"/>
    <w:rsid w:val="0007333A"/>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64880930">
      <w:bodyDiv w:val="1"/>
      <w:marLeft w:val="0"/>
      <w:marRight w:val="0"/>
      <w:marTop w:val="0"/>
      <w:marBottom w:val="0"/>
      <w:divBdr>
        <w:top w:val="none" w:sz="0" w:space="0" w:color="auto"/>
        <w:left w:val="none" w:sz="0" w:space="0" w:color="auto"/>
        <w:bottom w:val="none" w:sz="0" w:space="0" w:color="auto"/>
        <w:right w:val="none" w:sz="0" w:space="0" w:color="auto"/>
      </w:divBdr>
    </w:div>
    <w:div w:id="66921596">
      <w:bodyDiv w:val="1"/>
      <w:marLeft w:val="0"/>
      <w:marRight w:val="0"/>
      <w:marTop w:val="0"/>
      <w:marBottom w:val="0"/>
      <w:divBdr>
        <w:top w:val="none" w:sz="0" w:space="0" w:color="auto"/>
        <w:left w:val="none" w:sz="0" w:space="0" w:color="auto"/>
        <w:bottom w:val="none" w:sz="0" w:space="0" w:color="auto"/>
        <w:right w:val="none" w:sz="0" w:space="0" w:color="auto"/>
      </w:divBdr>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99224587">
      <w:bodyDiv w:val="1"/>
      <w:marLeft w:val="0"/>
      <w:marRight w:val="0"/>
      <w:marTop w:val="0"/>
      <w:marBottom w:val="0"/>
      <w:divBdr>
        <w:top w:val="none" w:sz="0" w:space="0" w:color="auto"/>
        <w:left w:val="none" w:sz="0" w:space="0" w:color="auto"/>
        <w:bottom w:val="none" w:sz="0" w:space="0" w:color="auto"/>
        <w:right w:val="none" w:sz="0" w:space="0" w:color="auto"/>
      </w:divBdr>
    </w:div>
    <w:div w:id="123425029">
      <w:bodyDiv w:val="1"/>
      <w:marLeft w:val="0"/>
      <w:marRight w:val="0"/>
      <w:marTop w:val="0"/>
      <w:marBottom w:val="0"/>
      <w:divBdr>
        <w:top w:val="none" w:sz="0" w:space="0" w:color="auto"/>
        <w:left w:val="none" w:sz="0" w:space="0" w:color="auto"/>
        <w:bottom w:val="none" w:sz="0" w:space="0" w:color="auto"/>
        <w:right w:val="none" w:sz="0" w:space="0" w:color="auto"/>
      </w:divBdr>
    </w:div>
    <w:div w:id="135727890">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2937858">
      <w:bodyDiv w:val="1"/>
      <w:marLeft w:val="0"/>
      <w:marRight w:val="0"/>
      <w:marTop w:val="0"/>
      <w:marBottom w:val="0"/>
      <w:divBdr>
        <w:top w:val="none" w:sz="0" w:space="0" w:color="auto"/>
        <w:left w:val="none" w:sz="0" w:space="0" w:color="auto"/>
        <w:bottom w:val="none" w:sz="0" w:space="0" w:color="auto"/>
        <w:right w:val="none" w:sz="0" w:space="0" w:color="auto"/>
      </w:divBdr>
    </w:div>
    <w:div w:id="163060772">
      <w:bodyDiv w:val="1"/>
      <w:marLeft w:val="0"/>
      <w:marRight w:val="0"/>
      <w:marTop w:val="0"/>
      <w:marBottom w:val="0"/>
      <w:divBdr>
        <w:top w:val="none" w:sz="0" w:space="0" w:color="auto"/>
        <w:left w:val="none" w:sz="0" w:space="0" w:color="auto"/>
        <w:bottom w:val="none" w:sz="0" w:space="0" w:color="auto"/>
        <w:right w:val="none" w:sz="0" w:space="0" w:color="auto"/>
      </w:divBdr>
    </w:div>
    <w:div w:id="165562537">
      <w:bodyDiv w:val="1"/>
      <w:marLeft w:val="0"/>
      <w:marRight w:val="0"/>
      <w:marTop w:val="0"/>
      <w:marBottom w:val="0"/>
      <w:divBdr>
        <w:top w:val="none" w:sz="0" w:space="0" w:color="auto"/>
        <w:left w:val="none" w:sz="0" w:space="0" w:color="auto"/>
        <w:bottom w:val="none" w:sz="0" w:space="0" w:color="auto"/>
        <w:right w:val="none" w:sz="0" w:space="0" w:color="auto"/>
      </w:divBdr>
    </w:div>
    <w:div w:id="168836812">
      <w:bodyDiv w:val="1"/>
      <w:marLeft w:val="0"/>
      <w:marRight w:val="0"/>
      <w:marTop w:val="0"/>
      <w:marBottom w:val="0"/>
      <w:divBdr>
        <w:top w:val="none" w:sz="0" w:space="0" w:color="auto"/>
        <w:left w:val="none" w:sz="0" w:space="0" w:color="auto"/>
        <w:bottom w:val="none" w:sz="0" w:space="0" w:color="auto"/>
        <w:right w:val="none" w:sz="0" w:space="0" w:color="auto"/>
      </w:divBdr>
    </w:div>
    <w:div w:id="186528422">
      <w:bodyDiv w:val="1"/>
      <w:marLeft w:val="0"/>
      <w:marRight w:val="0"/>
      <w:marTop w:val="0"/>
      <w:marBottom w:val="0"/>
      <w:divBdr>
        <w:top w:val="none" w:sz="0" w:space="0" w:color="auto"/>
        <w:left w:val="none" w:sz="0" w:space="0" w:color="auto"/>
        <w:bottom w:val="none" w:sz="0" w:space="0" w:color="auto"/>
        <w:right w:val="none" w:sz="0" w:space="0" w:color="auto"/>
      </w:divBdr>
      <w:divsChild>
        <w:div w:id="762142323">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602937">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17203047">
      <w:bodyDiv w:val="1"/>
      <w:marLeft w:val="0"/>
      <w:marRight w:val="0"/>
      <w:marTop w:val="0"/>
      <w:marBottom w:val="0"/>
      <w:divBdr>
        <w:top w:val="none" w:sz="0" w:space="0" w:color="auto"/>
        <w:left w:val="none" w:sz="0" w:space="0" w:color="auto"/>
        <w:bottom w:val="none" w:sz="0" w:space="0" w:color="auto"/>
        <w:right w:val="none" w:sz="0" w:space="0" w:color="auto"/>
      </w:divBdr>
    </w:div>
    <w:div w:id="221529962">
      <w:bodyDiv w:val="1"/>
      <w:marLeft w:val="0"/>
      <w:marRight w:val="0"/>
      <w:marTop w:val="0"/>
      <w:marBottom w:val="0"/>
      <w:divBdr>
        <w:top w:val="none" w:sz="0" w:space="0" w:color="auto"/>
        <w:left w:val="none" w:sz="0" w:space="0" w:color="auto"/>
        <w:bottom w:val="none" w:sz="0" w:space="0" w:color="auto"/>
        <w:right w:val="none" w:sz="0" w:space="0" w:color="auto"/>
      </w:divBdr>
    </w:div>
    <w:div w:id="224222662">
      <w:bodyDiv w:val="1"/>
      <w:marLeft w:val="0"/>
      <w:marRight w:val="0"/>
      <w:marTop w:val="0"/>
      <w:marBottom w:val="0"/>
      <w:divBdr>
        <w:top w:val="none" w:sz="0" w:space="0" w:color="auto"/>
        <w:left w:val="none" w:sz="0" w:space="0" w:color="auto"/>
        <w:bottom w:val="none" w:sz="0" w:space="0" w:color="auto"/>
        <w:right w:val="none" w:sz="0" w:space="0" w:color="auto"/>
      </w:divBdr>
    </w:div>
    <w:div w:id="243027253">
      <w:bodyDiv w:val="1"/>
      <w:marLeft w:val="0"/>
      <w:marRight w:val="0"/>
      <w:marTop w:val="0"/>
      <w:marBottom w:val="0"/>
      <w:divBdr>
        <w:top w:val="none" w:sz="0" w:space="0" w:color="auto"/>
        <w:left w:val="none" w:sz="0" w:space="0" w:color="auto"/>
        <w:bottom w:val="none" w:sz="0" w:space="0" w:color="auto"/>
        <w:right w:val="none" w:sz="0" w:space="0" w:color="auto"/>
      </w:divBdr>
    </w:div>
    <w:div w:id="262803110">
      <w:bodyDiv w:val="1"/>
      <w:marLeft w:val="0"/>
      <w:marRight w:val="0"/>
      <w:marTop w:val="0"/>
      <w:marBottom w:val="0"/>
      <w:divBdr>
        <w:top w:val="none" w:sz="0" w:space="0" w:color="auto"/>
        <w:left w:val="none" w:sz="0" w:space="0" w:color="auto"/>
        <w:bottom w:val="none" w:sz="0" w:space="0" w:color="auto"/>
        <w:right w:val="none" w:sz="0" w:space="0" w:color="auto"/>
      </w:divBdr>
    </w:div>
    <w:div w:id="275797406">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88056157">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163936">
      <w:bodyDiv w:val="1"/>
      <w:marLeft w:val="0"/>
      <w:marRight w:val="0"/>
      <w:marTop w:val="0"/>
      <w:marBottom w:val="0"/>
      <w:divBdr>
        <w:top w:val="none" w:sz="0" w:space="0" w:color="auto"/>
        <w:left w:val="none" w:sz="0" w:space="0" w:color="auto"/>
        <w:bottom w:val="none" w:sz="0" w:space="0" w:color="auto"/>
        <w:right w:val="none" w:sz="0" w:space="0" w:color="auto"/>
      </w:divBdr>
    </w:div>
    <w:div w:id="320937905">
      <w:bodyDiv w:val="1"/>
      <w:marLeft w:val="0"/>
      <w:marRight w:val="0"/>
      <w:marTop w:val="0"/>
      <w:marBottom w:val="0"/>
      <w:divBdr>
        <w:top w:val="none" w:sz="0" w:space="0" w:color="auto"/>
        <w:left w:val="none" w:sz="0" w:space="0" w:color="auto"/>
        <w:bottom w:val="none" w:sz="0" w:space="0" w:color="auto"/>
        <w:right w:val="none" w:sz="0" w:space="0" w:color="auto"/>
      </w:divBdr>
    </w:div>
    <w:div w:id="330643193">
      <w:bodyDiv w:val="1"/>
      <w:marLeft w:val="0"/>
      <w:marRight w:val="0"/>
      <w:marTop w:val="0"/>
      <w:marBottom w:val="0"/>
      <w:divBdr>
        <w:top w:val="none" w:sz="0" w:space="0" w:color="auto"/>
        <w:left w:val="none" w:sz="0" w:space="0" w:color="auto"/>
        <w:bottom w:val="none" w:sz="0" w:space="0" w:color="auto"/>
        <w:right w:val="none" w:sz="0" w:space="0" w:color="auto"/>
      </w:divBdr>
    </w:div>
    <w:div w:id="331107454">
      <w:bodyDiv w:val="1"/>
      <w:marLeft w:val="0"/>
      <w:marRight w:val="0"/>
      <w:marTop w:val="0"/>
      <w:marBottom w:val="0"/>
      <w:divBdr>
        <w:top w:val="none" w:sz="0" w:space="0" w:color="auto"/>
        <w:left w:val="none" w:sz="0" w:space="0" w:color="auto"/>
        <w:bottom w:val="none" w:sz="0" w:space="0" w:color="auto"/>
        <w:right w:val="none" w:sz="0" w:space="0" w:color="auto"/>
      </w:divBdr>
    </w:div>
    <w:div w:id="340358727">
      <w:bodyDiv w:val="1"/>
      <w:marLeft w:val="0"/>
      <w:marRight w:val="0"/>
      <w:marTop w:val="0"/>
      <w:marBottom w:val="0"/>
      <w:divBdr>
        <w:top w:val="none" w:sz="0" w:space="0" w:color="auto"/>
        <w:left w:val="none" w:sz="0" w:space="0" w:color="auto"/>
        <w:bottom w:val="none" w:sz="0" w:space="0" w:color="auto"/>
        <w:right w:val="none" w:sz="0" w:space="0" w:color="auto"/>
      </w:divBdr>
    </w:div>
    <w:div w:id="346754628">
      <w:bodyDiv w:val="1"/>
      <w:marLeft w:val="0"/>
      <w:marRight w:val="0"/>
      <w:marTop w:val="0"/>
      <w:marBottom w:val="0"/>
      <w:divBdr>
        <w:top w:val="none" w:sz="0" w:space="0" w:color="auto"/>
        <w:left w:val="none" w:sz="0" w:space="0" w:color="auto"/>
        <w:bottom w:val="none" w:sz="0" w:space="0" w:color="auto"/>
        <w:right w:val="none" w:sz="0" w:space="0" w:color="auto"/>
      </w:divBdr>
      <w:divsChild>
        <w:div w:id="1343167364">
          <w:marLeft w:val="0"/>
          <w:marRight w:val="0"/>
          <w:marTop w:val="0"/>
          <w:marBottom w:val="0"/>
          <w:divBdr>
            <w:top w:val="none" w:sz="0" w:space="0" w:color="auto"/>
            <w:left w:val="none" w:sz="0" w:space="0" w:color="auto"/>
            <w:bottom w:val="none" w:sz="0" w:space="0" w:color="auto"/>
            <w:right w:val="none" w:sz="0" w:space="0" w:color="auto"/>
          </w:divBdr>
          <w:divsChild>
            <w:div w:id="1276211153">
              <w:marLeft w:val="0"/>
              <w:marRight w:val="0"/>
              <w:marTop w:val="0"/>
              <w:marBottom w:val="0"/>
              <w:divBdr>
                <w:top w:val="none" w:sz="0" w:space="0" w:color="auto"/>
                <w:left w:val="none" w:sz="0" w:space="0" w:color="auto"/>
                <w:bottom w:val="none" w:sz="0" w:space="0" w:color="auto"/>
                <w:right w:val="none" w:sz="0" w:space="0" w:color="auto"/>
              </w:divBdr>
              <w:divsChild>
                <w:div w:id="1934779207">
                  <w:marLeft w:val="0"/>
                  <w:marRight w:val="0"/>
                  <w:marTop w:val="0"/>
                  <w:marBottom w:val="0"/>
                  <w:divBdr>
                    <w:top w:val="none" w:sz="0" w:space="0" w:color="auto"/>
                    <w:left w:val="none" w:sz="0" w:space="0" w:color="auto"/>
                    <w:bottom w:val="none" w:sz="0" w:space="0" w:color="auto"/>
                    <w:right w:val="none" w:sz="0" w:space="0" w:color="auto"/>
                  </w:divBdr>
                  <w:divsChild>
                    <w:div w:id="774791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7566380">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9279640">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2000091">
      <w:bodyDiv w:val="1"/>
      <w:marLeft w:val="0"/>
      <w:marRight w:val="0"/>
      <w:marTop w:val="0"/>
      <w:marBottom w:val="0"/>
      <w:divBdr>
        <w:top w:val="none" w:sz="0" w:space="0" w:color="auto"/>
        <w:left w:val="none" w:sz="0" w:space="0" w:color="auto"/>
        <w:bottom w:val="none" w:sz="0" w:space="0" w:color="auto"/>
        <w:right w:val="none" w:sz="0" w:space="0" w:color="auto"/>
      </w:divBdr>
    </w:div>
    <w:div w:id="440801432">
      <w:bodyDiv w:val="1"/>
      <w:marLeft w:val="0"/>
      <w:marRight w:val="0"/>
      <w:marTop w:val="0"/>
      <w:marBottom w:val="0"/>
      <w:divBdr>
        <w:top w:val="none" w:sz="0" w:space="0" w:color="auto"/>
        <w:left w:val="none" w:sz="0" w:space="0" w:color="auto"/>
        <w:bottom w:val="none" w:sz="0" w:space="0" w:color="auto"/>
        <w:right w:val="none" w:sz="0" w:space="0" w:color="auto"/>
      </w:divBdr>
    </w:div>
    <w:div w:id="443496273">
      <w:bodyDiv w:val="1"/>
      <w:marLeft w:val="0"/>
      <w:marRight w:val="0"/>
      <w:marTop w:val="0"/>
      <w:marBottom w:val="0"/>
      <w:divBdr>
        <w:top w:val="none" w:sz="0" w:space="0" w:color="auto"/>
        <w:left w:val="none" w:sz="0" w:space="0" w:color="auto"/>
        <w:bottom w:val="none" w:sz="0" w:space="0" w:color="auto"/>
        <w:right w:val="none" w:sz="0" w:space="0" w:color="auto"/>
      </w:divBdr>
      <w:divsChild>
        <w:div w:id="537820610">
          <w:marLeft w:val="0"/>
          <w:marRight w:val="0"/>
          <w:marTop w:val="0"/>
          <w:marBottom w:val="0"/>
          <w:divBdr>
            <w:top w:val="none" w:sz="0" w:space="0" w:color="auto"/>
            <w:left w:val="none" w:sz="0" w:space="0" w:color="auto"/>
            <w:bottom w:val="none" w:sz="0" w:space="0" w:color="auto"/>
            <w:right w:val="none" w:sz="0" w:space="0" w:color="auto"/>
          </w:divBdr>
          <w:divsChild>
            <w:div w:id="1593657930">
              <w:marLeft w:val="0"/>
              <w:marRight w:val="0"/>
              <w:marTop w:val="0"/>
              <w:marBottom w:val="0"/>
              <w:divBdr>
                <w:top w:val="none" w:sz="0" w:space="0" w:color="auto"/>
                <w:left w:val="none" w:sz="0" w:space="0" w:color="auto"/>
                <w:bottom w:val="none" w:sz="0" w:space="0" w:color="auto"/>
                <w:right w:val="none" w:sz="0" w:space="0" w:color="auto"/>
              </w:divBdr>
              <w:divsChild>
                <w:div w:id="1274248437">
                  <w:marLeft w:val="0"/>
                  <w:marRight w:val="0"/>
                  <w:marTop w:val="0"/>
                  <w:marBottom w:val="0"/>
                  <w:divBdr>
                    <w:top w:val="none" w:sz="0" w:space="0" w:color="auto"/>
                    <w:left w:val="none" w:sz="0" w:space="0" w:color="auto"/>
                    <w:bottom w:val="none" w:sz="0" w:space="0" w:color="auto"/>
                    <w:right w:val="none" w:sz="0" w:space="0" w:color="auto"/>
                  </w:divBdr>
                  <w:divsChild>
                    <w:div w:id="93278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3714454">
      <w:bodyDiv w:val="1"/>
      <w:marLeft w:val="0"/>
      <w:marRight w:val="0"/>
      <w:marTop w:val="0"/>
      <w:marBottom w:val="0"/>
      <w:divBdr>
        <w:top w:val="none" w:sz="0" w:space="0" w:color="auto"/>
        <w:left w:val="none" w:sz="0" w:space="0" w:color="auto"/>
        <w:bottom w:val="none" w:sz="0" w:space="0" w:color="auto"/>
        <w:right w:val="none" w:sz="0" w:space="0" w:color="auto"/>
      </w:divBdr>
    </w:div>
    <w:div w:id="459106952">
      <w:bodyDiv w:val="1"/>
      <w:marLeft w:val="0"/>
      <w:marRight w:val="0"/>
      <w:marTop w:val="0"/>
      <w:marBottom w:val="0"/>
      <w:divBdr>
        <w:top w:val="none" w:sz="0" w:space="0" w:color="auto"/>
        <w:left w:val="none" w:sz="0" w:space="0" w:color="auto"/>
        <w:bottom w:val="none" w:sz="0" w:space="0" w:color="auto"/>
        <w:right w:val="none" w:sz="0" w:space="0" w:color="auto"/>
      </w:divBdr>
    </w:div>
    <w:div w:id="471866623">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26911401">
      <w:bodyDiv w:val="1"/>
      <w:marLeft w:val="0"/>
      <w:marRight w:val="0"/>
      <w:marTop w:val="0"/>
      <w:marBottom w:val="0"/>
      <w:divBdr>
        <w:top w:val="none" w:sz="0" w:space="0" w:color="auto"/>
        <w:left w:val="none" w:sz="0" w:space="0" w:color="auto"/>
        <w:bottom w:val="none" w:sz="0" w:space="0" w:color="auto"/>
        <w:right w:val="none" w:sz="0" w:space="0" w:color="auto"/>
      </w:divBdr>
    </w:div>
    <w:div w:id="528764812">
      <w:bodyDiv w:val="1"/>
      <w:marLeft w:val="0"/>
      <w:marRight w:val="0"/>
      <w:marTop w:val="0"/>
      <w:marBottom w:val="0"/>
      <w:divBdr>
        <w:top w:val="none" w:sz="0" w:space="0" w:color="auto"/>
        <w:left w:val="none" w:sz="0" w:space="0" w:color="auto"/>
        <w:bottom w:val="none" w:sz="0" w:space="0" w:color="auto"/>
        <w:right w:val="none" w:sz="0" w:space="0" w:color="auto"/>
      </w:divBdr>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172950">
      <w:bodyDiv w:val="1"/>
      <w:marLeft w:val="0"/>
      <w:marRight w:val="0"/>
      <w:marTop w:val="0"/>
      <w:marBottom w:val="0"/>
      <w:divBdr>
        <w:top w:val="none" w:sz="0" w:space="0" w:color="auto"/>
        <w:left w:val="none" w:sz="0" w:space="0" w:color="auto"/>
        <w:bottom w:val="none" w:sz="0" w:space="0" w:color="auto"/>
        <w:right w:val="none" w:sz="0" w:space="0" w:color="auto"/>
      </w:divBdr>
    </w:div>
    <w:div w:id="544946439">
      <w:bodyDiv w:val="1"/>
      <w:marLeft w:val="0"/>
      <w:marRight w:val="0"/>
      <w:marTop w:val="0"/>
      <w:marBottom w:val="0"/>
      <w:divBdr>
        <w:top w:val="none" w:sz="0" w:space="0" w:color="auto"/>
        <w:left w:val="none" w:sz="0" w:space="0" w:color="auto"/>
        <w:bottom w:val="none" w:sz="0" w:space="0" w:color="auto"/>
        <w:right w:val="none" w:sz="0" w:space="0" w:color="auto"/>
      </w:divBdr>
    </w:div>
    <w:div w:id="545533971">
      <w:bodyDiv w:val="1"/>
      <w:marLeft w:val="0"/>
      <w:marRight w:val="0"/>
      <w:marTop w:val="0"/>
      <w:marBottom w:val="0"/>
      <w:divBdr>
        <w:top w:val="none" w:sz="0" w:space="0" w:color="auto"/>
        <w:left w:val="none" w:sz="0" w:space="0" w:color="auto"/>
        <w:bottom w:val="none" w:sz="0" w:space="0" w:color="auto"/>
        <w:right w:val="none" w:sz="0" w:space="0" w:color="auto"/>
      </w:divBdr>
    </w:div>
    <w:div w:id="549220708">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4799861">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598485463">
      <w:bodyDiv w:val="1"/>
      <w:marLeft w:val="0"/>
      <w:marRight w:val="0"/>
      <w:marTop w:val="0"/>
      <w:marBottom w:val="0"/>
      <w:divBdr>
        <w:top w:val="none" w:sz="0" w:space="0" w:color="auto"/>
        <w:left w:val="none" w:sz="0" w:space="0" w:color="auto"/>
        <w:bottom w:val="none" w:sz="0" w:space="0" w:color="auto"/>
        <w:right w:val="none" w:sz="0" w:space="0" w:color="auto"/>
      </w:divBdr>
    </w:div>
    <w:div w:id="604193122">
      <w:bodyDiv w:val="1"/>
      <w:marLeft w:val="0"/>
      <w:marRight w:val="0"/>
      <w:marTop w:val="0"/>
      <w:marBottom w:val="0"/>
      <w:divBdr>
        <w:top w:val="none" w:sz="0" w:space="0" w:color="auto"/>
        <w:left w:val="none" w:sz="0" w:space="0" w:color="auto"/>
        <w:bottom w:val="none" w:sz="0" w:space="0" w:color="auto"/>
        <w:right w:val="none" w:sz="0" w:space="0" w:color="auto"/>
      </w:divBdr>
    </w:div>
    <w:div w:id="625552365">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37227941">
      <w:bodyDiv w:val="1"/>
      <w:marLeft w:val="0"/>
      <w:marRight w:val="0"/>
      <w:marTop w:val="0"/>
      <w:marBottom w:val="0"/>
      <w:divBdr>
        <w:top w:val="none" w:sz="0" w:space="0" w:color="auto"/>
        <w:left w:val="none" w:sz="0" w:space="0" w:color="auto"/>
        <w:bottom w:val="none" w:sz="0" w:space="0" w:color="auto"/>
        <w:right w:val="none" w:sz="0" w:space="0" w:color="auto"/>
      </w:divBdr>
    </w:div>
    <w:div w:id="645430392">
      <w:bodyDiv w:val="1"/>
      <w:marLeft w:val="0"/>
      <w:marRight w:val="0"/>
      <w:marTop w:val="0"/>
      <w:marBottom w:val="0"/>
      <w:divBdr>
        <w:top w:val="none" w:sz="0" w:space="0" w:color="auto"/>
        <w:left w:val="none" w:sz="0" w:space="0" w:color="auto"/>
        <w:bottom w:val="none" w:sz="0" w:space="0" w:color="auto"/>
        <w:right w:val="none" w:sz="0" w:space="0" w:color="auto"/>
      </w:divBdr>
    </w:div>
    <w:div w:id="647831799">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7147116">
      <w:bodyDiv w:val="1"/>
      <w:marLeft w:val="0"/>
      <w:marRight w:val="0"/>
      <w:marTop w:val="0"/>
      <w:marBottom w:val="0"/>
      <w:divBdr>
        <w:top w:val="none" w:sz="0" w:space="0" w:color="auto"/>
        <w:left w:val="none" w:sz="0" w:space="0" w:color="auto"/>
        <w:bottom w:val="none" w:sz="0" w:space="0" w:color="auto"/>
        <w:right w:val="none" w:sz="0" w:space="0" w:color="auto"/>
      </w:divBdr>
    </w:div>
    <w:div w:id="657223602">
      <w:bodyDiv w:val="1"/>
      <w:marLeft w:val="0"/>
      <w:marRight w:val="0"/>
      <w:marTop w:val="0"/>
      <w:marBottom w:val="0"/>
      <w:divBdr>
        <w:top w:val="none" w:sz="0" w:space="0" w:color="auto"/>
        <w:left w:val="none" w:sz="0" w:space="0" w:color="auto"/>
        <w:bottom w:val="none" w:sz="0" w:space="0" w:color="auto"/>
        <w:right w:val="none" w:sz="0" w:space="0" w:color="auto"/>
      </w:divBdr>
    </w:div>
    <w:div w:id="660424852">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90301803">
      <w:bodyDiv w:val="1"/>
      <w:marLeft w:val="0"/>
      <w:marRight w:val="0"/>
      <w:marTop w:val="0"/>
      <w:marBottom w:val="0"/>
      <w:divBdr>
        <w:top w:val="none" w:sz="0" w:space="0" w:color="auto"/>
        <w:left w:val="none" w:sz="0" w:space="0" w:color="auto"/>
        <w:bottom w:val="none" w:sz="0" w:space="0" w:color="auto"/>
        <w:right w:val="none" w:sz="0" w:space="0" w:color="auto"/>
      </w:divBdr>
    </w:div>
    <w:div w:id="702755010">
      <w:bodyDiv w:val="1"/>
      <w:marLeft w:val="0"/>
      <w:marRight w:val="0"/>
      <w:marTop w:val="0"/>
      <w:marBottom w:val="0"/>
      <w:divBdr>
        <w:top w:val="none" w:sz="0" w:space="0" w:color="auto"/>
        <w:left w:val="none" w:sz="0" w:space="0" w:color="auto"/>
        <w:bottom w:val="none" w:sz="0" w:space="0" w:color="auto"/>
        <w:right w:val="none" w:sz="0" w:space="0" w:color="auto"/>
      </w:divBdr>
    </w:div>
    <w:div w:id="707486295">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49933533">
      <w:bodyDiv w:val="1"/>
      <w:marLeft w:val="0"/>
      <w:marRight w:val="0"/>
      <w:marTop w:val="0"/>
      <w:marBottom w:val="0"/>
      <w:divBdr>
        <w:top w:val="none" w:sz="0" w:space="0" w:color="auto"/>
        <w:left w:val="none" w:sz="0" w:space="0" w:color="auto"/>
        <w:bottom w:val="none" w:sz="0" w:space="0" w:color="auto"/>
        <w:right w:val="none" w:sz="0" w:space="0" w:color="auto"/>
      </w:divBdr>
    </w:div>
    <w:div w:id="756367361">
      <w:bodyDiv w:val="1"/>
      <w:marLeft w:val="0"/>
      <w:marRight w:val="0"/>
      <w:marTop w:val="0"/>
      <w:marBottom w:val="0"/>
      <w:divBdr>
        <w:top w:val="none" w:sz="0" w:space="0" w:color="auto"/>
        <w:left w:val="none" w:sz="0" w:space="0" w:color="auto"/>
        <w:bottom w:val="none" w:sz="0" w:space="0" w:color="auto"/>
        <w:right w:val="none" w:sz="0" w:space="0" w:color="auto"/>
      </w:divBdr>
    </w:div>
    <w:div w:id="761606432">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829174388">
      <w:bodyDiv w:val="1"/>
      <w:marLeft w:val="0"/>
      <w:marRight w:val="0"/>
      <w:marTop w:val="0"/>
      <w:marBottom w:val="0"/>
      <w:divBdr>
        <w:top w:val="none" w:sz="0" w:space="0" w:color="auto"/>
        <w:left w:val="none" w:sz="0" w:space="0" w:color="auto"/>
        <w:bottom w:val="none" w:sz="0" w:space="0" w:color="auto"/>
        <w:right w:val="none" w:sz="0" w:space="0" w:color="auto"/>
      </w:divBdr>
    </w:div>
    <w:div w:id="832836635">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44855305">
      <w:bodyDiv w:val="1"/>
      <w:marLeft w:val="0"/>
      <w:marRight w:val="0"/>
      <w:marTop w:val="0"/>
      <w:marBottom w:val="0"/>
      <w:divBdr>
        <w:top w:val="none" w:sz="0" w:space="0" w:color="auto"/>
        <w:left w:val="none" w:sz="0" w:space="0" w:color="auto"/>
        <w:bottom w:val="none" w:sz="0" w:space="0" w:color="auto"/>
        <w:right w:val="none" w:sz="0" w:space="0" w:color="auto"/>
      </w:divBdr>
    </w:div>
    <w:div w:id="862938110">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75502522">
      <w:bodyDiv w:val="1"/>
      <w:marLeft w:val="0"/>
      <w:marRight w:val="0"/>
      <w:marTop w:val="0"/>
      <w:marBottom w:val="0"/>
      <w:divBdr>
        <w:top w:val="none" w:sz="0" w:space="0" w:color="auto"/>
        <w:left w:val="none" w:sz="0" w:space="0" w:color="auto"/>
        <w:bottom w:val="none" w:sz="0" w:space="0" w:color="auto"/>
        <w:right w:val="none" w:sz="0" w:space="0" w:color="auto"/>
      </w:divBdr>
    </w:div>
    <w:div w:id="880945905">
      <w:bodyDiv w:val="1"/>
      <w:marLeft w:val="0"/>
      <w:marRight w:val="0"/>
      <w:marTop w:val="0"/>
      <w:marBottom w:val="0"/>
      <w:divBdr>
        <w:top w:val="none" w:sz="0" w:space="0" w:color="auto"/>
        <w:left w:val="none" w:sz="0" w:space="0" w:color="auto"/>
        <w:bottom w:val="none" w:sz="0" w:space="0" w:color="auto"/>
        <w:right w:val="none" w:sz="0" w:space="0" w:color="auto"/>
      </w:divBdr>
    </w:div>
    <w:div w:id="881477177">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85917789">
      <w:bodyDiv w:val="1"/>
      <w:marLeft w:val="0"/>
      <w:marRight w:val="0"/>
      <w:marTop w:val="0"/>
      <w:marBottom w:val="0"/>
      <w:divBdr>
        <w:top w:val="none" w:sz="0" w:space="0" w:color="auto"/>
        <w:left w:val="none" w:sz="0" w:space="0" w:color="auto"/>
        <w:bottom w:val="none" w:sz="0" w:space="0" w:color="auto"/>
        <w:right w:val="none" w:sz="0" w:space="0" w:color="auto"/>
      </w:divBdr>
    </w:div>
    <w:div w:id="892230725">
      <w:bodyDiv w:val="1"/>
      <w:marLeft w:val="0"/>
      <w:marRight w:val="0"/>
      <w:marTop w:val="0"/>
      <w:marBottom w:val="0"/>
      <w:divBdr>
        <w:top w:val="none" w:sz="0" w:space="0" w:color="auto"/>
        <w:left w:val="none" w:sz="0" w:space="0" w:color="auto"/>
        <w:bottom w:val="none" w:sz="0" w:space="0" w:color="auto"/>
        <w:right w:val="none" w:sz="0" w:space="0" w:color="auto"/>
      </w:divBdr>
    </w:div>
    <w:div w:id="90009267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6454963">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36062417">
      <w:bodyDiv w:val="1"/>
      <w:marLeft w:val="0"/>
      <w:marRight w:val="0"/>
      <w:marTop w:val="0"/>
      <w:marBottom w:val="0"/>
      <w:divBdr>
        <w:top w:val="none" w:sz="0" w:space="0" w:color="auto"/>
        <w:left w:val="none" w:sz="0" w:space="0" w:color="auto"/>
        <w:bottom w:val="none" w:sz="0" w:space="0" w:color="auto"/>
        <w:right w:val="none" w:sz="0" w:space="0" w:color="auto"/>
      </w:divBdr>
    </w:div>
    <w:div w:id="93613378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918677">
      <w:bodyDiv w:val="1"/>
      <w:marLeft w:val="0"/>
      <w:marRight w:val="0"/>
      <w:marTop w:val="0"/>
      <w:marBottom w:val="0"/>
      <w:divBdr>
        <w:top w:val="none" w:sz="0" w:space="0" w:color="auto"/>
        <w:left w:val="none" w:sz="0" w:space="0" w:color="auto"/>
        <w:bottom w:val="none" w:sz="0" w:space="0" w:color="auto"/>
        <w:right w:val="none" w:sz="0" w:space="0" w:color="auto"/>
      </w:divBdr>
    </w:div>
    <w:div w:id="976763930">
      <w:bodyDiv w:val="1"/>
      <w:marLeft w:val="0"/>
      <w:marRight w:val="0"/>
      <w:marTop w:val="0"/>
      <w:marBottom w:val="0"/>
      <w:divBdr>
        <w:top w:val="none" w:sz="0" w:space="0" w:color="auto"/>
        <w:left w:val="none" w:sz="0" w:space="0" w:color="auto"/>
        <w:bottom w:val="none" w:sz="0" w:space="0" w:color="auto"/>
        <w:right w:val="none" w:sz="0" w:space="0" w:color="auto"/>
      </w:divBdr>
    </w:div>
    <w:div w:id="981345623">
      <w:bodyDiv w:val="1"/>
      <w:marLeft w:val="0"/>
      <w:marRight w:val="0"/>
      <w:marTop w:val="0"/>
      <w:marBottom w:val="0"/>
      <w:divBdr>
        <w:top w:val="none" w:sz="0" w:space="0" w:color="auto"/>
        <w:left w:val="none" w:sz="0" w:space="0" w:color="auto"/>
        <w:bottom w:val="none" w:sz="0" w:space="0" w:color="auto"/>
        <w:right w:val="none" w:sz="0" w:space="0" w:color="auto"/>
      </w:divBdr>
      <w:divsChild>
        <w:div w:id="209610981">
          <w:marLeft w:val="0"/>
          <w:marRight w:val="0"/>
          <w:marTop w:val="0"/>
          <w:marBottom w:val="0"/>
          <w:divBdr>
            <w:top w:val="none" w:sz="0" w:space="0" w:color="auto"/>
            <w:left w:val="none" w:sz="0" w:space="0" w:color="auto"/>
            <w:bottom w:val="none" w:sz="0" w:space="0" w:color="auto"/>
            <w:right w:val="none" w:sz="0" w:space="0" w:color="auto"/>
          </w:divBdr>
          <w:divsChild>
            <w:div w:id="164787792">
              <w:marLeft w:val="0"/>
              <w:marRight w:val="0"/>
              <w:marTop w:val="0"/>
              <w:marBottom w:val="0"/>
              <w:divBdr>
                <w:top w:val="none" w:sz="0" w:space="0" w:color="auto"/>
                <w:left w:val="none" w:sz="0" w:space="0" w:color="auto"/>
                <w:bottom w:val="none" w:sz="0" w:space="0" w:color="auto"/>
                <w:right w:val="none" w:sz="0" w:space="0" w:color="auto"/>
              </w:divBdr>
              <w:divsChild>
                <w:div w:id="1696074069">
                  <w:marLeft w:val="0"/>
                  <w:marRight w:val="0"/>
                  <w:marTop w:val="0"/>
                  <w:marBottom w:val="0"/>
                  <w:divBdr>
                    <w:top w:val="none" w:sz="0" w:space="0" w:color="auto"/>
                    <w:left w:val="none" w:sz="0" w:space="0" w:color="auto"/>
                    <w:bottom w:val="none" w:sz="0" w:space="0" w:color="auto"/>
                    <w:right w:val="none" w:sz="0" w:space="0" w:color="auto"/>
                  </w:divBdr>
                  <w:divsChild>
                    <w:div w:id="122690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1257862">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3357690">
      <w:bodyDiv w:val="1"/>
      <w:marLeft w:val="0"/>
      <w:marRight w:val="0"/>
      <w:marTop w:val="0"/>
      <w:marBottom w:val="0"/>
      <w:divBdr>
        <w:top w:val="none" w:sz="0" w:space="0" w:color="auto"/>
        <w:left w:val="none" w:sz="0" w:space="0" w:color="auto"/>
        <w:bottom w:val="none" w:sz="0" w:space="0" w:color="auto"/>
        <w:right w:val="none" w:sz="0" w:space="0" w:color="auto"/>
      </w:divBdr>
    </w:div>
    <w:div w:id="1009599347">
      <w:bodyDiv w:val="1"/>
      <w:marLeft w:val="0"/>
      <w:marRight w:val="0"/>
      <w:marTop w:val="0"/>
      <w:marBottom w:val="0"/>
      <w:divBdr>
        <w:top w:val="none" w:sz="0" w:space="0" w:color="auto"/>
        <w:left w:val="none" w:sz="0" w:space="0" w:color="auto"/>
        <w:bottom w:val="none" w:sz="0" w:space="0" w:color="auto"/>
        <w:right w:val="none" w:sz="0" w:space="0" w:color="auto"/>
      </w:divBdr>
    </w:div>
    <w:div w:id="1013843997">
      <w:bodyDiv w:val="1"/>
      <w:marLeft w:val="0"/>
      <w:marRight w:val="0"/>
      <w:marTop w:val="0"/>
      <w:marBottom w:val="0"/>
      <w:divBdr>
        <w:top w:val="none" w:sz="0" w:space="0" w:color="auto"/>
        <w:left w:val="none" w:sz="0" w:space="0" w:color="auto"/>
        <w:bottom w:val="none" w:sz="0" w:space="0" w:color="auto"/>
        <w:right w:val="none" w:sz="0" w:space="0" w:color="auto"/>
      </w:divBdr>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9453268">
      <w:bodyDiv w:val="1"/>
      <w:marLeft w:val="0"/>
      <w:marRight w:val="0"/>
      <w:marTop w:val="0"/>
      <w:marBottom w:val="0"/>
      <w:divBdr>
        <w:top w:val="none" w:sz="0" w:space="0" w:color="auto"/>
        <w:left w:val="none" w:sz="0" w:space="0" w:color="auto"/>
        <w:bottom w:val="none" w:sz="0" w:space="0" w:color="auto"/>
        <w:right w:val="none" w:sz="0" w:space="0" w:color="auto"/>
      </w:divBdr>
    </w:div>
    <w:div w:id="1042561578">
      <w:bodyDiv w:val="1"/>
      <w:marLeft w:val="0"/>
      <w:marRight w:val="0"/>
      <w:marTop w:val="0"/>
      <w:marBottom w:val="0"/>
      <w:divBdr>
        <w:top w:val="none" w:sz="0" w:space="0" w:color="auto"/>
        <w:left w:val="none" w:sz="0" w:space="0" w:color="auto"/>
        <w:bottom w:val="none" w:sz="0" w:space="0" w:color="auto"/>
        <w:right w:val="none" w:sz="0" w:space="0" w:color="auto"/>
      </w:divBdr>
    </w:div>
    <w:div w:id="1044715717">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97166607">
      <w:bodyDiv w:val="1"/>
      <w:marLeft w:val="0"/>
      <w:marRight w:val="0"/>
      <w:marTop w:val="0"/>
      <w:marBottom w:val="0"/>
      <w:divBdr>
        <w:top w:val="none" w:sz="0" w:space="0" w:color="auto"/>
        <w:left w:val="none" w:sz="0" w:space="0" w:color="auto"/>
        <w:bottom w:val="none" w:sz="0" w:space="0" w:color="auto"/>
        <w:right w:val="none" w:sz="0" w:space="0" w:color="auto"/>
      </w:divBdr>
    </w:div>
    <w:div w:id="1107852521">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6993805">
      <w:bodyDiv w:val="1"/>
      <w:marLeft w:val="0"/>
      <w:marRight w:val="0"/>
      <w:marTop w:val="0"/>
      <w:marBottom w:val="0"/>
      <w:divBdr>
        <w:top w:val="none" w:sz="0" w:space="0" w:color="auto"/>
        <w:left w:val="none" w:sz="0" w:space="0" w:color="auto"/>
        <w:bottom w:val="none" w:sz="0" w:space="0" w:color="auto"/>
        <w:right w:val="none" w:sz="0" w:space="0" w:color="auto"/>
      </w:divBdr>
      <w:divsChild>
        <w:div w:id="1549603603">
          <w:marLeft w:val="0"/>
          <w:marRight w:val="0"/>
          <w:marTop w:val="0"/>
          <w:marBottom w:val="0"/>
          <w:divBdr>
            <w:top w:val="none" w:sz="0" w:space="0" w:color="auto"/>
            <w:left w:val="none" w:sz="0" w:space="0" w:color="auto"/>
            <w:bottom w:val="none" w:sz="0" w:space="0" w:color="auto"/>
            <w:right w:val="none" w:sz="0" w:space="0" w:color="auto"/>
          </w:divBdr>
          <w:divsChild>
            <w:div w:id="1086726335">
              <w:marLeft w:val="0"/>
              <w:marRight w:val="0"/>
              <w:marTop w:val="0"/>
              <w:marBottom w:val="0"/>
              <w:divBdr>
                <w:top w:val="none" w:sz="0" w:space="0" w:color="auto"/>
                <w:left w:val="none" w:sz="0" w:space="0" w:color="auto"/>
                <w:bottom w:val="none" w:sz="0" w:space="0" w:color="auto"/>
                <w:right w:val="none" w:sz="0" w:space="0" w:color="auto"/>
              </w:divBdr>
              <w:divsChild>
                <w:div w:id="1253122846">
                  <w:marLeft w:val="0"/>
                  <w:marRight w:val="0"/>
                  <w:marTop w:val="0"/>
                  <w:marBottom w:val="0"/>
                  <w:divBdr>
                    <w:top w:val="none" w:sz="0" w:space="0" w:color="auto"/>
                    <w:left w:val="none" w:sz="0" w:space="0" w:color="auto"/>
                    <w:bottom w:val="none" w:sz="0" w:space="0" w:color="auto"/>
                    <w:right w:val="none" w:sz="0" w:space="0" w:color="auto"/>
                  </w:divBdr>
                  <w:divsChild>
                    <w:div w:id="1346052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64397592">
      <w:bodyDiv w:val="1"/>
      <w:marLeft w:val="0"/>
      <w:marRight w:val="0"/>
      <w:marTop w:val="0"/>
      <w:marBottom w:val="0"/>
      <w:divBdr>
        <w:top w:val="none" w:sz="0" w:space="0" w:color="auto"/>
        <w:left w:val="none" w:sz="0" w:space="0" w:color="auto"/>
        <w:bottom w:val="none" w:sz="0" w:space="0" w:color="auto"/>
        <w:right w:val="none" w:sz="0" w:space="0" w:color="auto"/>
      </w:divBdr>
    </w:div>
    <w:div w:id="1164736475">
      <w:bodyDiv w:val="1"/>
      <w:marLeft w:val="0"/>
      <w:marRight w:val="0"/>
      <w:marTop w:val="0"/>
      <w:marBottom w:val="0"/>
      <w:divBdr>
        <w:top w:val="none" w:sz="0" w:space="0" w:color="auto"/>
        <w:left w:val="none" w:sz="0" w:space="0" w:color="auto"/>
        <w:bottom w:val="none" w:sz="0" w:space="0" w:color="auto"/>
        <w:right w:val="none" w:sz="0" w:space="0" w:color="auto"/>
      </w:divBdr>
    </w:div>
    <w:div w:id="116505303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75001703">
      <w:bodyDiv w:val="1"/>
      <w:marLeft w:val="0"/>
      <w:marRight w:val="0"/>
      <w:marTop w:val="0"/>
      <w:marBottom w:val="0"/>
      <w:divBdr>
        <w:top w:val="none" w:sz="0" w:space="0" w:color="auto"/>
        <w:left w:val="none" w:sz="0" w:space="0" w:color="auto"/>
        <w:bottom w:val="none" w:sz="0" w:space="0" w:color="auto"/>
        <w:right w:val="none" w:sz="0" w:space="0" w:color="auto"/>
      </w:divBdr>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208109744">
      <w:bodyDiv w:val="1"/>
      <w:marLeft w:val="0"/>
      <w:marRight w:val="0"/>
      <w:marTop w:val="0"/>
      <w:marBottom w:val="0"/>
      <w:divBdr>
        <w:top w:val="none" w:sz="0" w:space="0" w:color="auto"/>
        <w:left w:val="none" w:sz="0" w:space="0" w:color="auto"/>
        <w:bottom w:val="none" w:sz="0" w:space="0" w:color="auto"/>
        <w:right w:val="none" w:sz="0" w:space="0" w:color="auto"/>
      </w:divBdr>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18080727">
      <w:bodyDiv w:val="1"/>
      <w:marLeft w:val="0"/>
      <w:marRight w:val="0"/>
      <w:marTop w:val="0"/>
      <w:marBottom w:val="0"/>
      <w:divBdr>
        <w:top w:val="none" w:sz="0" w:space="0" w:color="auto"/>
        <w:left w:val="none" w:sz="0" w:space="0" w:color="auto"/>
        <w:bottom w:val="none" w:sz="0" w:space="0" w:color="auto"/>
        <w:right w:val="none" w:sz="0" w:space="0" w:color="auto"/>
      </w:divBdr>
      <w:divsChild>
        <w:div w:id="1209150502">
          <w:marLeft w:val="0"/>
          <w:marRight w:val="0"/>
          <w:marTop w:val="0"/>
          <w:marBottom w:val="0"/>
          <w:divBdr>
            <w:top w:val="none" w:sz="0" w:space="0" w:color="auto"/>
            <w:left w:val="none" w:sz="0" w:space="0" w:color="auto"/>
            <w:bottom w:val="none" w:sz="0" w:space="0" w:color="auto"/>
            <w:right w:val="none" w:sz="0" w:space="0" w:color="auto"/>
          </w:divBdr>
          <w:divsChild>
            <w:div w:id="51083965">
              <w:marLeft w:val="0"/>
              <w:marRight w:val="0"/>
              <w:marTop w:val="0"/>
              <w:marBottom w:val="0"/>
              <w:divBdr>
                <w:top w:val="none" w:sz="0" w:space="0" w:color="auto"/>
                <w:left w:val="none" w:sz="0" w:space="0" w:color="auto"/>
                <w:bottom w:val="none" w:sz="0" w:space="0" w:color="auto"/>
                <w:right w:val="none" w:sz="0" w:space="0" w:color="auto"/>
              </w:divBdr>
              <w:divsChild>
                <w:div w:id="1386874630">
                  <w:marLeft w:val="0"/>
                  <w:marRight w:val="0"/>
                  <w:marTop w:val="0"/>
                  <w:marBottom w:val="0"/>
                  <w:divBdr>
                    <w:top w:val="none" w:sz="0" w:space="0" w:color="auto"/>
                    <w:left w:val="none" w:sz="0" w:space="0" w:color="auto"/>
                    <w:bottom w:val="none" w:sz="0" w:space="0" w:color="auto"/>
                    <w:right w:val="none" w:sz="0" w:space="0" w:color="auto"/>
                  </w:divBdr>
                  <w:divsChild>
                    <w:div w:id="160322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24830211">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58364287">
      <w:bodyDiv w:val="1"/>
      <w:marLeft w:val="0"/>
      <w:marRight w:val="0"/>
      <w:marTop w:val="0"/>
      <w:marBottom w:val="0"/>
      <w:divBdr>
        <w:top w:val="none" w:sz="0" w:space="0" w:color="auto"/>
        <w:left w:val="none" w:sz="0" w:space="0" w:color="auto"/>
        <w:bottom w:val="none" w:sz="0" w:space="0" w:color="auto"/>
        <w:right w:val="none" w:sz="0" w:space="0" w:color="auto"/>
      </w:divBdr>
    </w:div>
    <w:div w:id="1265648412">
      <w:bodyDiv w:val="1"/>
      <w:marLeft w:val="0"/>
      <w:marRight w:val="0"/>
      <w:marTop w:val="0"/>
      <w:marBottom w:val="0"/>
      <w:divBdr>
        <w:top w:val="none" w:sz="0" w:space="0" w:color="auto"/>
        <w:left w:val="none" w:sz="0" w:space="0" w:color="auto"/>
        <w:bottom w:val="none" w:sz="0" w:space="0" w:color="auto"/>
        <w:right w:val="none" w:sz="0" w:space="0" w:color="auto"/>
      </w:divBdr>
    </w:div>
    <w:div w:id="1284313116">
      <w:bodyDiv w:val="1"/>
      <w:marLeft w:val="0"/>
      <w:marRight w:val="0"/>
      <w:marTop w:val="0"/>
      <w:marBottom w:val="0"/>
      <w:divBdr>
        <w:top w:val="none" w:sz="0" w:space="0" w:color="auto"/>
        <w:left w:val="none" w:sz="0" w:space="0" w:color="auto"/>
        <w:bottom w:val="none" w:sz="0" w:space="0" w:color="auto"/>
        <w:right w:val="none" w:sz="0" w:space="0" w:color="auto"/>
      </w:divBdr>
    </w:div>
    <w:div w:id="1323659938">
      <w:bodyDiv w:val="1"/>
      <w:marLeft w:val="0"/>
      <w:marRight w:val="0"/>
      <w:marTop w:val="0"/>
      <w:marBottom w:val="0"/>
      <w:divBdr>
        <w:top w:val="none" w:sz="0" w:space="0" w:color="auto"/>
        <w:left w:val="none" w:sz="0" w:space="0" w:color="auto"/>
        <w:bottom w:val="none" w:sz="0" w:space="0" w:color="auto"/>
        <w:right w:val="none" w:sz="0" w:space="0" w:color="auto"/>
      </w:divBdr>
    </w:div>
    <w:div w:id="1335104835">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37920293">
      <w:bodyDiv w:val="1"/>
      <w:marLeft w:val="0"/>
      <w:marRight w:val="0"/>
      <w:marTop w:val="0"/>
      <w:marBottom w:val="0"/>
      <w:divBdr>
        <w:top w:val="none" w:sz="0" w:space="0" w:color="auto"/>
        <w:left w:val="none" w:sz="0" w:space="0" w:color="auto"/>
        <w:bottom w:val="none" w:sz="0" w:space="0" w:color="auto"/>
        <w:right w:val="none" w:sz="0" w:space="0" w:color="auto"/>
      </w:divBdr>
    </w:div>
    <w:div w:id="1348873476">
      <w:bodyDiv w:val="1"/>
      <w:marLeft w:val="0"/>
      <w:marRight w:val="0"/>
      <w:marTop w:val="0"/>
      <w:marBottom w:val="0"/>
      <w:divBdr>
        <w:top w:val="none" w:sz="0" w:space="0" w:color="auto"/>
        <w:left w:val="none" w:sz="0" w:space="0" w:color="auto"/>
        <w:bottom w:val="none" w:sz="0" w:space="0" w:color="auto"/>
        <w:right w:val="none" w:sz="0" w:space="0" w:color="auto"/>
      </w:divBdr>
    </w:div>
    <w:div w:id="1349138508">
      <w:bodyDiv w:val="1"/>
      <w:marLeft w:val="0"/>
      <w:marRight w:val="0"/>
      <w:marTop w:val="0"/>
      <w:marBottom w:val="0"/>
      <w:divBdr>
        <w:top w:val="none" w:sz="0" w:space="0" w:color="auto"/>
        <w:left w:val="none" w:sz="0" w:space="0" w:color="auto"/>
        <w:bottom w:val="none" w:sz="0" w:space="0" w:color="auto"/>
        <w:right w:val="none" w:sz="0" w:space="0" w:color="auto"/>
      </w:divBdr>
    </w:div>
    <w:div w:id="1349260025">
      <w:bodyDiv w:val="1"/>
      <w:marLeft w:val="0"/>
      <w:marRight w:val="0"/>
      <w:marTop w:val="0"/>
      <w:marBottom w:val="0"/>
      <w:divBdr>
        <w:top w:val="none" w:sz="0" w:space="0" w:color="auto"/>
        <w:left w:val="none" w:sz="0" w:space="0" w:color="auto"/>
        <w:bottom w:val="none" w:sz="0" w:space="0" w:color="auto"/>
        <w:right w:val="none" w:sz="0" w:space="0" w:color="auto"/>
      </w:divBdr>
      <w:divsChild>
        <w:div w:id="1999840798">
          <w:marLeft w:val="0"/>
          <w:marRight w:val="0"/>
          <w:marTop w:val="0"/>
          <w:marBottom w:val="0"/>
          <w:divBdr>
            <w:top w:val="none" w:sz="0" w:space="0" w:color="auto"/>
            <w:left w:val="none" w:sz="0" w:space="0" w:color="auto"/>
            <w:bottom w:val="none" w:sz="0" w:space="0" w:color="auto"/>
            <w:right w:val="none" w:sz="0" w:space="0" w:color="auto"/>
          </w:divBdr>
        </w:div>
      </w:divsChild>
    </w:div>
    <w:div w:id="1361053083">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999338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3043670">
      <w:bodyDiv w:val="1"/>
      <w:marLeft w:val="0"/>
      <w:marRight w:val="0"/>
      <w:marTop w:val="0"/>
      <w:marBottom w:val="0"/>
      <w:divBdr>
        <w:top w:val="none" w:sz="0" w:space="0" w:color="auto"/>
        <w:left w:val="none" w:sz="0" w:space="0" w:color="auto"/>
        <w:bottom w:val="none" w:sz="0" w:space="0" w:color="auto"/>
        <w:right w:val="none" w:sz="0" w:space="0" w:color="auto"/>
      </w:divBdr>
    </w:div>
    <w:div w:id="1416246061">
      <w:bodyDiv w:val="1"/>
      <w:marLeft w:val="0"/>
      <w:marRight w:val="0"/>
      <w:marTop w:val="0"/>
      <w:marBottom w:val="0"/>
      <w:divBdr>
        <w:top w:val="none" w:sz="0" w:space="0" w:color="auto"/>
        <w:left w:val="none" w:sz="0" w:space="0" w:color="auto"/>
        <w:bottom w:val="none" w:sz="0" w:space="0" w:color="auto"/>
        <w:right w:val="none" w:sz="0" w:space="0" w:color="auto"/>
      </w:divBdr>
    </w:div>
    <w:div w:id="1419792121">
      <w:bodyDiv w:val="1"/>
      <w:marLeft w:val="0"/>
      <w:marRight w:val="0"/>
      <w:marTop w:val="0"/>
      <w:marBottom w:val="0"/>
      <w:divBdr>
        <w:top w:val="none" w:sz="0" w:space="0" w:color="auto"/>
        <w:left w:val="none" w:sz="0" w:space="0" w:color="auto"/>
        <w:bottom w:val="none" w:sz="0" w:space="0" w:color="auto"/>
        <w:right w:val="none" w:sz="0" w:space="0" w:color="auto"/>
      </w:divBdr>
    </w:div>
    <w:div w:id="1426606831">
      <w:bodyDiv w:val="1"/>
      <w:marLeft w:val="0"/>
      <w:marRight w:val="0"/>
      <w:marTop w:val="0"/>
      <w:marBottom w:val="0"/>
      <w:divBdr>
        <w:top w:val="none" w:sz="0" w:space="0" w:color="auto"/>
        <w:left w:val="none" w:sz="0" w:space="0" w:color="auto"/>
        <w:bottom w:val="none" w:sz="0" w:space="0" w:color="auto"/>
        <w:right w:val="none" w:sz="0" w:space="0" w:color="auto"/>
      </w:divBdr>
    </w:div>
    <w:div w:id="1432359252">
      <w:bodyDiv w:val="1"/>
      <w:marLeft w:val="0"/>
      <w:marRight w:val="0"/>
      <w:marTop w:val="0"/>
      <w:marBottom w:val="0"/>
      <w:divBdr>
        <w:top w:val="none" w:sz="0" w:space="0" w:color="auto"/>
        <w:left w:val="none" w:sz="0" w:space="0" w:color="auto"/>
        <w:bottom w:val="none" w:sz="0" w:space="0" w:color="auto"/>
        <w:right w:val="none" w:sz="0" w:space="0" w:color="auto"/>
      </w:divBdr>
    </w:div>
    <w:div w:id="1437864825">
      <w:bodyDiv w:val="1"/>
      <w:marLeft w:val="0"/>
      <w:marRight w:val="0"/>
      <w:marTop w:val="0"/>
      <w:marBottom w:val="0"/>
      <w:divBdr>
        <w:top w:val="none" w:sz="0" w:space="0" w:color="auto"/>
        <w:left w:val="none" w:sz="0" w:space="0" w:color="auto"/>
        <w:bottom w:val="none" w:sz="0" w:space="0" w:color="auto"/>
        <w:right w:val="none" w:sz="0" w:space="0" w:color="auto"/>
      </w:divBdr>
    </w:div>
    <w:div w:id="1439445544">
      <w:bodyDiv w:val="1"/>
      <w:marLeft w:val="0"/>
      <w:marRight w:val="0"/>
      <w:marTop w:val="0"/>
      <w:marBottom w:val="0"/>
      <w:divBdr>
        <w:top w:val="none" w:sz="0" w:space="0" w:color="auto"/>
        <w:left w:val="none" w:sz="0" w:space="0" w:color="auto"/>
        <w:bottom w:val="none" w:sz="0" w:space="0" w:color="auto"/>
        <w:right w:val="none" w:sz="0" w:space="0" w:color="auto"/>
      </w:divBdr>
    </w:div>
    <w:div w:id="1439720355">
      <w:bodyDiv w:val="1"/>
      <w:marLeft w:val="0"/>
      <w:marRight w:val="0"/>
      <w:marTop w:val="0"/>
      <w:marBottom w:val="0"/>
      <w:divBdr>
        <w:top w:val="none" w:sz="0" w:space="0" w:color="auto"/>
        <w:left w:val="none" w:sz="0" w:space="0" w:color="auto"/>
        <w:bottom w:val="none" w:sz="0" w:space="0" w:color="auto"/>
        <w:right w:val="none" w:sz="0" w:space="0" w:color="auto"/>
      </w:divBdr>
    </w:div>
    <w:div w:id="1452554972">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9344204">
      <w:bodyDiv w:val="1"/>
      <w:marLeft w:val="0"/>
      <w:marRight w:val="0"/>
      <w:marTop w:val="0"/>
      <w:marBottom w:val="0"/>
      <w:divBdr>
        <w:top w:val="none" w:sz="0" w:space="0" w:color="auto"/>
        <w:left w:val="none" w:sz="0" w:space="0" w:color="auto"/>
        <w:bottom w:val="none" w:sz="0" w:space="0" w:color="auto"/>
        <w:right w:val="none" w:sz="0" w:space="0" w:color="auto"/>
      </w:divBdr>
    </w:div>
    <w:div w:id="148762190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7185114">
      <w:bodyDiv w:val="1"/>
      <w:marLeft w:val="0"/>
      <w:marRight w:val="0"/>
      <w:marTop w:val="0"/>
      <w:marBottom w:val="0"/>
      <w:divBdr>
        <w:top w:val="none" w:sz="0" w:space="0" w:color="auto"/>
        <w:left w:val="none" w:sz="0" w:space="0" w:color="auto"/>
        <w:bottom w:val="none" w:sz="0" w:space="0" w:color="auto"/>
        <w:right w:val="none" w:sz="0" w:space="0" w:color="auto"/>
      </w:divBdr>
    </w:div>
    <w:div w:id="1505582799">
      <w:bodyDiv w:val="1"/>
      <w:marLeft w:val="0"/>
      <w:marRight w:val="0"/>
      <w:marTop w:val="0"/>
      <w:marBottom w:val="0"/>
      <w:divBdr>
        <w:top w:val="none" w:sz="0" w:space="0" w:color="auto"/>
        <w:left w:val="none" w:sz="0" w:space="0" w:color="auto"/>
        <w:bottom w:val="none" w:sz="0" w:space="0" w:color="auto"/>
        <w:right w:val="none" w:sz="0" w:space="0" w:color="auto"/>
      </w:divBdr>
    </w:div>
    <w:div w:id="1516185959">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2954408">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633083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826171">
      <w:bodyDiv w:val="1"/>
      <w:marLeft w:val="0"/>
      <w:marRight w:val="0"/>
      <w:marTop w:val="0"/>
      <w:marBottom w:val="0"/>
      <w:divBdr>
        <w:top w:val="none" w:sz="0" w:space="0" w:color="auto"/>
        <w:left w:val="none" w:sz="0" w:space="0" w:color="auto"/>
        <w:bottom w:val="none" w:sz="0" w:space="0" w:color="auto"/>
        <w:right w:val="none" w:sz="0" w:space="0" w:color="auto"/>
      </w:divBdr>
    </w:div>
    <w:div w:id="1586720366">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30740871">
      <w:bodyDiv w:val="1"/>
      <w:marLeft w:val="0"/>
      <w:marRight w:val="0"/>
      <w:marTop w:val="0"/>
      <w:marBottom w:val="0"/>
      <w:divBdr>
        <w:top w:val="none" w:sz="0" w:space="0" w:color="auto"/>
        <w:left w:val="none" w:sz="0" w:space="0" w:color="auto"/>
        <w:bottom w:val="none" w:sz="0" w:space="0" w:color="auto"/>
        <w:right w:val="none" w:sz="0" w:space="0" w:color="auto"/>
      </w:divBdr>
    </w:div>
    <w:div w:id="1642228755">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5455148">
      <w:bodyDiv w:val="1"/>
      <w:marLeft w:val="0"/>
      <w:marRight w:val="0"/>
      <w:marTop w:val="0"/>
      <w:marBottom w:val="0"/>
      <w:divBdr>
        <w:top w:val="none" w:sz="0" w:space="0" w:color="auto"/>
        <w:left w:val="none" w:sz="0" w:space="0" w:color="auto"/>
        <w:bottom w:val="none" w:sz="0" w:space="0" w:color="auto"/>
        <w:right w:val="none" w:sz="0" w:space="0" w:color="auto"/>
      </w:divBdr>
      <w:divsChild>
        <w:div w:id="462431416">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747584">
          <w:blockQuote w:val="1"/>
          <w:marLeft w:val="720"/>
          <w:marRight w:val="720"/>
          <w:marTop w:val="100"/>
          <w:marBottom w:val="100"/>
          <w:divBdr>
            <w:top w:val="none" w:sz="0" w:space="0" w:color="auto"/>
            <w:left w:val="none" w:sz="0" w:space="0" w:color="auto"/>
            <w:bottom w:val="none" w:sz="0" w:space="0" w:color="auto"/>
            <w:right w:val="none" w:sz="0" w:space="0" w:color="auto"/>
          </w:divBdr>
        </w:div>
        <w:div w:id="445274328">
          <w:blockQuote w:val="1"/>
          <w:marLeft w:val="720"/>
          <w:marRight w:val="720"/>
          <w:marTop w:val="100"/>
          <w:marBottom w:val="100"/>
          <w:divBdr>
            <w:top w:val="none" w:sz="0" w:space="0" w:color="auto"/>
            <w:left w:val="none" w:sz="0" w:space="0" w:color="auto"/>
            <w:bottom w:val="none" w:sz="0" w:space="0" w:color="auto"/>
            <w:right w:val="none" w:sz="0" w:space="0" w:color="auto"/>
          </w:divBdr>
        </w:div>
        <w:div w:id="2039773193">
          <w:blockQuote w:val="1"/>
          <w:marLeft w:val="720"/>
          <w:marRight w:val="720"/>
          <w:marTop w:val="100"/>
          <w:marBottom w:val="100"/>
          <w:divBdr>
            <w:top w:val="none" w:sz="0" w:space="0" w:color="auto"/>
            <w:left w:val="none" w:sz="0" w:space="0" w:color="auto"/>
            <w:bottom w:val="none" w:sz="0" w:space="0" w:color="auto"/>
            <w:right w:val="none" w:sz="0" w:space="0" w:color="auto"/>
          </w:divBdr>
        </w:div>
        <w:div w:id="618683935">
          <w:blockQuote w:val="1"/>
          <w:marLeft w:val="720"/>
          <w:marRight w:val="720"/>
          <w:marTop w:val="100"/>
          <w:marBottom w:val="100"/>
          <w:divBdr>
            <w:top w:val="none" w:sz="0" w:space="0" w:color="auto"/>
            <w:left w:val="none" w:sz="0" w:space="0" w:color="auto"/>
            <w:bottom w:val="none" w:sz="0" w:space="0" w:color="auto"/>
            <w:right w:val="none" w:sz="0" w:space="0" w:color="auto"/>
          </w:divBdr>
        </w:div>
        <w:div w:id="553469">
          <w:blockQuote w:val="1"/>
          <w:marLeft w:val="720"/>
          <w:marRight w:val="720"/>
          <w:marTop w:val="100"/>
          <w:marBottom w:val="100"/>
          <w:divBdr>
            <w:top w:val="none" w:sz="0" w:space="0" w:color="auto"/>
            <w:left w:val="none" w:sz="0" w:space="0" w:color="auto"/>
            <w:bottom w:val="none" w:sz="0" w:space="0" w:color="auto"/>
            <w:right w:val="none" w:sz="0" w:space="0" w:color="auto"/>
          </w:divBdr>
        </w:div>
        <w:div w:id="406615858">
          <w:blockQuote w:val="1"/>
          <w:marLeft w:val="720"/>
          <w:marRight w:val="720"/>
          <w:marTop w:val="100"/>
          <w:marBottom w:val="100"/>
          <w:divBdr>
            <w:top w:val="none" w:sz="0" w:space="0" w:color="auto"/>
            <w:left w:val="none" w:sz="0" w:space="0" w:color="auto"/>
            <w:bottom w:val="none" w:sz="0" w:space="0" w:color="auto"/>
            <w:right w:val="none" w:sz="0" w:space="0" w:color="auto"/>
          </w:divBdr>
        </w:div>
        <w:div w:id="1971394562">
          <w:blockQuote w:val="1"/>
          <w:marLeft w:val="720"/>
          <w:marRight w:val="720"/>
          <w:marTop w:val="100"/>
          <w:marBottom w:val="100"/>
          <w:divBdr>
            <w:top w:val="none" w:sz="0" w:space="0" w:color="auto"/>
            <w:left w:val="none" w:sz="0" w:space="0" w:color="auto"/>
            <w:bottom w:val="none" w:sz="0" w:space="0" w:color="auto"/>
            <w:right w:val="none" w:sz="0" w:space="0" w:color="auto"/>
          </w:divBdr>
        </w:div>
        <w:div w:id="241984866">
          <w:blockQuote w:val="1"/>
          <w:marLeft w:val="720"/>
          <w:marRight w:val="720"/>
          <w:marTop w:val="100"/>
          <w:marBottom w:val="100"/>
          <w:divBdr>
            <w:top w:val="none" w:sz="0" w:space="0" w:color="auto"/>
            <w:left w:val="none" w:sz="0" w:space="0" w:color="auto"/>
            <w:bottom w:val="none" w:sz="0" w:space="0" w:color="auto"/>
            <w:right w:val="none" w:sz="0" w:space="0" w:color="auto"/>
          </w:divBdr>
        </w:div>
        <w:div w:id="2062055474">
          <w:blockQuote w:val="1"/>
          <w:marLeft w:val="720"/>
          <w:marRight w:val="720"/>
          <w:marTop w:val="100"/>
          <w:marBottom w:val="100"/>
          <w:divBdr>
            <w:top w:val="none" w:sz="0" w:space="0" w:color="auto"/>
            <w:left w:val="none" w:sz="0" w:space="0" w:color="auto"/>
            <w:bottom w:val="none" w:sz="0" w:space="0" w:color="auto"/>
            <w:right w:val="none" w:sz="0" w:space="0" w:color="auto"/>
          </w:divBdr>
        </w:div>
        <w:div w:id="13660588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07164913">
          <w:blockQuote w:val="1"/>
          <w:marLeft w:val="720"/>
          <w:marRight w:val="720"/>
          <w:marTop w:val="100"/>
          <w:marBottom w:val="100"/>
          <w:divBdr>
            <w:top w:val="none" w:sz="0" w:space="0" w:color="auto"/>
            <w:left w:val="none" w:sz="0" w:space="0" w:color="auto"/>
            <w:bottom w:val="none" w:sz="0" w:space="0" w:color="auto"/>
            <w:right w:val="none" w:sz="0" w:space="0" w:color="auto"/>
          </w:divBdr>
        </w:div>
        <w:div w:id="730158643">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1413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70597887">
      <w:bodyDiv w:val="1"/>
      <w:marLeft w:val="0"/>
      <w:marRight w:val="0"/>
      <w:marTop w:val="0"/>
      <w:marBottom w:val="0"/>
      <w:divBdr>
        <w:top w:val="none" w:sz="0" w:space="0" w:color="auto"/>
        <w:left w:val="none" w:sz="0" w:space="0" w:color="auto"/>
        <w:bottom w:val="none" w:sz="0" w:space="0" w:color="auto"/>
        <w:right w:val="none" w:sz="0" w:space="0" w:color="auto"/>
      </w:divBdr>
    </w:div>
    <w:div w:id="1676299446">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81469808">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3246057">
      <w:bodyDiv w:val="1"/>
      <w:marLeft w:val="0"/>
      <w:marRight w:val="0"/>
      <w:marTop w:val="0"/>
      <w:marBottom w:val="0"/>
      <w:divBdr>
        <w:top w:val="none" w:sz="0" w:space="0" w:color="auto"/>
        <w:left w:val="none" w:sz="0" w:space="0" w:color="auto"/>
        <w:bottom w:val="none" w:sz="0" w:space="0" w:color="auto"/>
        <w:right w:val="none" w:sz="0" w:space="0" w:color="auto"/>
      </w:divBdr>
      <w:divsChild>
        <w:div w:id="1245457014">
          <w:marLeft w:val="0"/>
          <w:marRight w:val="0"/>
          <w:marTop w:val="0"/>
          <w:marBottom w:val="0"/>
          <w:divBdr>
            <w:top w:val="none" w:sz="0" w:space="0" w:color="auto"/>
            <w:left w:val="none" w:sz="0" w:space="0" w:color="auto"/>
            <w:bottom w:val="none" w:sz="0" w:space="0" w:color="auto"/>
            <w:right w:val="none" w:sz="0" w:space="0" w:color="auto"/>
          </w:divBdr>
        </w:div>
        <w:div w:id="1759129748">
          <w:marLeft w:val="0"/>
          <w:marRight w:val="0"/>
          <w:marTop w:val="0"/>
          <w:marBottom w:val="0"/>
          <w:divBdr>
            <w:top w:val="none" w:sz="0" w:space="0" w:color="auto"/>
            <w:left w:val="none" w:sz="0" w:space="0" w:color="auto"/>
            <w:bottom w:val="none" w:sz="0" w:space="0" w:color="auto"/>
            <w:right w:val="none" w:sz="0" w:space="0" w:color="auto"/>
          </w:divBdr>
        </w:div>
        <w:div w:id="830828047">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3647228">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8138142">
      <w:bodyDiv w:val="1"/>
      <w:marLeft w:val="0"/>
      <w:marRight w:val="0"/>
      <w:marTop w:val="0"/>
      <w:marBottom w:val="0"/>
      <w:divBdr>
        <w:top w:val="none" w:sz="0" w:space="0" w:color="auto"/>
        <w:left w:val="none" w:sz="0" w:space="0" w:color="auto"/>
        <w:bottom w:val="none" w:sz="0" w:space="0" w:color="auto"/>
        <w:right w:val="none" w:sz="0" w:space="0" w:color="auto"/>
      </w:divBdr>
      <w:divsChild>
        <w:div w:id="8186118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89857926">
      <w:bodyDiv w:val="1"/>
      <w:marLeft w:val="0"/>
      <w:marRight w:val="0"/>
      <w:marTop w:val="0"/>
      <w:marBottom w:val="0"/>
      <w:divBdr>
        <w:top w:val="none" w:sz="0" w:space="0" w:color="auto"/>
        <w:left w:val="none" w:sz="0" w:space="0" w:color="auto"/>
        <w:bottom w:val="none" w:sz="0" w:space="0" w:color="auto"/>
        <w:right w:val="none" w:sz="0" w:space="0" w:color="auto"/>
      </w:divBdr>
    </w:div>
    <w:div w:id="1792477600">
      <w:bodyDiv w:val="1"/>
      <w:marLeft w:val="0"/>
      <w:marRight w:val="0"/>
      <w:marTop w:val="0"/>
      <w:marBottom w:val="0"/>
      <w:divBdr>
        <w:top w:val="none" w:sz="0" w:space="0" w:color="auto"/>
        <w:left w:val="none" w:sz="0" w:space="0" w:color="auto"/>
        <w:bottom w:val="none" w:sz="0" w:space="0" w:color="auto"/>
        <w:right w:val="none" w:sz="0" w:space="0" w:color="auto"/>
      </w:divBdr>
    </w:div>
    <w:div w:id="1805194268">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17916094">
      <w:bodyDiv w:val="1"/>
      <w:marLeft w:val="0"/>
      <w:marRight w:val="0"/>
      <w:marTop w:val="0"/>
      <w:marBottom w:val="0"/>
      <w:divBdr>
        <w:top w:val="none" w:sz="0" w:space="0" w:color="auto"/>
        <w:left w:val="none" w:sz="0" w:space="0" w:color="auto"/>
        <w:bottom w:val="none" w:sz="0" w:space="0" w:color="auto"/>
        <w:right w:val="none" w:sz="0" w:space="0" w:color="auto"/>
      </w:divBdr>
    </w:div>
    <w:div w:id="1819298359">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6049489">
      <w:bodyDiv w:val="1"/>
      <w:marLeft w:val="0"/>
      <w:marRight w:val="0"/>
      <w:marTop w:val="0"/>
      <w:marBottom w:val="0"/>
      <w:divBdr>
        <w:top w:val="none" w:sz="0" w:space="0" w:color="auto"/>
        <w:left w:val="none" w:sz="0" w:space="0" w:color="auto"/>
        <w:bottom w:val="none" w:sz="0" w:space="0" w:color="auto"/>
        <w:right w:val="none" w:sz="0" w:space="0" w:color="auto"/>
      </w:divBdr>
    </w:div>
    <w:div w:id="1827668340">
      <w:bodyDiv w:val="1"/>
      <w:marLeft w:val="0"/>
      <w:marRight w:val="0"/>
      <w:marTop w:val="0"/>
      <w:marBottom w:val="0"/>
      <w:divBdr>
        <w:top w:val="none" w:sz="0" w:space="0" w:color="auto"/>
        <w:left w:val="none" w:sz="0" w:space="0" w:color="auto"/>
        <w:bottom w:val="none" w:sz="0" w:space="0" w:color="auto"/>
        <w:right w:val="none" w:sz="0" w:space="0" w:color="auto"/>
      </w:divBdr>
    </w:div>
    <w:div w:id="1837838839">
      <w:bodyDiv w:val="1"/>
      <w:marLeft w:val="0"/>
      <w:marRight w:val="0"/>
      <w:marTop w:val="0"/>
      <w:marBottom w:val="0"/>
      <w:divBdr>
        <w:top w:val="none" w:sz="0" w:space="0" w:color="auto"/>
        <w:left w:val="none" w:sz="0" w:space="0" w:color="auto"/>
        <w:bottom w:val="none" w:sz="0" w:space="0" w:color="auto"/>
        <w:right w:val="none" w:sz="0" w:space="0" w:color="auto"/>
      </w:divBdr>
    </w:div>
    <w:div w:id="1846821009">
      <w:bodyDiv w:val="1"/>
      <w:marLeft w:val="0"/>
      <w:marRight w:val="0"/>
      <w:marTop w:val="0"/>
      <w:marBottom w:val="0"/>
      <w:divBdr>
        <w:top w:val="none" w:sz="0" w:space="0" w:color="auto"/>
        <w:left w:val="none" w:sz="0" w:space="0" w:color="auto"/>
        <w:bottom w:val="none" w:sz="0" w:space="0" w:color="auto"/>
        <w:right w:val="none" w:sz="0" w:space="0" w:color="auto"/>
      </w:divBdr>
    </w:div>
    <w:div w:id="187511645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92231296">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6164031">
      <w:bodyDiv w:val="1"/>
      <w:marLeft w:val="0"/>
      <w:marRight w:val="0"/>
      <w:marTop w:val="0"/>
      <w:marBottom w:val="0"/>
      <w:divBdr>
        <w:top w:val="none" w:sz="0" w:space="0" w:color="auto"/>
        <w:left w:val="none" w:sz="0" w:space="0" w:color="auto"/>
        <w:bottom w:val="none" w:sz="0" w:space="0" w:color="auto"/>
        <w:right w:val="none" w:sz="0" w:space="0" w:color="auto"/>
      </w:divBdr>
    </w:div>
    <w:div w:id="1906253624">
      <w:bodyDiv w:val="1"/>
      <w:marLeft w:val="0"/>
      <w:marRight w:val="0"/>
      <w:marTop w:val="0"/>
      <w:marBottom w:val="0"/>
      <w:divBdr>
        <w:top w:val="none" w:sz="0" w:space="0" w:color="auto"/>
        <w:left w:val="none" w:sz="0" w:space="0" w:color="auto"/>
        <w:bottom w:val="none" w:sz="0" w:space="0" w:color="auto"/>
        <w:right w:val="none" w:sz="0" w:space="0" w:color="auto"/>
      </w:divBdr>
      <w:divsChild>
        <w:div w:id="537665668">
          <w:marLeft w:val="0"/>
          <w:marRight w:val="0"/>
          <w:marTop w:val="0"/>
          <w:marBottom w:val="0"/>
          <w:divBdr>
            <w:top w:val="none" w:sz="0" w:space="0" w:color="auto"/>
            <w:left w:val="none" w:sz="0" w:space="0" w:color="auto"/>
            <w:bottom w:val="none" w:sz="0" w:space="0" w:color="auto"/>
            <w:right w:val="none" w:sz="0" w:space="0" w:color="auto"/>
          </w:divBdr>
          <w:divsChild>
            <w:div w:id="708337805">
              <w:marLeft w:val="0"/>
              <w:marRight w:val="0"/>
              <w:marTop w:val="0"/>
              <w:marBottom w:val="0"/>
              <w:divBdr>
                <w:top w:val="none" w:sz="0" w:space="0" w:color="auto"/>
                <w:left w:val="none" w:sz="0" w:space="0" w:color="auto"/>
                <w:bottom w:val="none" w:sz="0" w:space="0" w:color="auto"/>
                <w:right w:val="none" w:sz="0" w:space="0" w:color="auto"/>
              </w:divBdr>
              <w:divsChild>
                <w:div w:id="1113480423">
                  <w:marLeft w:val="0"/>
                  <w:marRight w:val="0"/>
                  <w:marTop w:val="0"/>
                  <w:marBottom w:val="0"/>
                  <w:divBdr>
                    <w:top w:val="none" w:sz="0" w:space="0" w:color="auto"/>
                    <w:left w:val="none" w:sz="0" w:space="0" w:color="auto"/>
                    <w:bottom w:val="none" w:sz="0" w:space="0" w:color="auto"/>
                    <w:right w:val="none" w:sz="0" w:space="0" w:color="auto"/>
                  </w:divBdr>
                  <w:divsChild>
                    <w:div w:id="1973250861">
                      <w:marLeft w:val="0"/>
                      <w:marRight w:val="0"/>
                      <w:marTop w:val="0"/>
                      <w:marBottom w:val="0"/>
                      <w:divBdr>
                        <w:top w:val="none" w:sz="0" w:space="0" w:color="auto"/>
                        <w:left w:val="none" w:sz="0" w:space="0" w:color="auto"/>
                        <w:bottom w:val="none" w:sz="0" w:space="0" w:color="auto"/>
                        <w:right w:val="none" w:sz="0" w:space="0" w:color="auto"/>
                      </w:divBdr>
                      <w:divsChild>
                        <w:div w:id="272052941">
                          <w:marLeft w:val="0"/>
                          <w:marRight w:val="0"/>
                          <w:marTop w:val="0"/>
                          <w:marBottom w:val="0"/>
                          <w:divBdr>
                            <w:top w:val="none" w:sz="0" w:space="0" w:color="auto"/>
                            <w:left w:val="none" w:sz="0" w:space="0" w:color="auto"/>
                            <w:bottom w:val="none" w:sz="0" w:space="0" w:color="auto"/>
                            <w:right w:val="none" w:sz="0" w:space="0" w:color="auto"/>
                          </w:divBdr>
                          <w:divsChild>
                            <w:div w:id="1491143524">
                              <w:marLeft w:val="0"/>
                              <w:marRight w:val="0"/>
                              <w:marTop w:val="0"/>
                              <w:marBottom w:val="0"/>
                              <w:divBdr>
                                <w:top w:val="none" w:sz="0" w:space="0" w:color="auto"/>
                                <w:left w:val="none" w:sz="0" w:space="0" w:color="auto"/>
                                <w:bottom w:val="none" w:sz="0" w:space="0" w:color="auto"/>
                                <w:right w:val="none" w:sz="0" w:space="0" w:color="auto"/>
                              </w:divBdr>
                              <w:divsChild>
                                <w:div w:id="1693068714">
                                  <w:marLeft w:val="0"/>
                                  <w:marRight w:val="0"/>
                                  <w:marTop w:val="0"/>
                                  <w:marBottom w:val="0"/>
                                  <w:divBdr>
                                    <w:top w:val="none" w:sz="0" w:space="0" w:color="auto"/>
                                    <w:left w:val="none" w:sz="0" w:space="0" w:color="auto"/>
                                    <w:bottom w:val="none" w:sz="0" w:space="0" w:color="auto"/>
                                    <w:right w:val="none" w:sz="0" w:space="0" w:color="auto"/>
                                  </w:divBdr>
                                  <w:divsChild>
                                    <w:div w:id="110842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3135559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53778408">
      <w:bodyDiv w:val="1"/>
      <w:marLeft w:val="0"/>
      <w:marRight w:val="0"/>
      <w:marTop w:val="0"/>
      <w:marBottom w:val="0"/>
      <w:divBdr>
        <w:top w:val="none" w:sz="0" w:space="0" w:color="auto"/>
        <w:left w:val="none" w:sz="0" w:space="0" w:color="auto"/>
        <w:bottom w:val="none" w:sz="0" w:space="0" w:color="auto"/>
        <w:right w:val="none" w:sz="0" w:space="0" w:color="auto"/>
      </w:divBdr>
    </w:div>
    <w:div w:id="1964771116">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75720603">
      <w:bodyDiv w:val="1"/>
      <w:marLeft w:val="0"/>
      <w:marRight w:val="0"/>
      <w:marTop w:val="0"/>
      <w:marBottom w:val="0"/>
      <w:divBdr>
        <w:top w:val="none" w:sz="0" w:space="0" w:color="auto"/>
        <w:left w:val="none" w:sz="0" w:space="0" w:color="auto"/>
        <w:bottom w:val="none" w:sz="0" w:space="0" w:color="auto"/>
        <w:right w:val="none" w:sz="0" w:space="0" w:color="auto"/>
      </w:divBdr>
    </w:div>
    <w:div w:id="1987777236">
      <w:bodyDiv w:val="1"/>
      <w:marLeft w:val="0"/>
      <w:marRight w:val="0"/>
      <w:marTop w:val="0"/>
      <w:marBottom w:val="0"/>
      <w:divBdr>
        <w:top w:val="none" w:sz="0" w:space="0" w:color="auto"/>
        <w:left w:val="none" w:sz="0" w:space="0" w:color="auto"/>
        <w:bottom w:val="none" w:sz="0" w:space="0" w:color="auto"/>
        <w:right w:val="none" w:sz="0" w:space="0" w:color="auto"/>
      </w:divBdr>
    </w:div>
    <w:div w:id="2010978608">
      <w:bodyDiv w:val="1"/>
      <w:marLeft w:val="0"/>
      <w:marRight w:val="0"/>
      <w:marTop w:val="0"/>
      <w:marBottom w:val="0"/>
      <w:divBdr>
        <w:top w:val="none" w:sz="0" w:space="0" w:color="auto"/>
        <w:left w:val="none" w:sz="0" w:space="0" w:color="auto"/>
        <w:bottom w:val="none" w:sz="0" w:space="0" w:color="auto"/>
        <w:right w:val="none" w:sz="0" w:space="0" w:color="auto"/>
      </w:divBdr>
    </w:div>
    <w:div w:id="2022851404">
      <w:bodyDiv w:val="1"/>
      <w:marLeft w:val="0"/>
      <w:marRight w:val="0"/>
      <w:marTop w:val="0"/>
      <w:marBottom w:val="0"/>
      <w:divBdr>
        <w:top w:val="none" w:sz="0" w:space="0" w:color="auto"/>
        <w:left w:val="none" w:sz="0" w:space="0" w:color="auto"/>
        <w:bottom w:val="none" w:sz="0" w:space="0" w:color="auto"/>
        <w:right w:val="none" w:sz="0" w:space="0" w:color="auto"/>
      </w:divBdr>
    </w:div>
    <w:div w:id="2025814359">
      <w:bodyDiv w:val="1"/>
      <w:marLeft w:val="0"/>
      <w:marRight w:val="0"/>
      <w:marTop w:val="0"/>
      <w:marBottom w:val="0"/>
      <w:divBdr>
        <w:top w:val="none" w:sz="0" w:space="0" w:color="auto"/>
        <w:left w:val="none" w:sz="0" w:space="0" w:color="auto"/>
        <w:bottom w:val="none" w:sz="0" w:space="0" w:color="auto"/>
        <w:right w:val="none" w:sz="0" w:space="0" w:color="auto"/>
      </w:divBdr>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1372649">
      <w:bodyDiv w:val="1"/>
      <w:marLeft w:val="0"/>
      <w:marRight w:val="0"/>
      <w:marTop w:val="0"/>
      <w:marBottom w:val="0"/>
      <w:divBdr>
        <w:top w:val="none" w:sz="0" w:space="0" w:color="auto"/>
        <w:left w:val="none" w:sz="0" w:space="0" w:color="auto"/>
        <w:bottom w:val="none" w:sz="0" w:space="0" w:color="auto"/>
        <w:right w:val="none" w:sz="0" w:space="0" w:color="auto"/>
      </w:divBdr>
    </w:div>
    <w:div w:id="2033072936">
      <w:bodyDiv w:val="1"/>
      <w:marLeft w:val="0"/>
      <w:marRight w:val="0"/>
      <w:marTop w:val="0"/>
      <w:marBottom w:val="0"/>
      <w:divBdr>
        <w:top w:val="none" w:sz="0" w:space="0" w:color="auto"/>
        <w:left w:val="none" w:sz="0" w:space="0" w:color="auto"/>
        <w:bottom w:val="none" w:sz="0" w:space="0" w:color="auto"/>
        <w:right w:val="none" w:sz="0" w:space="0" w:color="auto"/>
      </w:divBdr>
    </w:div>
    <w:div w:id="2035111402">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9530942">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4134672">
      <w:bodyDiv w:val="1"/>
      <w:marLeft w:val="0"/>
      <w:marRight w:val="0"/>
      <w:marTop w:val="0"/>
      <w:marBottom w:val="0"/>
      <w:divBdr>
        <w:top w:val="none" w:sz="0" w:space="0" w:color="auto"/>
        <w:left w:val="none" w:sz="0" w:space="0" w:color="auto"/>
        <w:bottom w:val="none" w:sz="0" w:space="0" w:color="auto"/>
        <w:right w:val="none" w:sz="0" w:space="0" w:color="auto"/>
      </w:divBdr>
    </w:div>
    <w:div w:id="2068840864">
      <w:bodyDiv w:val="1"/>
      <w:marLeft w:val="0"/>
      <w:marRight w:val="0"/>
      <w:marTop w:val="0"/>
      <w:marBottom w:val="0"/>
      <w:divBdr>
        <w:top w:val="none" w:sz="0" w:space="0" w:color="auto"/>
        <w:left w:val="none" w:sz="0" w:space="0" w:color="auto"/>
        <w:bottom w:val="none" w:sz="0" w:space="0" w:color="auto"/>
        <w:right w:val="none" w:sz="0" w:space="0" w:color="auto"/>
      </w:divBdr>
    </w:div>
    <w:div w:id="2083792731">
      <w:bodyDiv w:val="1"/>
      <w:marLeft w:val="0"/>
      <w:marRight w:val="0"/>
      <w:marTop w:val="0"/>
      <w:marBottom w:val="0"/>
      <w:divBdr>
        <w:top w:val="none" w:sz="0" w:space="0" w:color="auto"/>
        <w:left w:val="none" w:sz="0" w:space="0" w:color="auto"/>
        <w:bottom w:val="none" w:sz="0" w:space="0" w:color="auto"/>
        <w:right w:val="none" w:sz="0" w:space="0" w:color="auto"/>
      </w:divBdr>
      <w:divsChild>
        <w:div w:id="60681146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23256976">
      <w:bodyDiv w:val="1"/>
      <w:marLeft w:val="0"/>
      <w:marRight w:val="0"/>
      <w:marTop w:val="0"/>
      <w:marBottom w:val="0"/>
      <w:divBdr>
        <w:top w:val="none" w:sz="0" w:space="0" w:color="auto"/>
        <w:left w:val="none" w:sz="0" w:space="0" w:color="auto"/>
        <w:bottom w:val="none" w:sz="0" w:space="0" w:color="auto"/>
        <w:right w:val="none" w:sz="0" w:space="0" w:color="auto"/>
      </w:divBdr>
    </w:div>
    <w:div w:id="2125035180">
      <w:bodyDiv w:val="1"/>
      <w:marLeft w:val="0"/>
      <w:marRight w:val="0"/>
      <w:marTop w:val="0"/>
      <w:marBottom w:val="0"/>
      <w:divBdr>
        <w:top w:val="none" w:sz="0" w:space="0" w:color="auto"/>
        <w:left w:val="none" w:sz="0" w:space="0" w:color="auto"/>
        <w:bottom w:val="none" w:sz="0" w:space="0" w:color="auto"/>
        <w:right w:val="none" w:sz="0" w:space="0" w:color="auto"/>
      </w:divBdr>
    </w:div>
    <w:div w:id="2130197497">
      <w:bodyDiv w:val="1"/>
      <w:marLeft w:val="0"/>
      <w:marRight w:val="0"/>
      <w:marTop w:val="0"/>
      <w:marBottom w:val="0"/>
      <w:divBdr>
        <w:top w:val="none" w:sz="0" w:space="0" w:color="auto"/>
        <w:left w:val="none" w:sz="0" w:space="0" w:color="auto"/>
        <w:bottom w:val="none" w:sz="0" w:space="0" w:color="auto"/>
        <w:right w:val="none" w:sz="0" w:space="0" w:color="auto"/>
      </w:divBdr>
    </w:div>
    <w:div w:id="2131776447">
      <w:bodyDiv w:val="1"/>
      <w:marLeft w:val="0"/>
      <w:marRight w:val="0"/>
      <w:marTop w:val="0"/>
      <w:marBottom w:val="0"/>
      <w:divBdr>
        <w:top w:val="none" w:sz="0" w:space="0" w:color="auto"/>
        <w:left w:val="none" w:sz="0" w:space="0" w:color="auto"/>
        <w:bottom w:val="none" w:sz="0" w:space="0" w:color="auto"/>
        <w:right w:val="none" w:sz="0" w:space="0" w:color="auto"/>
      </w:divBdr>
    </w:div>
    <w:div w:id="2132280115">
      <w:bodyDiv w:val="1"/>
      <w:marLeft w:val="0"/>
      <w:marRight w:val="0"/>
      <w:marTop w:val="0"/>
      <w:marBottom w:val="0"/>
      <w:divBdr>
        <w:top w:val="none" w:sz="0" w:space="0" w:color="auto"/>
        <w:left w:val="none" w:sz="0" w:space="0" w:color="auto"/>
        <w:bottom w:val="none" w:sz="0" w:space="0" w:color="auto"/>
        <w:right w:val="none" w:sz="0" w:space="0" w:color="auto"/>
      </w:divBdr>
    </w:div>
    <w:div w:id="2137793165">
      <w:bodyDiv w:val="1"/>
      <w:marLeft w:val="0"/>
      <w:marRight w:val="0"/>
      <w:marTop w:val="0"/>
      <w:marBottom w:val="0"/>
      <w:divBdr>
        <w:top w:val="none" w:sz="0" w:space="0" w:color="auto"/>
        <w:left w:val="none" w:sz="0" w:space="0" w:color="auto"/>
        <w:bottom w:val="none" w:sz="0" w:space="0" w:color="auto"/>
        <w:right w:val="none" w:sz="0" w:space="0" w:color="auto"/>
      </w:divBdr>
    </w:div>
    <w:div w:id="21377975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D35E3B2-534C-419B-BEB1-B485E9188E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11688</Words>
  <Characters>66626</Characters>
  <Application>Microsoft Office Word</Application>
  <DocSecurity>0</DocSecurity>
  <Lines>555</Lines>
  <Paragraphs>156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78158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Ibrahim Abdulrab</cp:lastModifiedBy>
  <cp:revision>5</cp:revision>
  <cp:lastPrinted>2026-07-01T13:47:00Z</cp:lastPrinted>
  <dcterms:created xsi:type="dcterms:W3CDTF">2026-07-01T13:46:00Z</dcterms:created>
  <dcterms:modified xsi:type="dcterms:W3CDTF">2026-07-07T22:23:00Z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