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rPr>
          <w:rFonts w:ascii="Simplified Arabic" w:cs="Simplified Arabic" w:hAnsi="Simplified Arabic" w:eastAsia="Simplified Arabic"/>
          <w:sz w:val="26"/>
          <w:szCs w:val="26"/>
        </w:rPr>
      </w:pPr>
      <w:r>
        <w:rPr>
          <w:rFonts w:ascii="Simplified Arabic" w:cs="Simplified Arabic" w:hAnsi="Simplified Arabic" w:eastAsia="Simplified Arabic"/>
          <w:sz w:val="26"/>
          <w:szCs w:val="26"/>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sz w:val="26"/>
          <w:szCs w:val="26"/>
          <w:rtl w:val="1"/>
          <w:lang w:val="ar-SA" w:bidi="ar-SA"/>
        </w:rPr>
        <w:t>جامعة ميدأوشن</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كلية الإعلام والتسويق</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 xml:space="preserve">بكالوريوس الإعلام الرقمي </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sz w:val="32"/>
          <w:szCs w:val="32"/>
          <w:rtl w:val="1"/>
          <w:lang w:val="ar-SA" w:bidi="ar-SA"/>
        </w:rPr>
        <w:t>خطة بحثية مقدمة لدرجة البكالوريوس في الإعلام الرقمي</w:t>
      </w:r>
      <w:r>
        <w:rPr>
          <w:rFonts w:ascii="Simplified Arabic" w:cs="Simplified Arabic" w:hAnsi="Simplified Arabic" w:eastAsia="Simplified Arabic"/>
          <w:b w:val="1"/>
          <w:bCs w:val="1"/>
          <w:sz w:val="32"/>
          <w:szCs w:val="32"/>
          <w:rtl w:val="1"/>
          <w:lang w:val="ar-SA" w:bidi="ar-SA"/>
        </w:rPr>
        <w:t xml:space="preserve"> </w:t>
      </w: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أثر التلاعب بالمراجعات والتقييمات على الثقة بالمتاجر الإلكترونية</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b w:val="1"/>
          <w:bCs w:val="1"/>
          <w:sz w:val="36"/>
          <w:szCs w:val="36"/>
          <w:rtl w:val="1"/>
          <w:lang w:val="ar-SA" w:bidi="ar-SA"/>
        </w:rPr>
        <w:t>دراسة تطبيقية على مستخدمي تطبيقات التسوق في الرياض</w:t>
      </w:r>
    </w:p>
    <w:p>
      <w:pPr>
        <w:pStyle w:val="Normal.0"/>
        <w:jc w:val="center"/>
        <w:rPr>
          <w:rFonts w:ascii="Simplified Arabic" w:cs="Simplified Arabic" w:hAnsi="Simplified Arabic" w:eastAsia="Simplified Arabic"/>
          <w:b w:val="1"/>
          <w:bCs w:val="1"/>
          <w:sz w:val="32"/>
          <w:szCs w:val="32"/>
          <w:lang w:val="ar-SA" w:bidi="ar-SA"/>
        </w:rPr>
      </w:pPr>
    </w:p>
    <w:p>
      <w:pPr>
        <w:pStyle w:val="Normal.0"/>
        <w:jc w:val="center"/>
        <w:rPr>
          <w:rFonts w:ascii="Simplified Arabic" w:cs="Simplified Arabic" w:hAnsi="Simplified Arabic" w:eastAsia="Simplified Arabic"/>
          <w:b w:val="1"/>
          <w:bCs w:val="1"/>
          <w:sz w:val="32"/>
          <w:szCs w:val="32"/>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إعداد</w:t>
      </w:r>
      <w:r>
        <w:rPr>
          <w:rFonts w:ascii="Simplified Arabic" w:cs="Simplified Arabic" w:hAnsi="Simplified Arabic" w:eastAsia="Simplified Arabic"/>
          <w:sz w:val="32"/>
          <w:szCs w:val="32"/>
          <w:rtl w:val="1"/>
          <w:lang w:val="ar-SA" w:bidi="ar-SA"/>
        </w:rPr>
        <w:t xml:space="preserve">: </w:t>
      </w: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رغد العمرو</w:t>
      </w:r>
    </w:p>
    <w:p>
      <w:pPr>
        <w:pStyle w:val="Normal.0"/>
        <w:bidi w:val="1"/>
        <w:ind w:left="0" w:right="0" w:firstLine="0"/>
        <w:jc w:val="left"/>
        <w:rPr>
          <w:rtl w:val="1"/>
        </w:rPr>
      </w:pPr>
      <w:r>
        <w:rPr>
          <w:rFonts w:ascii="Calibri Light" w:hAnsi="Calibri Light"/>
          <w:sz w:val="32"/>
          <w:szCs w:val="32"/>
          <w:rtl w:val="0"/>
          <w:lang w:val="en-US"/>
        </w:rPr>
        <w:t>222000437</w:t>
      </w:r>
    </w:p>
    <w:p>
      <w:pPr>
        <w:pStyle w:val="Normal.0"/>
        <w:rPr>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إشراف</w:t>
      </w:r>
      <w:r>
        <w:rPr>
          <w:rFonts w:ascii="Simplified Arabic" w:cs="Simplified Arabic" w:hAnsi="Simplified Arabic" w:eastAsia="Simplified Arabic"/>
          <w:sz w:val="32"/>
          <w:szCs w:val="32"/>
          <w:rtl w:val="1"/>
          <w:lang w:val="ar-SA" w:bidi="ar-SA"/>
        </w:rPr>
        <w:t xml:space="preserve">: </w:t>
      </w:r>
    </w:p>
    <w:p>
      <w:pPr>
        <w:pStyle w:val="Normal.0"/>
      </w:pPr>
      <w:r>
        <w:rPr>
          <w:rFonts w:ascii="Simplified Arabic" w:cs="Simplified Arabic" w:hAnsi="Simplified Arabic" w:eastAsia="Simplified Arabic" w:hint="cs"/>
          <w:sz w:val="32"/>
          <w:szCs w:val="32"/>
          <w:rtl w:val="1"/>
          <w:lang w:val="ar-SA" w:bidi="ar-SA"/>
        </w:rPr>
        <w:t>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توفيق عمري</w:t>
        <w:br w:type="page"/>
      </w:r>
    </w:p>
    <w:p>
      <w:pPr>
        <w:pStyle w:val="Normal.0"/>
        <w:spacing w:line="278" w:lineRule="auto"/>
        <w:rPr>
          <w:rFonts w:ascii="Simplified Arabic" w:cs="Simplified Arabic" w:hAnsi="Simplified Arabic" w:eastAsia="Simplified Arabic"/>
          <w:sz w:val="32"/>
          <w:szCs w:val="32"/>
          <w:lang w:val="ar-SA" w:bidi="ar-SA"/>
        </w:rPr>
      </w:pP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r>
        <w:rPr>
          <w:rFonts w:ascii="Arial Unicode MS" w:cs="Times New Roman" w:hAnsi="Arial Unicode MS" w:eastAsia="Arial Unicode MS" w:hint="cs"/>
          <w:b w:val="1"/>
          <w:bCs w:val="1"/>
          <w:sz w:val="36"/>
          <w:szCs w:val="36"/>
          <w:rtl w:val="1"/>
          <w:lang w:val="ar-SA" w:bidi="ar-SA"/>
        </w:rPr>
        <w:t>مشكلة الدراسة</w:t>
      </w:r>
    </w:p>
    <w:p>
      <w:pPr>
        <w:pStyle w:val="Normal.0"/>
        <w:spacing w:before="100" w:after="10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شهدت المملكة العربية السعودية نموًّا متسارعًا في قطاع التجارة الإلكترونية خلال السنوات الأخيرة، إذ أصبحت تطبيقات التسوق الإلكتروني جزءًا محوريًّا من الحياة اليومية للمستهلك السعودي، لا سيما في مدينة الرياض التي تُعدّ أكبر سوق استهلاكي في المملكة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ومع هذا التحول الرقمي المدعوم برؤية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بات المستهلك يعتمد اعتمادًا رئيسًا على المراجعات والتقييمات الإلكترونية بوصفها مصدرًا أساسيًّا لاتخاذ قرار الشراء</w:t>
      </w:r>
      <w:r>
        <w:rPr>
          <w:rFonts w:ascii="Simplified Arabic" w:cs="Simplified Arabic" w:hAnsi="Simplified Arabic" w:eastAsia="Simplified Arabic"/>
          <w:sz w:val="28"/>
          <w:szCs w:val="28"/>
          <w:rtl w:val="1"/>
          <w:lang w:val="ar-SA" w:bidi="ar-SA"/>
        </w:rPr>
        <w:t xml:space="preserve">. </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 أكدت دراسة النقيرة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 xml:space="preserve">أن التقييمات الإلكترونية للعملاء تؤثر تأثيرًا جوهريًّا في النوايا الشرائية لعملاء المتاجر الإلكترونية، حيث تلعب أبعاد تقييم العلامة التجارية دورًا وسيطًا في تعزيز هذه العلاقة، كما أوضحت دراسة محمد </w:t>
      </w:r>
      <w:r>
        <w:rPr>
          <w:rFonts w:ascii="Simplified Arabic" w:cs="Simplified Arabic" w:hAnsi="Simplified Arabic" w:eastAsia="Simplified Arabic"/>
          <w:sz w:val="28"/>
          <w:szCs w:val="28"/>
          <w:rtl w:val="1"/>
          <w:lang w:val="ar-SA" w:bidi="ar-SA"/>
        </w:rPr>
        <w:t xml:space="preserve">(2022) </w:t>
      </w:r>
      <w:r>
        <w:rPr>
          <w:rFonts w:ascii="Simplified Arabic" w:cs="Simplified Arabic" w:hAnsi="Simplified Arabic" w:eastAsia="Simplified Arabic" w:hint="cs"/>
          <w:sz w:val="28"/>
          <w:szCs w:val="28"/>
          <w:rtl w:val="1"/>
          <w:lang w:val="ar-SA" w:bidi="ar-SA"/>
        </w:rPr>
        <w:t>أن هناك علاقة إيجابية قوية وذات دلالة إحصائية بين مصداقية التقييمات الإلكترونية ونية الشراء لدى المستهلكين، وأن جودة الحجج وعددها وترتيبها تُعدّ من أبرز المحددات المؤثرة في إدراك المستهلك لمصداقية هذه التقييمات</w:t>
      </w:r>
      <w:r>
        <w:rPr>
          <w:rFonts w:ascii="Simplified Arabic" w:cs="Simplified Arabic" w:hAnsi="Simplified Arabic" w:eastAsia="Simplified Arabic"/>
          <w:sz w:val="28"/>
          <w:szCs w:val="28"/>
          <w:rtl w:val="0"/>
          <w:lang w:val="en-US"/>
        </w:rPr>
        <w:t>.</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وعلى الرغم من الاهتمام البحثي المتزايد بموضوعي المراجعات الإلكترونية والثقة في التجارة الإلكترونية، إلا أن الفجوة البحثية تتضح في عدة جوانب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فمن حيث البيئة الجغرافية، تفتقر البيئة السعودية إلى دراسات متخصصة تربط بين التلاعب بالمراجعات والتقييمات وأثره على الثقة بالمتاجر الإلكترونية، حيث ركزت معظم الدراسات الأجنبية على الأسواق الغربية</w:t>
      </w:r>
      <w:r>
        <w:rPr>
          <w:rFonts w:ascii="Simplified Arabic" w:cs="Simplified Arabic" w:hAnsi="Simplified Arabic" w:eastAsia="Simplified Arabic"/>
          <w:sz w:val="28"/>
          <w:szCs w:val="28"/>
          <w:rtl w:val="0"/>
          <w:lang w:val="en-US"/>
        </w:rPr>
        <w:t xml:space="preserve"> (He et al., 2022; Song et al., 2023)</w:t>
      </w:r>
      <w:r>
        <w:rPr>
          <w:rFonts w:ascii="Simplified Arabic" w:cs="Simplified Arabic" w:hAnsi="Simplified Arabic" w:eastAsia="Simplified Arabic" w:hint="cs"/>
          <w:sz w:val="28"/>
          <w:szCs w:val="28"/>
          <w:rtl w:val="1"/>
          <w:lang w:val="ar-SA" w:bidi="ar-SA"/>
        </w:rPr>
        <w:t xml:space="preserve">، بينما تناولت الدراسات العربية المراجعات الإلكترونية من زاوية المصداقية والكلمة المنطوقة دون التعمق في جانب التلاعب تحديدًا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محمد، </w:t>
      </w:r>
      <w:r>
        <w:rPr>
          <w:rFonts w:ascii="Simplified Arabic" w:cs="Simplified Arabic" w:hAnsi="Simplified Arabic" w:eastAsia="Simplified Arabic"/>
          <w:sz w:val="28"/>
          <w:szCs w:val="28"/>
          <w:rtl w:val="1"/>
          <w:lang w:val="ar-SA" w:bidi="ar-SA"/>
        </w:rPr>
        <w:t>2022</w:t>
      </w:r>
      <w:r>
        <w:rPr>
          <w:rFonts w:ascii="Simplified Arabic" w:cs="Simplified Arabic" w:hAnsi="Simplified Arabic" w:eastAsia="Simplified Arabic" w:hint="cs"/>
          <w:sz w:val="28"/>
          <w:szCs w:val="28"/>
          <w:rtl w:val="1"/>
          <w:lang w:val="ar-SA" w:bidi="ar-SA"/>
        </w:rPr>
        <w:t xml:space="preserve">؛ حاج محمد وبناولة، </w:t>
      </w:r>
      <w:r>
        <w:rPr>
          <w:rFonts w:ascii="Simplified Arabic" w:cs="Simplified Arabic" w:hAnsi="Simplified Arabic" w:eastAsia="Simplified Arabic"/>
          <w:sz w:val="28"/>
          <w:szCs w:val="28"/>
          <w:rtl w:val="1"/>
          <w:lang w:val="ar-SA" w:bidi="ar-SA"/>
        </w:rPr>
        <w:t>2021).</w:t>
      </w:r>
    </w:p>
    <w:p>
      <w:pPr>
        <w:pStyle w:val="Normal.0"/>
        <w:spacing w:before="100" w:after="10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وبناءً على ما سبق، تسعى هذه الدراسة إلى سد هذه الفجوة من خلال الإجابة عن السؤال الرئيس التالي</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b w:val="1"/>
          <w:bCs w:val="1"/>
          <w:sz w:val="28"/>
          <w:szCs w:val="28"/>
          <w:rtl w:val="1"/>
          <w:lang w:val="ar-SA" w:bidi="ar-SA"/>
        </w:rPr>
        <w:t>ما أثر التلاعب بالمراجعات والتقييمات الإلكترونية على الثقة بالمتاجر الإلكترونية لدى مستخدمي تطبيقات التسوق في مدينة الرياض؟</w:t>
      </w: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p>
    <w:p>
      <w:pPr>
        <w:pStyle w:val="Normal.0"/>
        <w:spacing w:before="100" w:after="100"/>
        <w:jc w:val="both"/>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أسئلة الدراسة</w:t>
      </w:r>
    </w:p>
    <w:p>
      <w:pPr>
        <w:pStyle w:val="Normal.0"/>
        <w:spacing w:before="100" w:after="100"/>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ما أثر التلاعب بالمراجعات والتقييمات الإلكترونية على الثقة بالمتاجر الإلكترونية لدى مستخدمي تطبيقات التسوق في مدينة الرياض؟</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الأسئلة الفرعية</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ما أثر المراجعات الإلكترونية المزيفة على مستوى ثقة المستهلك بالمتجر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أثر التلاعب بالتقييمات الرقمية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التقييمات المضخمة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إدراك المستهلك لمصداقية 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ما أثر حذف المراجعات السلبية الحقيقية أو إخفائها على مستوى ثقة العملاء بالمتجر الإلكتروني لدى مستخدمي تطبيقات التسوق في مدينة الرياض؟</w:t>
      </w:r>
    </w:p>
    <w:p>
      <w:pPr>
        <w:pStyle w:val="Normal.0"/>
        <w:numPr>
          <w:ilvl w:val="0"/>
          <w:numId w:val="2"/>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هل توجد فروق ذات دلالة إحصائية 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p>
    <w:p>
      <w:pPr>
        <w:pStyle w:val="heading 2"/>
        <w:spacing w:line="276" w:lineRule="auto"/>
        <w:jc w:val="both"/>
        <w:rPr>
          <w:rFonts w:ascii="Simplified Arabic" w:cs="Simplified Arabic" w:hAnsi="Simplified Arabic" w:eastAsia="Simplified Arabic"/>
          <w:outline w:val="0"/>
          <w:color w:val="000000"/>
          <w:sz w:val="28"/>
          <w:szCs w:val="28"/>
          <w:u w:color="000000"/>
          <w:lang w:val="ar-SA" w:bidi="ar-SA"/>
          <w14:textFill>
            <w14:solidFill>
              <w14:srgbClr w14:val="000000"/>
            </w14:solidFill>
          </w14:textFill>
        </w:rPr>
      </w:pPr>
      <w:r>
        <w:rPr>
          <w:rFonts w:ascii="Simplified Arabic" w:cs="Simplified Arabic" w:hAnsi="Simplified Arabic" w:eastAsia="Simplified Arabic" w:hint="cs"/>
          <w:outline w:val="0"/>
          <w:color w:val="000000"/>
          <w:sz w:val="28"/>
          <w:szCs w:val="28"/>
          <w:u w:color="000000"/>
          <w:rtl w:val="1"/>
          <w:lang w:val="ar-SA" w:bidi="ar-SA"/>
          <w14:textFill>
            <w14:solidFill>
              <w14:srgbClr w14:val="000000"/>
            </w14:solidFill>
          </w14:textFill>
        </w:rPr>
        <w:t>فروض الدراسة</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الفرض الرئيس</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يوجد أثر سلبي ذو دلالة إحصائية عند مستوى معنوية</w:t>
      </w:r>
      <w:r>
        <w:rPr>
          <w:rFonts w:ascii="Simplified Arabic" w:cs="Simplified Arabic" w:hAnsi="Simplified Arabic" w:eastAsia="Simplified Arabic"/>
          <w:b w:val="1"/>
          <w:bCs w:val="1"/>
          <w:sz w:val="28"/>
          <w:szCs w:val="28"/>
          <w:rtl w:val="0"/>
          <w:lang w:val="en-US"/>
        </w:rPr>
        <w:t xml:space="preserve"> (</w:t>
      </w:r>
      <w:r>
        <w:rPr>
          <w:rFonts w:ascii="Cambria" w:hAnsi="Cambria" w:hint="default"/>
          <w:b w:val="1"/>
          <w:bCs w:val="1"/>
          <w:sz w:val="28"/>
          <w:szCs w:val="28"/>
          <w:rtl w:val="0"/>
          <w:lang w:val="en-US"/>
        </w:rPr>
        <w:t>α</w:t>
      </w:r>
      <w:r>
        <w:rPr>
          <w:rFonts w:ascii="Simplified Arabic" w:cs="Simplified Arabic" w:hAnsi="Simplified Arabic" w:eastAsia="Simplified Arabic"/>
          <w:b w:val="1"/>
          <w:bCs w:val="1"/>
          <w:sz w:val="28"/>
          <w:szCs w:val="28"/>
          <w:rtl w:val="0"/>
          <w:lang w:val="en-US"/>
        </w:rPr>
        <w:t xml:space="preserve"> </w:t>
      </w:r>
      <w:r>
        <w:rPr>
          <w:rFonts w:ascii="Cambria Math" w:cs="Cambria Math" w:hAnsi="Cambria Math" w:eastAsia="Cambria Math"/>
          <w:b w:val="1"/>
          <w:bCs w:val="1"/>
          <w:sz w:val="28"/>
          <w:szCs w:val="28"/>
          <w:rtl w:val="0"/>
          <w:lang w:val="en-US"/>
        </w:rPr>
        <w:t>≤</w:t>
      </w:r>
      <w:r>
        <w:rPr>
          <w:rFonts w:ascii="Simplified Arabic" w:cs="Simplified Arabic" w:hAnsi="Simplified Arabic" w:eastAsia="Simplified Arabic"/>
          <w:b w:val="1"/>
          <w:bCs w:val="1"/>
          <w:sz w:val="28"/>
          <w:szCs w:val="28"/>
          <w:rtl w:val="0"/>
          <w:lang w:val="en-US"/>
        </w:rPr>
        <w:t xml:space="preserve"> 0.05) </w:t>
      </w:r>
      <w:r>
        <w:rPr>
          <w:rFonts w:ascii="Simplified Arabic" w:cs="Simplified Arabic" w:hAnsi="Simplified Arabic" w:eastAsia="Simplified Arabic" w:hint="cs"/>
          <w:b w:val="1"/>
          <w:bCs w:val="1"/>
          <w:sz w:val="28"/>
          <w:szCs w:val="28"/>
          <w:rtl w:val="1"/>
          <w:lang w:val="ar-SA" w:bidi="ar-SA"/>
        </w:rPr>
        <w:t>للتلاعب بالمراجعات والتقييمات الإلكترونية على الثقة بالمتاجر الإلكترونية لدى مستخدمي تطبيقات التسوق في مدينة الرياض</w:t>
      </w:r>
      <w:r>
        <w:rPr>
          <w:rFonts w:ascii="Simplified Arabic" w:cs="Simplified Arabic" w:hAnsi="Simplified Arabic" w:eastAsia="Simplified Arabic"/>
          <w:b w:val="1"/>
          <w:bCs w:val="1"/>
          <w:sz w:val="28"/>
          <w:szCs w:val="28"/>
          <w:rtl w:val="0"/>
          <w:lang w:val="en-US"/>
        </w:rPr>
        <w:t>.</w:t>
      </w:r>
    </w:p>
    <w:p>
      <w:pPr>
        <w:pStyle w:val="Normal.0"/>
        <w:spacing w:before="100" w:after="100"/>
        <w:outlineLvl w:val="1"/>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الفروض الفرعية</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الأول</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للمراجعات الإلكترونية المزيفة على مستوى ثقة المستهلك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الثاني</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للتلاعب بالتقييمات الرقمية المضخمة على إدراك المستهلك لمصداقية 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الثالث</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يوجد أثر سلبي ذو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لحذف المراجعات السلبية الحقيقية أو إخفائها على مستوى ثقة العملاء بالمتجر الإلكتروني 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spacing w:before="100" w:after="10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الفرض الفرعي الرابع</w:t>
      </w:r>
      <w:r>
        <w:rPr>
          <w:rFonts w:ascii="Simplified Arabic" w:cs="Simplified Arabic" w:hAnsi="Simplified Arabic" w:eastAsia="Simplified Arabic"/>
          <w:b w:val="1"/>
          <w:bCs w:val="1"/>
          <w:sz w:val="28"/>
          <w:szCs w:val="28"/>
          <w:rtl w:val="0"/>
          <w:lang w:val="en-US"/>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توجد فروق ذات دلالة إحصائية عند مستوى معنوية</w:t>
      </w:r>
      <w:r>
        <w:rPr>
          <w:rFonts w:ascii="Simplified Arabic" w:cs="Simplified Arabic" w:hAnsi="Simplified Arabic" w:eastAsia="Simplified Arabic"/>
          <w:sz w:val="28"/>
          <w:szCs w:val="28"/>
          <w:rtl w:val="0"/>
          <w:lang w:val="en-US"/>
        </w:rPr>
        <w:t xml:space="preserve"> (</w:t>
      </w:r>
      <w:r>
        <w:rPr>
          <w:rFonts w:ascii="Cambria" w:hAnsi="Cambria"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 xml:space="preserve">في أثر التلاعب بالمراجعات والتقييمات على الثقة بالمتاجر الإلكترونية تُعزى إلى المتغيرات الديموغرافية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الجنس، العمر، المستوى التعليمي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لدى مستخدمي تطبيقات التسوق في مدينة الرياض</w:t>
      </w:r>
      <w:r>
        <w:rPr>
          <w:rFonts w:ascii="Simplified Arabic" w:cs="Simplified Arabic" w:hAnsi="Simplified Arabic" w:eastAsia="Simplified Arabic"/>
          <w:sz w:val="28"/>
          <w:szCs w:val="28"/>
          <w:rtl w:val="0"/>
          <w:lang w:val="en-US"/>
        </w:rPr>
        <w:t>.</w:t>
      </w:r>
    </w:p>
    <w:p>
      <w:pPr>
        <w:pStyle w:val="Normal.0"/>
      </w:pPr>
      <w:r>
        <w:rPr>
          <w:rFonts w:ascii="Simplified Arabic" w:cs="Simplified Arabic" w:hAnsi="Simplified Arabic" w:eastAsia="Simplified Arabic"/>
          <w:sz w:val="28"/>
          <w:szCs w:val="28"/>
          <w:lang w:val="ar-SA" w:bidi="ar-SA"/>
        </w:rPr>
        <w:br w:type="page"/>
      </w:r>
    </w:p>
    <w:p>
      <w:pPr>
        <w:pStyle w:val="Normal.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المراجع </w:t>
      </w:r>
    </w:p>
    <w:p>
      <w:pPr>
        <w:pStyle w:val="Normal.0"/>
        <w:spacing w:before="100" w:after="100"/>
        <w:outlineLvl w:val="2"/>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المراجع العربية</w:t>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حاج محمد، سهام؛ وبناولة، حكيم</w:t>
      </w:r>
      <w:r>
        <w:rPr>
          <w:rFonts w:ascii="Simplified Arabic" w:cs="Simplified Arabic" w:hAnsi="Simplified Arabic" w:eastAsia="Simplified Arabic"/>
          <w:b w:val="1"/>
          <w:bCs w:val="1"/>
          <w:sz w:val="28"/>
          <w:szCs w:val="28"/>
          <w:rtl w:val="0"/>
          <w:lang w:val="en-US"/>
        </w:rPr>
        <w:t xml:space="preserve"> (2021).</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أثر مصداقية الكلمة المنطوقة الإلكترونية على اتخاذ قرار الشراء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حالة موقع</w:t>
      </w:r>
      <w:r>
        <w:rPr>
          <w:rFonts w:ascii="Simplified Arabic" w:cs="Simplified Arabic" w:hAnsi="Simplified Arabic" w:eastAsia="Simplified Arabic"/>
          <w:sz w:val="28"/>
          <w:szCs w:val="28"/>
          <w:rtl w:val="0"/>
          <w:lang w:val="en-US"/>
        </w:rPr>
        <w:t xml:space="preserve"> JUMIA </w:t>
      </w:r>
      <w:r>
        <w:rPr>
          <w:rFonts w:ascii="Simplified Arabic" w:cs="Simplified Arabic" w:hAnsi="Simplified Arabic" w:eastAsia="Simplified Arabic" w:hint="cs"/>
          <w:sz w:val="28"/>
          <w:szCs w:val="28"/>
          <w:rtl w:val="1"/>
          <w:lang w:val="ar-SA" w:bidi="ar-SA"/>
        </w:rPr>
        <w:t>بالجزائر</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i w:val="1"/>
          <w:iCs w:val="1"/>
          <w:sz w:val="28"/>
          <w:szCs w:val="28"/>
          <w:rtl w:val="1"/>
          <w:lang w:val="ar-SA" w:bidi="ar-SA"/>
        </w:rPr>
        <w:t>مجلة الإدارة والتنمية للبحوث والدراسات</w:t>
      </w:r>
      <w:r>
        <w:rPr>
          <w:rFonts w:ascii="Simplified Arabic" w:cs="Simplified Arabic" w:hAnsi="Simplified Arabic" w:eastAsia="Simplified Arabic" w:hint="cs"/>
          <w:sz w:val="28"/>
          <w:szCs w:val="28"/>
          <w:rtl w:val="1"/>
          <w:lang w:val="ar-SA" w:bidi="ar-SA"/>
        </w:rPr>
        <w:t xml:space="preserve">، مج </w:t>
      </w:r>
      <w:r>
        <w:rPr>
          <w:rFonts w:ascii="Simplified Arabic" w:cs="Simplified Arabic" w:hAnsi="Simplified Arabic" w:eastAsia="Simplified Arabic"/>
          <w:sz w:val="28"/>
          <w:szCs w:val="28"/>
          <w:rtl w:val="1"/>
          <w:lang w:val="ar-SA" w:bidi="ar-SA"/>
        </w:rPr>
        <w:t>10</w:t>
      </w:r>
      <w:r>
        <w:rPr>
          <w:rFonts w:ascii="Simplified Arabic" w:cs="Simplified Arabic" w:hAnsi="Simplified Arabic" w:eastAsia="Simplified Arabic" w:hint="cs"/>
          <w:sz w:val="28"/>
          <w:szCs w:val="28"/>
          <w:rtl w:val="1"/>
          <w:lang w:val="ar-SA" w:bidi="ar-SA"/>
        </w:rPr>
        <w:t xml:space="preserve">، ع </w:t>
      </w:r>
      <w:r>
        <w:rPr>
          <w:rFonts w:ascii="Simplified Arabic" w:cs="Simplified Arabic" w:hAnsi="Simplified Arabic" w:eastAsia="Simplified Arabic"/>
          <w:sz w:val="28"/>
          <w:szCs w:val="28"/>
          <w:rtl w:val="1"/>
          <w:lang w:val="ar-SA" w:bidi="ar-SA"/>
        </w:rPr>
        <w:t>2</w:t>
      </w:r>
      <w:r>
        <w:rPr>
          <w:rFonts w:ascii="Simplified Arabic" w:cs="Simplified Arabic" w:hAnsi="Simplified Arabic" w:eastAsia="Simplified Arabic" w:hint="cs"/>
          <w:sz w:val="28"/>
          <w:szCs w:val="28"/>
          <w:rtl w:val="1"/>
          <w:lang w:val="ar-SA" w:bidi="ar-SA"/>
        </w:rPr>
        <w:t xml:space="preserve">، ص ص </w:t>
      </w:r>
      <w:r>
        <w:rPr>
          <w:rFonts w:ascii="Simplified Arabic" w:cs="Simplified Arabic" w:hAnsi="Simplified Arabic" w:eastAsia="Simplified Arabic"/>
          <w:sz w:val="28"/>
          <w:szCs w:val="28"/>
          <w:rtl w:val="1"/>
          <w:lang w:val="ar-SA" w:bidi="ar-SA"/>
        </w:rPr>
        <w:t>337</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360</w:t>
      </w:r>
      <w:r>
        <w:rPr>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"https://asjp.cerist.dz/en/article/170773"</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https://asjp.cerist.dz/en/article/170773</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دكروري، منى إبراهيم</w:t>
      </w:r>
      <w:r>
        <w:rPr>
          <w:rStyle w:val="None"/>
          <w:rFonts w:ascii="Simplified Arabic" w:cs="Simplified Arabic" w:hAnsi="Simplified Arabic" w:eastAsia="Simplified Arabic"/>
          <w:b w:val="1"/>
          <w:bCs w:val="1"/>
          <w:sz w:val="28"/>
          <w:szCs w:val="28"/>
          <w:rtl w:val="0"/>
          <w:lang w:val="en-US"/>
        </w:rPr>
        <w:t xml:space="preserve"> (2018).</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أثر أخلاقيات البيع الإلكتروني على الثقة الإلكترونية</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على عملاء مواقع التسوق الإلكتروني</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المصرية للدراسات التجارية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42</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214</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239</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"https://journals.ekb.eg/article_207000"</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https://journals.ekb.eg/article_207000</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رشاد، عبد المنعم محمد</w:t>
      </w:r>
      <w:r>
        <w:rPr>
          <w:rStyle w:val="None"/>
          <w:rFonts w:ascii="Simplified Arabic" w:cs="Simplified Arabic" w:hAnsi="Simplified Arabic" w:eastAsia="Simplified Arabic"/>
          <w:b w:val="1"/>
          <w:bCs w:val="1"/>
          <w:sz w:val="28"/>
          <w:szCs w:val="28"/>
          <w:rtl w:val="0"/>
          <w:lang w:val="en-US"/>
        </w:rPr>
        <w:t xml:space="preserve"> (2007).</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العوامل المؤثرة على ثقة العميل في التسوق عبر شبكة الإنترنت</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للمواقع الإلكترونية الخاصة ببعض المنظمات الصناعية والخدمية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العلمية للبحوث والدراسات التجارية</w:t>
      </w:r>
      <w:r>
        <w:rPr>
          <w:rStyle w:val="None"/>
          <w:rFonts w:ascii="Simplified Arabic" w:cs="Simplified Arabic" w:hAnsi="Simplified Arabic" w:eastAsia="Simplified Arabic" w:hint="cs"/>
          <w:sz w:val="28"/>
          <w:szCs w:val="28"/>
          <w:rtl w:val="1"/>
          <w:lang w:val="ar-SA" w:bidi="ar-SA"/>
        </w:rPr>
        <w:t xml:space="preserve">، جامعة حلوان </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 xml:space="preserve">كلية التجارة، مج </w:t>
      </w:r>
      <w:r>
        <w:rPr>
          <w:rStyle w:val="None"/>
          <w:rFonts w:ascii="Simplified Arabic" w:cs="Simplified Arabic" w:hAnsi="Simplified Arabic" w:eastAsia="Simplified Arabic"/>
          <w:sz w:val="28"/>
          <w:szCs w:val="28"/>
          <w:rtl w:val="1"/>
          <w:lang w:val="ar-SA" w:bidi="ar-SA"/>
        </w:rPr>
        <w:t>21</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42</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"https://sjsc.journals.ekb.eg/article_124723.html"</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https://sjsc.journals.ekb.eg/article_124723.html</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كاهي، فطيمة؛ وحدادي، عبد الغني</w:t>
      </w:r>
      <w:r>
        <w:rPr>
          <w:rStyle w:val="None"/>
          <w:rFonts w:ascii="Simplified Arabic" w:cs="Simplified Arabic" w:hAnsi="Simplified Arabic" w:eastAsia="Simplified Arabic"/>
          <w:b w:val="1"/>
          <w:bCs w:val="1"/>
          <w:sz w:val="28"/>
          <w:szCs w:val="28"/>
          <w:rtl w:val="0"/>
          <w:lang w:val="en-US"/>
        </w:rPr>
        <w:t xml:space="preserve"> (2021).</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 xml:space="preserve">ثقة المستهلك العربي في عملية الشراء عبر الإنترنت في ظل جائحة كورونا </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hint="cs"/>
          <w:sz w:val="28"/>
          <w:szCs w:val="28"/>
          <w:rtl w:val="1"/>
          <w:lang w:val="ar-SA" w:bidi="ar-SA"/>
        </w:rPr>
        <w:t>كوفيد</w:t>
      </w:r>
      <w:r>
        <w:rPr>
          <w:rStyle w:val="None"/>
          <w:rFonts w:ascii="Simplified Arabic" w:cs="Simplified Arabic" w:hAnsi="Simplified Arabic" w:eastAsia="Simplified Arabic"/>
          <w:sz w:val="28"/>
          <w:szCs w:val="28"/>
          <w:rtl w:val="1"/>
          <w:lang w:val="ar-SA" w:bidi="ar-SA"/>
        </w:rPr>
        <w:t>-19)</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مجلة تنمية الموارد البشرية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16</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494</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516</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"https://asjp.cerist.dz/en/article/144338"</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https://asjp.cerist.dz/en/article/144338</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كوكش، ثائر جعفر</w:t>
      </w:r>
      <w:r>
        <w:rPr>
          <w:rStyle w:val="None"/>
          <w:rFonts w:ascii="Simplified Arabic" w:cs="Simplified Arabic" w:hAnsi="Simplified Arabic" w:eastAsia="Simplified Arabic"/>
          <w:b w:val="1"/>
          <w:bCs w:val="1"/>
          <w:sz w:val="28"/>
          <w:szCs w:val="28"/>
          <w:rtl w:val="0"/>
          <w:lang w:val="en-US"/>
        </w:rPr>
        <w:t xml:space="preserve"> (2019).</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الأثر المعدل للمخاطر المدركة على العلاقة بين الثقة عبر الإنترنت والنية في الشراء لدى مواقع التسوق الإلكترونية في الأردن</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رسالة ماجستير</w:t>
      </w:r>
      <w:r>
        <w:rPr>
          <w:rStyle w:val="None"/>
          <w:rFonts w:ascii="Simplified Arabic" w:cs="Simplified Arabic" w:hAnsi="Simplified Arabic" w:eastAsia="Simplified Arabic" w:hint="cs"/>
          <w:sz w:val="28"/>
          <w:szCs w:val="28"/>
          <w:rtl w:val="1"/>
          <w:lang w:val="ar-SA" w:bidi="ar-SA"/>
        </w:rPr>
        <w:t xml:space="preserve">، جامعة الشرق الأوسط، عمّان، الأردن، </w:t>
      </w:r>
      <w:r>
        <w:rPr>
          <w:rStyle w:val="None"/>
          <w:rFonts w:ascii="Simplified Arabic" w:cs="Simplified Arabic" w:hAnsi="Simplified Arabic" w:eastAsia="Simplified Arabic"/>
          <w:sz w:val="28"/>
          <w:szCs w:val="28"/>
          <w:rtl w:val="1"/>
          <w:lang w:val="ar-SA" w:bidi="ar-SA"/>
        </w:rPr>
        <w:t xml:space="preserve">94 </w:t>
      </w:r>
      <w:r>
        <w:rPr>
          <w:rStyle w:val="None"/>
          <w:rFonts w:ascii="Simplified Arabic" w:cs="Simplified Arabic" w:hAnsi="Simplified Arabic" w:eastAsia="Simplified Arabic" w:hint="cs"/>
          <w:sz w:val="28"/>
          <w:szCs w:val="28"/>
          <w:rtl w:val="1"/>
          <w:lang w:val="ar-SA" w:bidi="ar-SA"/>
        </w:rPr>
        <w:t>صفحة</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"https://meu.edu.jo/libraryTheses/5d47d42c3cd29_1.pdf"</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https://meu.edu.jo/libraryTheses/5d47d42c3cd29_1.pdf</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معاوي، محمد الأمين؛ وترخاش، يوسف</w:t>
      </w:r>
      <w:r>
        <w:rPr>
          <w:rStyle w:val="None"/>
          <w:rFonts w:ascii="Simplified Arabic" w:cs="Simplified Arabic" w:hAnsi="Simplified Arabic" w:eastAsia="Simplified Arabic"/>
          <w:b w:val="1"/>
          <w:bCs w:val="1"/>
          <w:sz w:val="28"/>
          <w:szCs w:val="28"/>
          <w:rtl w:val="0"/>
          <w:lang w:val="en-US"/>
        </w:rPr>
        <w:t xml:space="preserve"> (2025).</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تأثير الكلمة المنطوقة الإلكترونية على قرار الشراء</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حالة زبائن ولاية ميلة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رسالة ماجستير</w:t>
      </w:r>
      <w:r>
        <w:rPr>
          <w:rStyle w:val="None"/>
          <w:rFonts w:ascii="Simplified Arabic" w:cs="Simplified Arabic" w:hAnsi="Simplified Arabic" w:eastAsia="Simplified Arabic" w:hint="cs"/>
          <w:sz w:val="28"/>
          <w:szCs w:val="28"/>
          <w:rtl w:val="1"/>
          <w:lang w:val="ar-SA" w:bidi="ar-SA"/>
        </w:rPr>
        <w:t>، جامعة ميلة، الجزائر</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"https://dspace.univ-mila.dz/jspui/handle/123456789/4436"</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https://dspace.univ-mila.dz/jspui/handle/123456789/4436</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محمد، أسامة عبد الحميد</w:t>
      </w:r>
      <w:r>
        <w:rPr>
          <w:rStyle w:val="None"/>
          <w:rFonts w:ascii="Simplified Arabic" w:cs="Simplified Arabic" w:hAnsi="Simplified Arabic" w:eastAsia="Simplified Arabic"/>
          <w:b w:val="1"/>
          <w:bCs w:val="1"/>
          <w:sz w:val="28"/>
          <w:szCs w:val="28"/>
          <w:rtl w:val="0"/>
          <w:lang w:val="en-US"/>
        </w:rPr>
        <w:t xml:space="preserve"> (2022).</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محددات مصداقية التقييمات الإلكترونية وعلاقتها بنية الشراء لدى المستهلكين</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شبه تجريبية</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مجلة بحوث العلاقات العامة الشرق الأوسط</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10</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42 (</w:t>
      </w:r>
      <w:r>
        <w:rPr>
          <w:rStyle w:val="None"/>
          <w:rFonts w:ascii="Simplified Arabic" w:cs="Simplified Arabic" w:hAnsi="Simplified Arabic" w:eastAsia="Simplified Arabic" w:hint="cs"/>
          <w:sz w:val="28"/>
          <w:szCs w:val="28"/>
          <w:rtl w:val="1"/>
          <w:lang w:val="ar-SA" w:bidi="ar-SA"/>
        </w:rPr>
        <w:t>ج</w:t>
      </w:r>
      <w:r>
        <w:rPr>
          <w:rStyle w:val="None"/>
          <w:rFonts w:ascii="Simplified Arabic" w:cs="Simplified Arabic" w:hAnsi="Simplified Arabic" w:eastAsia="Simplified Arabic"/>
          <w:sz w:val="28"/>
          <w:szCs w:val="28"/>
          <w:rtl w:val="1"/>
          <w:lang w:val="ar-SA" w:bidi="ar-SA"/>
        </w:rPr>
        <w:t>1)</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223</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251</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"https://search.emarefa.net/detail/BIM-1617536"</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https://search.emarefa.net/detail/BIM-1617536</w:t>
      </w:r>
      <w:r>
        <w:rPr>
          <w:rFonts w:ascii="Simplified Arabic" w:cs="Simplified Arabic" w:hAnsi="Simplified Arabic" w:eastAsia="Simplified Arabic"/>
          <w:sz w:val="28"/>
          <w:szCs w:val="28"/>
        </w:rPr>
        <w:fldChar w:fldCharType="end" w:fldLock="0"/>
      </w:r>
    </w:p>
    <w:p>
      <w:pPr>
        <w:pStyle w:val="Normal.0"/>
        <w:numPr>
          <w:ilvl w:val="0"/>
          <w:numId w:val="4"/>
        </w:numPr>
        <w:bidi w:val="1"/>
        <w:spacing w:before="100" w:after="100"/>
        <w:ind w:right="0"/>
        <w:jc w:val="left"/>
        <w:rPr>
          <w:rFonts w:ascii="Simplified Arabic" w:cs="Simplified Arabic" w:hAnsi="Simplified Arabic" w:eastAsia="Simplified Arabic" w:hint="cs"/>
          <w:sz w:val="28"/>
          <w:szCs w:val="28"/>
          <w:rtl w:val="1"/>
          <w:lang w:val="ar-SA" w:bidi="ar-SA"/>
        </w:rPr>
      </w:pPr>
      <w:r>
        <w:rPr>
          <w:rStyle w:val="None"/>
          <w:rFonts w:ascii="Simplified Arabic" w:cs="Simplified Arabic" w:hAnsi="Simplified Arabic" w:eastAsia="Simplified Arabic" w:hint="cs"/>
          <w:b w:val="1"/>
          <w:bCs w:val="1"/>
          <w:sz w:val="28"/>
          <w:szCs w:val="28"/>
          <w:rtl w:val="1"/>
          <w:lang w:val="ar-SA" w:bidi="ar-SA"/>
        </w:rPr>
        <w:t>النقيرة، أحمد محمود محمد</w:t>
      </w:r>
      <w:r>
        <w:rPr>
          <w:rStyle w:val="None"/>
          <w:rFonts w:ascii="Simplified Arabic" w:cs="Simplified Arabic" w:hAnsi="Simplified Arabic" w:eastAsia="Simplified Arabic"/>
          <w:b w:val="1"/>
          <w:bCs w:val="1"/>
          <w:sz w:val="28"/>
          <w:szCs w:val="28"/>
          <w:rtl w:val="0"/>
          <w:lang w:val="en-US"/>
        </w:rPr>
        <w:t xml:space="preserve"> (2023).</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sz w:val="28"/>
          <w:szCs w:val="28"/>
          <w:rtl w:val="1"/>
          <w:lang w:val="ar-SA" w:bidi="ar-SA"/>
        </w:rPr>
        <w:t>تأثير التقييمات الإلكترونية للعملاء على النوايا الشرائية من خلال أبعاد نموذج تقييم العلامة كمتغير وسيط</w:t>
      </w:r>
      <w:r>
        <w:rPr>
          <w:rStyle w:val="None"/>
          <w:rFonts w:ascii="Simplified Arabic" w:cs="Simplified Arabic" w:hAnsi="Simplified Arabic" w:eastAsia="Simplified Arabic"/>
          <w:sz w:val="28"/>
          <w:szCs w:val="28"/>
          <w:rtl w:val="1"/>
          <w:lang w:val="ar-SA" w:bidi="ar-SA"/>
        </w:rPr>
        <w:t xml:space="preserve">: </w:t>
      </w:r>
      <w:r>
        <w:rPr>
          <w:rStyle w:val="None"/>
          <w:rFonts w:ascii="Simplified Arabic" w:cs="Simplified Arabic" w:hAnsi="Simplified Arabic" w:eastAsia="Simplified Arabic" w:hint="cs"/>
          <w:sz w:val="28"/>
          <w:szCs w:val="28"/>
          <w:rtl w:val="1"/>
          <w:lang w:val="ar-SA" w:bidi="ar-SA"/>
        </w:rPr>
        <w:t>دراسة تطبيقية على عملاء المتاجر الإلكترونية في مصر</w:t>
      </w:r>
      <w:r>
        <w:rPr>
          <w:rStyle w:val="None"/>
          <w:rFonts w:ascii="Simplified Arabic" w:cs="Simplified Arabic" w:hAnsi="Simplified Arabic" w:eastAsia="Simplified Arabic"/>
          <w:sz w:val="28"/>
          <w:szCs w:val="28"/>
          <w:rtl w:val="0"/>
          <w:lang w:val="en-US"/>
        </w:rPr>
        <w:t xml:space="preserve">. </w:t>
      </w:r>
      <w:r>
        <w:rPr>
          <w:rStyle w:val="None"/>
          <w:rFonts w:ascii="Simplified Arabic" w:cs="Simplified Arabic" w:hAnsi="Simplified Arabic" w:eastAsia="Simplified Arabic" w:hint="cs"/>
          <w:i w:val="1"/>
          <w:iCs w:val="1"/>
          <w:sz w:val="28"/>
          <w:szCs w:val="28"/>
          <w:rtl w:val="1"/>
          <w:lang w:val="ar-SA" w:bidi="ar-SA"/>
        </w:rPr>
        <w:t>المجلة العلمية للدراسات والبحوث المالية والإدارية</w:t>
      </w:r>
      <w:r>
        <w:rPr>
          <w:rStyle w:val="None"/>
          <w:rFonts w:ascii="Simplified Arabic" w:cs="Simplified Arabic" w:hAnsi="Simplified Arabic" w:eastAsia="Simplified Arabic" w:hint="cs"/>
          <w:sz w:val="28"/>
          <w:szCs w:val="28"/>
          <w:rtl w:val="1"/>
          <w:lang w:val="ar-SA" w:bidi="ar-SA"/>
        </w:rPr>
        <w:t xml:space="preserve">، مج </w:t>
      </w:r>
      <w:r>
        <w:rPr>
          <w:rStyle w:val="None"/>
          <w:rFonts w:ascii="Simplified Arabic" w:cs="Simplified Arabic" w:hAnsi="Simplified Arabic" w:eastAsia="Simplified Arabic"/>
          <w:sz w:val="28"/>
          <w:szCs w:val="28"/>
          <w:rtl w:val="1"/>
          <w:lang w:val="ar-SA" w:bidi="ar-SA"/>
        </w:rPr>
        <w:t>15</w:t>
      </w:r>
      <w:r>
        <w:rPr>
          <w:rStyle w:val="None"/>
          <w:rFonts w:ascii="Simplified Arabic" w:cs="Simplified Arabic" w:hAnsi="Simplified Arabic" w:eastAsia="Simplified Arabic" w:hint="cs"/>
          <w:sz w:val="28"/>
          <w:szCs w:val="28"/>
          <w:rtl w:val="1"/>
          <w:lang w:val="ar-SA" w:bidi="ar-SA"/>
        </w:rPr>
        <w:t xml:space="preserve">، ع </w:t>
      </w:r>
      <w:r>
        <w:rPr>
          <w:rStyle w:val="None"/>
          <w:rFonts w:ascii="Simplified Arabic" w:cs="Simplified Arabic" w:hAnsi="Simplified Arabic" w:eastAsia="Simplified Arabic"/>
          <w:sz w:val="28"/>
          <w:szCs w:val="28"/>
          <w:rtl w:val="1"/>
          <w:lang w:val="ar-SA" w:bidi="ar-SA"/>
        </w:rPr>
        <w:t>4</w:t>
      </w:r>
      <w:r>
        <w:rPr>
          <w:rStyle w:val="None"/>
          <w:rFonts w:ascii="Simplified Arabic" w:cs="Simplified Arabic" w:hAnsi="Simplified Arabic" w:eastAsia="Simplified Arabic" w:hint="cs"/>
          <w:sz w:val="28"/>
          <w:szCs w:val="28"/>
          <w:rtl w:val="1"/>
          <w:lang w:val="ar-SA" w:bidi="ar-SA"/>
        </w:rPr>
        <w:t xml:space="preserve">، ص ص </w:t>
      </w:r>
      <w:r>
        <w:rPr>
          <w:rStyle w:val="None"/>
          <w:rFonts w:ascii="Simplified Arabic" w:cs="Simplified Arabic" w:hAnsi="Simplified Arabic" w:eastAsia="Simplified Arabic"/>
          <w:sz w:val="28"/>
          <w:szCs w:val="28"/>
          <w:rtl w:val="1"/>
          <w:lang w:val="ar-SA" w:bidi="ar-SA"/>
        </w:rPr>
        <w:t>176</w:t>
      </w:r>
      <w:r>
        <w:rPr>
          <w:rStyle w:val="None"/>
          <w:rFonts w:ascii="Simplified Arabic" w:cs="Simplified Arabic" w:hAnsi="Simplified Arabic" w:eastAsia="Simplified Arabic"/>
          <w:sz w:val="28"/>
          <w:szCs w:val="28"/>
          <w:rtl w:val="1"/>
          <w:lang w:val="ar-SA" w:bidi="ar-SA"/>
        </w:rPr>
        <w:t>–</w:t>
      </w:r>
      <w:r>
        <w:rPr>
          <w:rStyle w:val="None"/>
          <w:rFonts w:ascii="Simplified Arabic" w:cs="Simplified Arabic" w:hAnsi="Simplified Arabic" w:eastAsia="Simplified Arabic"/>
          <w:sz w:val="28"/>
          <w:szCs w:val="28"/>
          <w:rtl w:val="1"/>
          <w:lang w:val="ar-SA" w:bidi="ar-SA"/>
        </w:rPr>
        <w:t>213</w:t>
      </w:r>
      <w:r>
        <w:rPr>
          <w:rStyle w:val="None"/>
          <w:rFonts w:ascii="Simplified Arabic" w:cs="Simplified Arabic" w:hAnsi="Simplified Arabic" w:eastAsia="Simplified Arabic" w:hint="cs"/>
          <w:sz w:val="28"/>
          <w:szCs w:val="28"/>
          <w:rtl w:val="1"/>
          <w:lang w:val="ar-SA" w:bidi="ar-SA"/>
        </w:rPr>
        <w:t xml:space="preserve">، </w:t>
      </w:r>
      <w:r>
        <w:rPr>
          <w:rStyle w:val="None"/>
          <w:rFonts w:ascii="Simplified Arabic" w:cs="Simplified Arabic" w:hAnsi="Simplified Arabic" w:eastAsia="Simplified Arabic"/>
          <w:sz w:val="28"/>
          <w:szCs w:val="28"/>
          <w:rtl w:val="1"/>
          <w:lang w:val="ar-SA" w:bidi="ar-SA"/>
        </w:rPr>
        <w:t xml:space="preserve">38 </w:t>
      </w:r>
      <w:r>
        <w:rPr>
          <w:rStyle w:val="None"/>
          <w:rFonts w:ascii="Simplified Arabic" w:cs="Simplified Arabic" w:hAnsi="Simplified Arabic" w:eastAsia="Simplified Arabic" w:hint="cs"/>
          <w:sz w:val="28"/>
          <w:szCs w:val="28"/>
          <w:rtl w:val="1"/>
          <w:lang w:val="ar-SA" w:bidi="ar-SA"/>
        </w:rPr>
        <w:t>صفحة</w:t>
      </w:r>
      <w:r>
        <w:rPr>
          <w:rStyle w:val="None"/>
          <w:rFonts w:ascii="Simplified Arabic" w:cs="Simplified Arabic" w:hAnsi="Simplified Arabic" w:eastAsia="Simplified Arabic"/>
          <w:sz w:val="28"/>
          <w:szCs w:val="28"/>
          <w:rtl w:val="0"/>
          <w:lang w:val="en-US"/>
        </w:rPr>
        <w:t xml:space="preserve">. </w: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begin" w:fldLock="0"/>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instrText xml:space="preserve"> HYPERLINK "https://search.emarefa.net/detail/BIM-1527454"</w:instrText>
      </w:r>
      <w:r>
        <w:rPr>
          <w:rStyle w:val="Hyperlink.0"/>
          <w:rFonts w:ascii="Simplified Arabic" w:cs="Simplified Arabic" w:hAnsi="Simplified Arabic" w:eastAsia="Simplified Arabic"/>
          <w:outline w:val="0"/>
          <w:color w:val="0000ff"/>
          <w:sz w:val="28"/>
          <w:szCs w:val="28"/>
          <w:u w:val="single" w:color="0000ff"/>
          <w:lang w:val="en-US"/>
          <w14:textFill>
            <w14:solidFill>
              <w14:srgbClr w14:val="0000FF"/>
            </w14:solidFill>
          </w14:textFill>
        </w:rPr>
        <w:fldChar w:fldCharType="separate" w:fldLock="0"/>
      </w:r>
      <w:r>
        <w:rPr>
          <w:rStyle w:val="Hyperlink.0"/>
          <w:rFonts w:ascii="Simplified Arabic" w:cs="Simplified Arabic" w:hAnsi="Simplified Arabic" w:eastAsia="Simplified Arabic"/>
          <w:outline w:val="0"/>
          <w:color w:val="0000ff"/>
          <w:sz w:val="28"/>
          <w:szCs w:val="28"/>
          <w:u w:val="single" w:color="0000ff"/>
          <w:rtl w:val="0"/>
          <w:lang w:val="en-US"/>
          <w14:textFill>
            <w14:solidFill>
              <w14:srgbClr w14:val="0000FF"/>
            </w14:solidFill>
          </w14:textFill>
        </w:rPr>
        <w:t>https://search.emarefa.net/detail/BIM-1527454</w:t>
      </w:r>
      <w:r>
        <w:rPr>
          <w:rFonts w:ascii="Simplified Arabic" w:cs="Simplified Arabic" w:hAnsi="Simplified Arabic" w:eastAsia="Simplified Arabic"/>
          <w:sz w:val="28"/>
          <w:szCs w:val="28"/>
        </w:rPr>
        <w:fldChar w:fldCharType="end" w:fldLock="0"/>
      </w:r>
    </w:p>
    <w:p>
      <w:pPr>
        <w:pStyle w:val="List Paragraph"/>
        <w:spacing w:after="0"/>
        <w:ind w:left="360" w:firstLine="0"/>
        <w:rPr>
          <w:rStyle w:val="None"/>
          <w:rFonts w:ascii="Simplified Arabic" w:cs="Simplified Arabic" w:hAnsi="Simplified Arabic" w:eastAsia="Simplified Arabic"/>
          <w:sz w:val="28"/>
          <w:szCs w:val="28"/>
          <w:lang w:val="ar-SA" w:bidi="ar-SA"/>
        </w:rPr>
      </w:pPr>
    </w:p>
    <w:p>
      <w:pPr>
        <w:pStyle w:val="Normal.0"/>
        <w:spacing w:before="100" w:after="100"/>
        <w:outlineLvl w:val="2"/>
        <w:rPr>
          <w:rStyle w:val="None"/>
          <w:rFonts w:ascii="Simplified Arabic" w:cs="Simplified Arabic" w:hAnsi="Simplified Arabic" w:eastAsia="Simplified Arabic"/>
          <w:b w:val="1"/>
          <w:bCs w:val="1"/>
          <w:sz w:val="28"/>
          <w:szCs w:val="28"/>
          <w:lang w:val="ar-SA" w:bidi="ar-SA"/>
        </w:rPr>
      </w:pPr>
      <w:r>
        <w:rPr>
          <w:rStyle w:val="None"/>
          <w:rFonts w:ascii="Simplified Arabic" w:cs="Simplified Arabic" w:hAnsi="Simplified Arabic" w:eastAsia="Simplified Arabic" w:hint="cs"/>
          <w:b w:val="1"/>
          <w:bCs w:val="1"/>
          <w:sz w:val="28"/>
          <w:szCs w:val="28"/>
          <w:rtl w:val="1"/>
          <w:lang w:val="ar-SA" w:bidi="ar-SA"/>
        </w:rPr>
        <w:t>ثانيًا</w:t>
      </w:r>
      <w:r>
        <w:rPr>
          <w:rStyle w:val="None"/>
          <w:rFonts w:ascii="Simplified Arabic" w:cs="Simplified Arabic" w:hAnsi="Simplified Arabic" w:eastAsia="Simplified Arabic"/>
          <w:b w:val="1"/>
          <w:bCs w:val="1"/>
          <w:sz w:val="28"/>
          <w:szCs w:val="28"/>
          <w:rtl w:val="1"/>
          <w:lang w:val="ar-SA" w:bidi="ar-SA"/>
        </w:rPr>
        <w:t xml:space="preserve">: </w:t>
      </w:r>
      <w:r>
        <w:rPr>
          <w:rStyle w:val="None"/>
          <w:rFonts w:ascii="Simplified Arabic" w:cs="Simplified Arabic" w:hAnsi="Simplified Arabic" w:eastAsia="Simplified Arabic" w:hint="cs"/>
          <w:b w:val="1"/>
          <w:bCs w:val="1"/>
          <w:sz w:val="28"/>
          <w:szCs w:val="28"/>
          <w:rtl w:val="1"/>
          <w:lang w:val="ar-SA" w:bidi="ar-SA"/>
        </w:rPr>
        <w:t>المراجع الأجنبية</w:t>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Ansari, S., &amp; Gupta, S. (2019).</w:t>
      </w:r>
      <w:r>
        <w:rPr>
          <w:rStyle w:val="None"/>
          <w:rFonts w:ascii="Simplified Arabic" w:cs="Simplified Arabic" w:hAnsi="Simplified Arabic" w:eastAsia="Simplified Arabic"/>
          <w:sz w:val="28"/>
          <w:szCs w:val="28"/>
          <w:rtl w:val="0"/>
          <w:lang w:val="en-US"/>
        </w:rPr>
        <w:t xml:space="preserve"> Fake reviews and manipulation: Do customer reviews matter? In </w:t>
      </w:r>
      <w:r>
        <w:rPr>
          <w:rStyle w:val="None"/>
          <w:rFonts w:ascii="Simplified Arabic" w:cs="Simplified Arabic" w:hAnsi="Simplified Arabic" w:eastAsia="Simplified Arabic"/>
          <w:i w:val="1"/>
          <w:iCs w:val="1"/>
          <w:sz w:val="28"/>
          <w:szCs w:val="28"/>
          <w:rtl w:val="0"/>
          <w:lang w:val="en-US"/>
        </w:rPr>
        <w:t>Proceedings of the 27th European Conference on Information Systems (ECIS 2019)</w:t>
      </w:r>
      <w:r>
        <w:rPr>
          <w:rStyle w:val="None"/>
          <w:rFonts w:ascii="Simplified Arabic" w:cs="Simplified Arabic" w:hAnsi="Simplified Arabic" w:eastAsia="Simplified Arabic"/>
          <w:sz w:val="28"/>
          <w:szCs w:val="28"/>
          <w:rtl w:val="0"/>
          <w:lang w:val="en-US"/>
        </w:rPr>
        <w:t>, Research Paper No. 143, pp. 1</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17. StockholmUppsala, Sweden.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"https://aisel.aisnet.org/ecis2019_rp/143/"</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https://aisel.aisnet.org/ecis2019_rp/143/</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Handoyo, S. (2024).</w:t>
      </w:r>
      <w:r>
        <w:rPr>
          <w:rStyle w:val="None"/>
          <w:rFonts w:ascii="Simplified Arabic" w:cs="Simplified Arabic" w:hAnsi="Simplified Arabic" w:eastAsia="Simplified Arabic"/>
          <w:sz w:val="28"/>
          <w:szCs w:val="28"/>
          <w:rtl w:val="0"/>
          <w:lang w:val="en-US"/>
        </w:rPr>
        <w:t xml:space="preserve"> Purchasing in the digital age: A metaanalytical perspective on trust, risk, security, and eWOM in ecommerce. </w:t>
      </w:r>
      <w:r>
        <w:rPr>
          <w:rStyle w:val="None"/>
          <w:rFonts w:ascii="Simplified Arabic" w:cs="Simplified Arabic" w:hAnsi="Simplified Arabic" w:eastAsia="Simplified Arabic"/>
          <w:i w:val="1"/>
          <w:iCs w:val="1"/>
          <w:sz w:val="28"/>
          <w:szCs w:val="28"/>
          <w:rtl w:val="0"/>
          <w:lang w:val="en-US"/>
        </w:rPr>
        <w:t>Heliyon</w:t>
      </w:r>
      <w:r>
        <w:rPr>
          <w:rStyle w:val="None"/>
          <w:rFonts w:ascii="Simplified Arabic" w:cs="Simplified Arabic" w:hAnsi="Simplified Arabic" w:eastAsia="Simplified Arabic"/>
          <w:sz w:val="28"/>
          <w:szCs w:val="28"/>
          <w:rtl w:val="0"/>
          <w:lang w:val="en-US"/>
        </w:rPr>
        <w:t xml:space="preserve">, Vol. 10, No. 8, Article e29714.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"https://doi.org/10.1016/j.heliyon.2024.e29714"</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https://doi.org/10.1016/j.heliyon.2024.e29714</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He, S., Hollenbeck, B., &amp; Proserpio, D. (2022).</w:t>
      </w:r>
      <w:r>
        <w:rPr>
          <w:rStyle w:val="None"/>
          <w:rFonts w:ascii="Simplified Arabic" w:cs="Simplified Arabic" w:hAnsi="Simplified Arabic" w:eastAsia="Simplified Arabic"/>
          <w:sz w:val="28"/>
          <w:szCs w:val="28"/>
          <w:rtl w:val="0"/>
          <w:lang w:val="en-US"/>
        </w:rPr>
        <w:t xml:space="preserve"> The market for fake reviews. </w:t>
      </w:r>
      <w:r>
        <w:rPr>
          <w:rStyle w:val="None"/>
          <w:rFonts w:ascii="Simplified Arabic" w:cs="Simplified Arabic" w:hAnsi="Simplified Arabic" w:eastAsia="Simplified Arabic"/>
          <w:i w:val="1"/>
          <w:iCs w:val="1"/>
          <w:sz w:val="28"/>
          <w:szCs w:val="28"/>
          <w:rtl w:val="0"/>
          <w:lang w:val="en-US"/>
        </w:rPr>
        <w:t>Marketing Science</w:t>
      </w:r>
      <w:r>
        <w:rPr>
          <w:rStyle w:val="None"/>
          <w:rFonts w:ascii="Simplified Arabic" w:cs="Simplified Arabic" w:hAnsi="Simplified Arabic" w:eastAsia="Simplified Arabic"/>
          <w:sz w:val="28"/>
          <w:szCs w:val="28"/>
          <w:rtl w:val="0"/>
          <w:lang w:val="en-US"/>
        </w:rPr>
        <w:t>, Vol. 41, No. 5, pp. 896</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921.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"https://doi.org/10.1287/mksc.2022.1353"</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https://doi.org/10.1287/mksc.2022.1353</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Lim, W. M., Agarwal, M., &amp; Filieri, R. (2024).</w:t>
      </w:r>
      <w:r>
        <w:rPr>
          <w:rStyle w:val="None"/>
          <w:rFonts w:ascii="Simplified Arabic" w:cs="Simplified Arabic" w:hAnsi="Simplified Arabic" w:eastAsia="Simplified Arabic"/>
          <w:sz w:val="28"/>
          <w:szCs w:val="28"/>
          <w:rtl w:val="0"/>
          <w:lang w:val="en-US"/>
        </w:rPr>
        <w:t xml:space="preserve"> The rise of fake reviews: Toward a marketingoriented framework for detection, prevention, and response. </w:t>
      </w:r>
      <w:r>
        <w:rPr>
          <w:rStyle w:val="None"/>
          <w:rFonts w:ascii="Simplified Arabic" w:cs="Simplified Arabic" w:hAnsi="Simplified Arabic" w:eastAsia="Simplified Arabic"/>
          <w:i w:val="1"/>
          <w:iCs w:val="1"/>
          <w:sz w:val="28"/>
          <w:szCs w:val="28"/>
          <w:rtl w:val="0"/>
          <w:lang w:val="en-US"/>
        </w:rPr>
        <w:t>Australasian Marketing Journal</w:t>
      </w:r>
      <w:r>
        <w:rPr>
          <w:rStyle w:val="None"/>
          <w:rFonts w:ascii="Simplified Arabic" w:cs="Simplified Arabic" w:hAnsi="Simplified Arabic" w:eastAsia="Simplified Arabic"/>
          <w:sz w:val="28"/>
          <w:szCs w:val="28"/>
          <w:rtl w:val="0"/>
          <w:lang w:val="en-US"/>
        </w:rPr>
        <w:t>, Vol. 33, No. 2, pp. 178</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198.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"https://doi.org/10.1177/14413582241283505"</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https://doi.org/10.1177/14413582241283505</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Mofokeng, T. E. (2023).</w:t>
      </w:r>
      <w:r>
        <w:rPr>
          <w:rStyle w:val="None"/>
          <w:rFonts w:ascii="Simplified Arabic" w:cs="Simplified Arabic" w:hAnsi="Simplified Arabic" w:eastAsia="Simplified Arabic"/>
          <w:sz w:val="28"/>
          <w:szCs w:val="28"/>
          <w:rtl w:val="0"/>
          <w:lang w:val="en-US"/>
        </w:rPr>
        <w:t xml:space="preserve"> Antecedents of trust and customer loyalty in online shopping: The moderating effects of online shopping experience and eshopping spending. </w:t>
      </w:r>
      <w:r>
        <w:rPr>
          <w:rStyle w:val="None"/>
          <w:rFonts w:ascii="Simplified Arabic" w:cs="Simplified Arabic" w:hAnsi="Simplified Arabic" w:eastAsia="Simplified Arabic"/>
          <w:i w:val="1"/>
          <w:iCs w:val="1"/>
          <w:sz w:val="28"/>
          <w:szCs w:val="28"/>
          <w:rtl w:val="0"/>
          <w:lang w:val="en-US"/>
        </w:rPr>
        <w:t>Heliyon</w:t>
      </w:r>
      <w:r>
        <w:rPr>
          <w:rStyle w:val="None"/>
          <w:rFonts w:ascii="Simplified Arabic" w:cs="Simplified Arabic" w:hAnsi="Simplified Arabic" w:eastAsia="Simplified Arabic"/>
          <w:sz w:val="28"/>
          <w:szCs w:val="28"/>
          <w:rtl w:val="0"/>
          <w:lang w:val="en-US"/>
        </w:rPr>
        <w:t>, Vol. 9, No. 5, Article e16182, pp. 1</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19.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"https://doi.org/10.1016/j.heliyon.2023.e16182"</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https://doi.org/10.1016/j.heliyon.2023.e16182</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Purnawati, E. (2024).</w:t>
      </w:r>
      <w:r>
        <w:rPr>
          <w:rStyle w:val="None"/>
          <w:rFonts w:ascii="Simplified Arabic" w:cs="Simplified Arabic" w:hAnsi="Simplified Arabic" w:eastAsia="Simplified Arabic"/>
          <w:sz w:val="28"/>
          <w:szCs w:val="28"/>
          <w:rtl w:val="0"/>
          <w:lang w:val="en-US"/>
        </w:rPr>
        <w:t xml:space="preserve"> Trust in ecommerce: How reviews and ratings shape consumer confidence. </w:t>
      </w:r>
      <w:r>
        <w:rPr>
          <w:rStyle w:val="None"/>
          <w:rFonts w:ascii="Simplified Arabic" w:cs="Simplified Arabic" w:hAnsi="Simplified Arabic" w:eastAsia="Simplified Arabic"/>
          <w:i w:val="1"/>
          <w:iCs w:val="1"/>
          <w:sz w:val="28"/>
          <w:szCs w:val="28"/>
          <w:rtl w:val="0"/>
          <w:lang w:val="en-US"/>
        </w:rPr>
        <w:t>Management Studies and Business Journal (PRODUCTIVITY)</w:t>
      </w:r>
      <w:r>
        <w:rPr>
          <w:rStyle w:val="None"/>
          <w:rFonts w:ascii="Simplified Arabic" w:cs="Simplified Arabic" w:hAnsi="Simplified Arabic" w:eastAsia="Simplified Arabic"/>
          <w:sz w:val="28"/>
          <w:szCs w:val="28"/>
          <w:rtl w:val="0"/>
          <w:lang w:val="en-US"/>
        </w:rPr>
        <w:t>, Vol. 1, No. 12, pp. 2057</w:t>
      </w:r>
      <w:r>
        <w:rPr>
          <w:rStyle w:val="None"/>
          <w:rFonts w:ascii="Simplified Arabic" w:cs="Simplified Arabic" w:hAnsi="Simplified Arabic" w:eastAsia="Simplified Arabic"/>
          <w:sz w:val="28"/>
          <w:szCs w:val="28"/>
          <w:rtl w:val="0"/>
          <w:lang w:val="en-US"/>
        </w:rPr>
        <w:t>–</w:t>
      </w:r>
      <w:r>
        <w:rPr>
          <w:rStyle w:val="None"/>
          <w:rFonts w:ascii="Simplified Arabic" w:cs="Simplified Arabic" w:hAnsi="Simplified Arabic" w:eastAsia="Simplified Arabic"/>
          <w:sz w:val="28"/>
          <w:szCs w:val="28"/>
          <w:rtl w:val="0"/>
          <w:lang w:val="en-US"/>
        </w:rPr>
        <w:t xml:space="preserve">2075.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"https://journal.ppipbr.com/index.php/productivity/article/view/558"</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https://journal.ppipbr.com/index.php/productivity/article/view/558</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Song, Y., Wang, L., Zhang, Z., &amp; Hikkerova, L. (2023).</w:t>
      </w:r>
      <w:r>
        <w:rPr>
          <w:rStyle w:val="None"/>
          <w:rFonts w:ascii="Simplified Arabic" w:cs="Simplified Arabic" w:hAnsi="Simplified Arabic" w:eastAsia="Simplified Arabic"/>
          <w:sz w:val="28"/>
          <w:szCs w:val="28"/>
          <w:rtl w:val="0"/>
          <w:lang w:val="en-US"/>
        </w:rPr>
        <w:t xml:space="preserve"> Do fake reviews promote consumers' purchase intention? </w:t>
      </w:r>
      <w:r>
        <w:rPr>
          <w:rStyle w:val="None"/>
          <w:rFonts w:ascii="Simplified Arabic" w:cs="Simplified Arabic" w:hAnsi="Simplified Arabic" w:eastAsia="Simplified Arabic"/>
          <w:i w:val="1"/>
          <w:iCs w:val="1"/>
          <w:sz w:val="28"/>
          <w:szCs w:val="28"/>
          <w:rtl w:val="0"/>
          <w:lang w:val="en-US"/>
        </w:rPr>
        <w:t>Journal of Business Research</w:t>
      </w:r>
      <w:r>
        <w:rPr>
          <w:rStyle w:val="None"/>
          <w:rFonts w:ascii="Simplified Arabic" w:cs="Simplified Arabic" w:hAnsi="Simplified Arabic" w:eastAsia="Simplified Arabic"/>
          <w:sz w:val="28"/>
          <w:szCs w:val="28"/>
          <w:rtl w:val="0"/>
          <w:lang w:val="en-US"/>
        </w:rPr>
        <w:t xml:space="preserve">, Vol. 164, Article 113971.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"https://doi.org/10.1016/j.jbusres.2023.113971"</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https://doi.org/10.1016/j.jbusres.2023.113971</w:t>
      </w:r>
      <w:r>
        <w:rPr>
          <w:rFonts w:ascii="Simplified Arabic" w:cs="Simplified Arabic" w:hAnsi="Simplified Arabic" w:eastAsia="Simplified Arabic"/>
          <w:sz w:val="28"/>
          <w:szCs w:val="28"/>
        </w:rPr>
        <w:fldChar w:fldCharType="end" w:fldLock="0"/>
      </w:r>
    </w:p>
    <w:p>
      <w:pPr>
        <w:pStyle w:val="Normal.0"/>
        <w:numPr>
          <w:ilvl w:val="0"/>
          <w:numId w:val="6"/>
        </w:numPr>
        <w:bidi w:val="0"/>
        <w:spacing w:before="100" w:after="100"/>
        <w:ind w:right="0"/>
        <w:jc w:val="both"/>
        <w:rPr>
          <w:rFonts w:ascii="Simplified Arabic" w:cs="Simplified Arabic" w:hAnsi="Simplified Arabic" w:eastAsia="Simplified Arabic"/>
          <w:sz w:val="28"/>
          <w:szCs w:val="28"/>
          <w:rtl w:val="0"/>
          <w:lang w:val="en-US"/>
        </w:rPr>
      </w:pPr>
      <w:r>
        <w:rPr>
          <w:rStyle w:val="None"/>
          <w:rFonts w:ascii="Simplified Arabic" w:cs="Simplified Arabic" w:hAnsi="Simplified Arabic" w:eastAsia="Simplified Arabic"/>
          <w:b w:val="1"/>
          <w:bCs w:val="1"/>
          <w:sz w:val="28"/>
          <w:szCs w:val="28"/>
          <w:rtl w:val="0"/>
          <w:lang w:val="en-US"/>
        </w:rPr>
        <w:t>Tailor, A. (2024).</w:t>
      </w:r>
      <w:r>
        <w:rPr>
          <w:rStyle w:val="None"/>
          <w:rFonts w:ascii="Simplified Arabic" w:cs="Simplified Arabic" w:hAnsi="Simplified Arabic" w:eastAsia="Simplified Arabic"/>
          <w:sz w:val="28"/>
          <w:szCs w:val="28"/>
          <w:rtl w:val="0"/>
          <w:lang w:val="en-US"/>
        </w:rPr>
        <w:t xml:space="preserve"> Trust in ecommerce and its impact on digital marketing strategies. </w:t>
      </w:r>
      <w:r>
        <w:rPr>
          <w:rStyle w:val="None"/>
          <w:rFonts w:ascii="Simplified Arabic" w:cs="Simplified Arabic" w:hAnsi="Simplified Arabic" w:eastAsia="Simplified Arabic"/>
          <w:i w:val="1"/>
          <w:iCs w:val="1"/>
          <w:sz w:val="28"/>
          <w:szCs w:val="28"/>
          <w:rtl w:val="0"/>
          <w:lang w:val="en-US"/>
        </w:rPr>
        <w:t>Master's Thesis</w:t>
      </w:r>
      <w:r>
        <w:rPr>
          <w:rStyle w:val="None"/>
          <w:rFonts w:ascii="Simplified Arabic" w:cs="Simplified Arabic" w:hAnsi="Simplified Arabic" w:eastAsia="Simplified Arabic"/>
          <w:sz w:val="28"/>
          <w:szCs w:val="28"/>
          <w:rtl w:val="0"/>
          <w:lang w:val="en-US"/>
        </w:rPr>
        <w:t xml:space="preserve">, Illinois State University, No. 2004. </w:t>
      </w:r>
      <w:r>
        <w:rPr>
          <w:rStyle w:val="Hyperlink.1"/>
          <w:rFonts w:ascii="Simplified Arabic" w:cs="Simplified Arabic" w:hAnsi="Simplified Arabic" w:eastAsia="Simplified Arabic"/>
          <w:sz w:val="28"/>
          <w:szCs w:val="28"/>
        </w:rPr>
        <w:fldChar w:fldCharType="begin" w:fldLock="0"/>
      </w:r>
      <w:r>
        <w:rPr>
          <w:rStyle w:val="Hyperlink.1"/>
          <w:rFonts w:ascii="Simplified Arabic" w:cs="Simplified Arabic" w:hAnsi="Simplified Arabic" w:eastAsia="Simplified Arabic"/>
          <w:sz w:val="28"/>
          <w:szCs w:val="28"/>
        </w:rPr>
        <w:instrText xml:space="preserve"> HYPERLINK "https://ir.library.illinoisstate.edu/etd/2004/"</w:instrText>
      </w:r>
      <w:r>
        <w:rPr>
          <w:rStyle w:val="Hyperlink.1"/>
          <w:rFonts w:ascii="Simplified Arabic" w:cs="Simplified Arabic" w:hAnsi="Simplified Arabic" w:eastAsia="Simplified Arabic"/>
          <w:sz w:val="28"/>
          <w:szCs w:val="28"/>
        </w:rPr>
        <w:fldChar w:fldCharType="separate" w:fldLock="0"/>
      </w:r>
      <w:r>
        <w:rPr>
          <w:rStyle w:val="Hyperlink.1"/>
          <w:rFonts w:ascii="Simplified Arabic" w:cs="Simplified Arabic" w:hAnsi="Simplified Arabic" w:eastAsia="Simplified Arabic"/>
          <w:sz w:val="28"/>
          <w:szCs w:val="28"/>
          <w:rtl w:val="0"/>
          <w:lang w:val="en-US"/>
        </w:rPr>
        <w:t>https://ir.library.illinoisstate.edu/etd/2004/</w:t>
      </w:r>
      <w:r>
        <w:rPr>
          <w:rFonts w:ascii="Simplified Arabic" w:cs="Simplified Arabic" w:hAnsi="Simplified Arabic" w:eastAsia="Simplified Arabic"/>
          <w:sz w:val="28"/>
          <w:szCs w:val="28"/>
        </w:rPr>
        <w:fldChar w:fldCharType="end" w:fldLock="0"/>
      </w:r>
    </w:p>
    <w:p>
      <w:pPr>
        <w:pStyle w:val="List Paragraph"/>
        <w:ind w:hanging="720"/>
        <w:jc w:val="both"/>
      </w:pPr>
      <w:r>
        <w:rPr>
          <w:rStyle w:val="None"/>
          <w:rFonts w:ascii="Simplified Arabic" w:cs="Simplified Arabic" w:hAnsi="Simplified Arabic" w:eastAsia="Simplified Arabic"/>
          <w:sz w:val="28"/>
          <w:szCs w:val="28"/>
          <w:lang w:val="ar-SA" w:bidi="ar-SA"/>
        </w:rPr>
        <w:br w:type="page"/>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cs="Calibri Light" w:hAnsi="Calibri Light" w:eastAsia="Calibri Light"/>
          <w:sz w:val="26"/>
          <w:szCs w:val="26"/>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Style w:val="None"/>
          <w:rFonts w:ascii="Calibri Light" w:hAnsi="Calibri Light"/>
          <w:sz w:val="26"/>
          <w:szCs w:val="26"/>
          <w:rtl w:val="0"/>
          <w:lang w:val="en-US"/>
        </w:rPr>
        <w:t>Midocean University</w:t>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hAnsi="Calibri Light"/>
          <w:sz w:val="26"/>
          <w:szCs w:val="26"/>
          <w:rtl w:val="0"/>
          <w:lang w:val="en-US"/>
        </w:rPr>
        <w:t>College of Media and Marketing</w:t>
      </w:r>
    </w:p>
    <w:p>
      <w:pPr>
        <w:pStyle w:val="Normal.0"/>
        <w:bidi w:val="0"/>
        <w:ind w:left="0" w:right="0" w:firstLine="0"/>
        <w:jc w:val="left"/>
        <w:rPr>
          <w:rStyle w:val="None"/>
          <w:rFonts w:ascii="Calibri Light" w:cs="Calibri Light" w:hAnsi="Calibri Light" w:eastAsia="Calibri Light"/>
          <w:sz w:val="26"/>
          <w:szCs w:val="26"/>
          <w:rtl w:val="0"/>
        </w:rPr>
      </w:pPr>
      <w:r>
        <w:rPr>
          <w:rStyle w:val="None"/>
          <w:rFonts w:ascii="Calibri Light" w:hAnsi="Calibri Light"/>
          <w:sz w:val="26"/>
          <w:szCs w:val="26"/>
          <w:rtl w:val="0"/>
          <w:lang w:val="en-US"/>
        </w:rPr>
        <w:t xml:space="preserve">Bachelor of Digital Media </w:t>
      </w:r>
    </w:p>
    <w:p>
      <w:pPr>
        <w:pStyle w:val="Normal.0"/>
        <w:bidi w:val="0"/>
        <w:ind w:left="0" w:right="0" w:firstLine="0"/>
        <w:jc w:val="left"/>
        <w:rPr>
          <w:rStyle w:val="None"/>
          <w:rFonts w:ascii="Carlito" w:cs="Carlito" w:hAnsi="Carlito" w:eastAsia="Carlito"/>
          <w:b w:val="1"/>
          <w:bCs w:val="1"/>
          <w:sz w:val="28"/>
          <w:szCs w:val="28"/>
          <w:rtl w:val="0"/>
        </w:rPr>
      </w:pPr>
    </w:p>
    <w:p>
      <w:pPr>
        <w:pStyle w:val="Normal.0"/>
        <w:bidi w:val="0"/>
        <w:ind w:left="0" w:right="0" w:firstLine="0"/>
        <w:jc w:val="left"/>
        <w:rPr>
          <w:rStyle w:val="None"/>
          <w:rFonts w:ascii="Carlito" w:cs="Carlito" w:hAnsi="Carlito" w:eastAsia="Carlito"/>
          <w:b w:val="1"/>
          <w:bCs w:val="1"/>
          <w:sz w:val="28"/>
          <w:szCs w:val="28"/>
          <w:rtl w:val="0"/>
        </w:rPr>
      </w:pPr>
    </w:p>
    <w:p>
      <w:pPr>
        <w:pStyle w:val="Normal.0"/>
        <w:jc w:val="center"/>
        <w:rPr>
          <w:rStyle w:val="None"/>
          <w:rFonts w:ascii="Carlito" w:cs="Carlito" w:hAnsi="Carlito" w:eastAsia="Carlito"/>
          <w:b w:val="1"/>
          <w:bCs w:val="1"/>
          <w:sz w:val="32"/>
          <w:szCs w:val="32"/>
        </w:rPr>
      </w:pPr>
    </w:p>
    <w:p>
      <w:pPr>
        <w:pStyle w:val="Normal.0"/>
        <w:jc w:val="center"/>
        <w:rPr>
          <w:rStyle w:val="None"/>
          <w:rFonts w:ascii="Carlito" w:cs="Carlito" w:hAnsi="Carlito" w:eastAsia="Carlito"/>
          <w:b w:val="1"/>
          <w:bCs w:val="1"/>
          <w:sz w:val="32"/>
          <w:szCs w:val="32"/>
        </w:rPr>
      </w:pPr>
    </w:p>
    <w:p>
      <w:pPr>
        <w:pStyle w:val="Normal.0"/>
        <w:bidi w:val="0"/>
        <w:ind w:left="0" w:right="0" w:firstLine="0"/>
        <w:jc w:val="center"/>
        <w:rPr>
          <w:rStyle w:val="None"/>
          <w:rFonts w:ascii="Calibri Light" w:cs="Calibri Light" w:hAnsi="Calibri Light" w:eastAsia="Calibri Light"/>
          <w:sz w:val="32"/>
          <w:szCs w:val="32"/>
          <w:rtl w:val="0"/>
        </w:rPr>
      </w:pPr>
      <w:r>
        <w:rPr>
          <w:rStyle w:val="None"/>
          <w:rFonts w:ascii="Calibri Light" w:hAnsi="Calibri Light"/>
          <w:sz w:val="32"/>
          <w:szCs w:val="32"/>
          <w:rtl w:val="0"/>
          <w:lang w:val="en-US"/>
        </w:rPr>
        <w:t>A Research Proposal Submitted in Partial Fulfillment of the Requirements for the Bachelor of Digital Media</w:t>
      </w:r>
    </w:p>
    <w:p>
      <w:pPr>
        <w:pStyle w:val="Normal.0"/>
        <w:bidi w:val="0"/>
        <w:ind w:left="0" w:right="0" w:firstLine="0"/>
        <w:jc w:val="center"/>
        <w:rPr>
          <w:rStyle w:val="None"/>
          <w:rFonts w:ascii="Carlito" w:cs="Carlito" w:hAnsi="Carlito" w:eastAsia="Carlito"/>
          <w:b w:val="1"/>
          <w:bCs w:val="1"/>
          <w:sz w:val="32"/>
          <w:szCs w:val="32"/>
          <w:rtl w:val="0"/>
        </w:rPr>
      </w:pPr>
      <w:r>
        <w:rPr>
          <w:rStyle w:val="None"/>
          <w:rFonts w:ascii="Carlito" w:hAnsi="Carlito"/>
          <w:b w:val="1"/>
          <w:bCs w:val="1"/>
          <w:sz w:val="32"/>
          <w:szCs w:val="32"/>
          <w:rtl w:val="0"/>
          <w:lang w:val="en-US"/>
        </w:rPr>
        <w:t>The Impact of Manipulation of Reviews and Ratings on Trust in E-Commerce Stores: An Applied Study on Shopping Application Users in Riyadh</w:t>
      </w:r>
    </w:p>
    <w:p>
      <w:pPr>
        <w:pStyle w:val="Normal.0"/>
        <w:rPr>
          <w:rStyle w:val="None"/>
          <w:rFonts w:ascii="Times New Roman" w:cs="Times New Roman" w:hAnsi="Times New Roman" w:eastAsia="Times New Roman"/>
          <w:b w:val="1"/>
          <w:bCs w:val="1"/>
          <w:sz w:val="32"/>
          <w:szCs w:val="32"/>
          <w:lang w:val="ar-SA" w:bidi="ar-SA"/>
        </w:rPr>
      </w:pPr>
    </w:p>
    <w:p>
      <w:pPr>
        <w:pStyle w:val="Normal.0"/>
        <w:jc w:val="center"/>
        <w:rPr>
          <w:rStyle w:val="None"/>
          <w:rFonts w:ascii="Carlito" w:cs="Carlito" w:hAnsi="Carlito" w:eastAsia="Carlito"/>
          <w:b w:val="1"/>
          <w:bCs w:val="1"/>
          <w:sz w:val="32"/>
          <w:szCs w:val="32"/>
        </w:rPr>
      </w:pPr>
    </w:p>
    <w:p>
      <w:pPr>
        <w:pStyle w:val="Normal.0"/>
        <w:bidi w:val="0"/>
        <w:ind w:left="0" w:right="0" w:firstLine="0"/>
        <w:jc w:val="left"/>
        <w:rPr>
          <w:rStyle w:val="None"/>
          <w:rFonts w:ascii="Calibri Light" w:cs="Calibri Light" w:hAnsi="Calibri Light" w:eastAsia="Calibri Light"/>
          <w:sz w:val="32"/>
          <w:szCs w:val="32"/>
          <w:rtl w:val="0"/>
        </w:rPr>
      </w:pPr>
      <w:r>
        <w:rPr>
          <w:rStyle w:val="None"/>
          <w:rFonts w:ascii="Carlito" w:hAnsi="Carlito"/>
          <w:b w:val="1"/>
          <w:bCs w:val="1"/>
          <w:sz w:val="32"/>
          <w:szCs w:val="32"/>
          <w:rtl w:val="0"/>
          <w:lang w:val="en-US"/>
        </w:rPr>
        <w:t>Prepared by:</w:t>
      </w:r>
      <w:r>
        <w:rPr>
          <w:rStyle w:val="None"/>
          <w:rFonts w:ascii="Calibri Light" w:hAnsi="Calibri Light"/>
          <w:sz w:val="32"/>
          <w:szCs w:val="32"/>
          <w:rtl w:val="0"/>
          <w:lang w:val="en-US"/>
        </w:rPr>
        <w:t xml:space="preserve"> </w:t>
      </w:r>
    </w:p>
    <w:p>
      <w:pPr>
        <w:pStyle w:val="Normal.0"/>
        <w:bidi w:val="0"/>
        <w:ind w:left="0" w:right="0" w:firstLine="0"/>
        <w:jc w:val="left"/>
        <w:rPr>
          <w:rStyle w:val="None"/>
          <w:rFonts w:ascii="Calibri Light" w:cs="Calibri Light" w:hAnsi="Calibri Light" w:eastAsia="Calibri Light"/>
          <w:sz w:val="32"/>
          <w:szCs w:val="32"/>
          <w:rtl w:val="0"/>
        </w:rPr>
      </w:pPr>
      <w:r>
        <w:rPr>
          <w:rStyle w:val="None"/>
          <w:rFonts w:ascii="Calibri Light" w:hAnsi="Calibri Light"/>
          <w:sz w:val="32"/>
          <w:szCs w:val="32"/>
          <w:rtl w:val="0"/>
          <w:lang w:val="en-US"/>
        </w:rPr>
        <w:t xml:space="preserve">Raghad Alamro </w:t>
      </w:r>
    </w:p>
    <w:p>
      <w:pPr>
        <w:pStyle w:val="Normal.0"/>
        <w:bidi w:val="0"/>
        <w:ind w:left="0" w:right="0" w:firstLine="0"/>
        <w:jc w:val="left"/>
        <w:rPr>
          <w:rStyle w:val="None"/>
          <w:rFonts w:ascii="Times New Roman" w:cs="Times New Roman" w:hAnsi="Times New Roman" w:eastAsia="Times New Roman"/>
          <w:sz w:val="32"/>
          <w:szCs w:val="32"/>
          <w:rtl w:val="0"/>
          <w:lang w:val="ar-SA" w:bidi="ar-SA"/>
        </w:rPr>
      </w:pPr>
      <w:r>
        <w:rPr>
          <w:rStyle w:val="None"/>
          <w:rFonts w:ascii="Calibri Light" w:hAnsi="Calibri Light"/>
          <w:sz w:val="32"/>
          <w:szCs w:val="32"/>
          <w:rtl w:val="0"/>
          <w:lang w:val="en-US"/>
        </w:rPr>
        <w:t>222000437</w:t>
      </w:r>
      <w:r>
        <w:rPr>
          <w:rStyle w:val="None"/>
          <w:rFonts w:ascii="Times New Roman" w:hAnsi="Times New Roman"/>
          <w:sz w:val="32"/>
          <w:szCs w:val="32"/>
          <w:rtl w:val="1"/>
          <w:lang w:val="ar-SA" w:bidi="ar-SA"/>
        </w:rPr>
        <w:t xml:space="preserve"> </w:t>
      </w:r>
    </w:p>
    <w:p>
      <w:pPr>
        <w:pStyle w:val="Normal.0"/>
        <w:bidi w:val="0"/>
        <w:ind w:left="0" w:right="0" w:firstLine="0"/>
        <w:jc w:val="left"/>
        <w:rPr>
          <w:rStyle w:val="None"/>
          <w:rFonts w:ascii="Carlito" w:cs="Carlito" w:hAnsi="Carlito" w:eastAsia="Carlito"/>
          <w:b w:val="1"/>
          <w:bCs w:val="1"/>
          <w:sz w:val="32"/>
          <w:szCs w:val="32"/>
          <w:rtl w:val="0"/>
        </w:rPr>
      </w:pPr>
      <w:r>
        <w:rPr>
          <w:rStyle w:val="None"/>
          <w:rFonts w:ascii="Carlito" w:hAnsi="Carlito"/>
          <w:b w:val="1"/>
          <w:bCs w:val="1"/>
          <w:sz w:val="32"/>
          <w:szCs w:val="32"/>
          <w:rtl w:val="0"/>
          <w:lang w:val="en-US"/>
        </w:rPr>
        <w:t>Supervised by:</w:t>
      </w:r>
    </w:p>
    <w:p>
      <w:pPr>
        <w:pStyle w:val="Normal.0"/>
        <w:jc w:val="right"/>
        <w:rPr>
          <w:rStyle w:val="None"/>
          <w:rFonts w:ascii="Calibri Light" w:cs="Calibri Light" w:hAnsi="Calibri Light" w:eastAsia="Calibri Light"/>
          <w:sz w:val="32"/>
          <w:szCs w:val="32"/>
        </w:rPr>
      </w:pPr>
      <w:r>
        <w:rPr>
          <w:rStyle w:val="None"/>
          <w:rFonts w:ascii="Calibri Light" w:hAnsi="Calibri Light"/>
          <w:sz w:val="32"/>
          <w:szCs w:val="32"/>
          <w:rtl w:val="0"/>
          <w:lang w:val="en-US"/>
        </w:rPr>
        <w:t>Dr. Tewfik amri</w:t>
      </w:r>
    </w:p>
    <w:p>
      <w:pPr>
        <w:pStyle w:val="Normal.0"/>
        <w:jc w:val="center"/>
        <w:rPr>
          <w:rStyle w:val="None"/>
          <w:rFonts w:ascii="Calibri Light" w:cs="Calibri Light" w:hAnsi="Calibri Light" w:eastAsia="Calibri Light"/>
          <w:sz w:val="32"/>
          <w:szCs w:val="32"/>
        </w:rPr>
      </w:pPr>
    </w:p>
    <w:p>
      <w:pPr>
        <w:pStyle w:val="Normal.0"/>
        <w:jc w:val="center"/>
        <w:rPr>
          <w:rStyle w:val="None"/>
          <w:rFonts w:ascii="Calibri Light" w:cs="Calibri Light" w:hAnsi="Calibri Light" w:eastAsia="Calibri Light"/>
          <w:sz w:val="32"/>
          <w:szCs w:val="32"/>
        </w:rPr>
      </w:pPr>
    </w:p>
    <w:p>
      <w:pPr>
        <w:pStyle w:val="Normal.0"/>
        <w:jc w:val="center"/>
        <w:rPr>
          <w:rStyle w:val="None"/>
          <w:rFonts w:ascii="Calibri Light" w:cs="Calibri Light" w:hAnsi="Calibri Light" w:eastAsia="Calibri Light"/>
          <w:sz w:val="32"/>
          <w:szCs w:val="32"/>
        </w:rPr>
      </w:pPr>
    </w:p>
    <w:p>
      <w:pPr>
        <w:pStyle w:val="Normal.0"/>
        <w:jc w:val="center"/>
      </w:pPr>
      <w:r>
        <w:rPr>
          <w:rStyle w:val="None"/>
          <w:rFonts w:ascii="Times New Roman" w:hAnsi="Times New Roman"/>
          <w:sz w:val="26"/>
          <w:szCs w:val="26"/>
          <w:rtl w:val="1"/>
          <w:lang w:val="ar-SA" w:bidi="ar-SA"/>
        </w:rPr>
        <w:t>2026</w:t>
      </w:r>
    </w:p>
    <w:sectPr>
      <w:headerReference w:type="default" r:id="rId5"/>
      <w:footerReference w:type="default" r:id="rId6"/>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libri Light">
    <w:charset w:val="00"/>
    <w:family w:val="roman"/>
    <w:pitch w:val="default"/>
  </w:font>
  <w:font w:name="Cambria">
    <w:charset w:val="00"/>
    <w:family w:val="roman"/>
    <w:pitch w:val="default"/>
  </w:font>
  <w:font w:name="Cambria Math">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heading 2">
    <w:name w:val="heading 2"/>
    <w:next w:val="Normal.0"/>
    <w:pPr>
      <w:keepNext w:val="1"/>
      <w:keepLines w:val="1"/>
      <w:pageBreakBefore w:val="0"/>
      <w:widowControl w:val="1"/>
      <w:shd w:val="clear" w:color="auto" w:fill="auto"/>
      <w:suppressAutoHyphens w:val="0"/>
      <w:bidi w:val="1"/>
      <w:spacing w:before="160" w:after="80" w:line="278" w:lineRule="auto"/>
      <w:ind w:left="0" w:right="0" w:firstLine="0"/>
      <w:jc w:val="left"/>
      <w:outlineLvl w:val="1"/>
    </w:pPr>
    <w:rPr>
      <w:rFonts w:ascii="Arial Unicode MS" w:cs="Calibri Light" w:hAnsi="Arial Unicode MS" w:eastAsia="Arial Unicode MS" w:hint="c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numbering" w:styleId="Imported Style 2">
    <w:name w:val="Imported Style 2"/>
    <w:pPr>
      <w:numPr>
        <w:numId w:val="3"/>
      </w:numPr>
    </w:pPr>
  </w:style>
  <w:style w:type="character" w:styleId="None">
    <w:name w:val="None"/>
  </w:style>
  <w:style w:type="character" w:styleId="Hyperlink.0">
    <w:name w:val="Hyperlink.0"/>
    <w:basedOn w:val="None"/>
    <w:next w:val="Hyperlink.0"/>
    <w:rPr>
      <w:outline w:val="0"/>
      <w:color w:val="0000ff"/>
      <w:u w:val="single" w:color="0000ff"/>
      <w:lang w:val="en-US"/>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1"/>
      <w:spacing w:before="0" w:after="160" w:line="278"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5"/>
      </w:numPr>
    </w:pPr>
  </w:style>
  <w:style w:type="character" w:styleId="Hyperlink.1">
    <w:name w:val="Hyperlink.1"/>
    <w:basedOn w:val="None"/>
    <w:next w:val="Hyperlink.1"/>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