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AADFDD8" w14:textId="23A79502" w:rsidR="009022D6" w:rsidRPr="006D2ACA" w:rsidRDefault="009022D6" w:rsidP="005F5C76">
      <w:pPr>
        <w:rPr>
          <w:rFonts w:asciiTheme="majorBidi" w:eastAsia="Times New Roman" w:hAnsiTheme="majorBidi" w:cstheme="majorBidi"/>
          <w:color w:val="1C1C1C"/>
          <w:sz w:val="24"/>
          <w:szCs w:val="24"/>
        </w:rPr>
      </w:pPr>
      <w:r w:rsidRPr="006D2ACA">
        <w:rPr>
          <w:rFonts w:asciiTheme="majorBidi" w:eastAsia="Times New Roman" w:hAnsiTheme="majorBidi" w:cstheme="majorBidi"/>
          <w:noProof/>
          <w:color w:val="1C1C1C"/>
          <w:sz w:val="24"/>
          <w:szCs w:val="24"/>
        </w:rPr>
        <w:drawing>
          <wp:anchor distT="0" distB="0" distL="114300" distR="114300" simplePos="0" relativeHeight="251643904" behindDoc="0" locked="0" layoutInCell="1" allowOverlap="1" wp14:anchorId="1CD81D95" wp14:editId="7C549742">
            <wp:simplePos x="0" y="0"/>
            <wp:positionH relativeFrom="column">
              <wp:posOffset>22049</wp:posOffset>
            </wp:positionH>
            <wp:positionV relativeFrom="paragraph">
              <wp:posOffset>155048</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FF02581" w14:textId="6F0C30B6" w:rsidR="009022D6" w:rsidRPr="006D2ACA" w:rsidRDefault="00A109ED" w:rsidP="005F5C76">
      <w:pPr>
        <w:spacing w:line="276" w:lineRule="auto"/>
        <w:rPr>
          <w:rFonts w:asciiTheme="majorBidi" w:eastAsia="Times New Roman" w:hAnsiTheme="majorBidi" w:cstheme="majorBidi"/>
          <w:color w:val="1C1C1C"/>
          <w:sz w:val="24"/>
          <w:szCs w:val="24"/>
          <w:rtl/>
        </w:rPr>
      </w:pPr>
      <w:r w:rsidRPr="006D2ACA">
        <w:rPr>
          <w:rFonts w:asciiTheme="majorBidi" w:eastAsia="Calibri" w:hAnsiTheme="majorBidi" w:cstheme="majorBidi"/>
          <w:b/>
          <w:bCs/>
          <w:noProof/>
          <w:color w:val="000000"/>
          <w:sz w:val="28"/>
          <w:szCs w:val="28"/>
          <w:rtl/>
        </w:rPr>
        <mc:AlternateContent>
          <mc:Choice Requires="wps">
            <w:drawing>
              <wp:anchor distT="0" distB="0" distL="114300" distR="114300" simplePos="0" relativeHeight="251644928" behindDoc="0" locked="0" layoutInCell="1" allowOverlap="1" wp14:anchorId="02DF3AE1" wp14:editId="543BC2A0">
                <wp:simplePos x="0" y="0"/>
                <wp:positionH relativeFrom="column">
                  <wp:posOffset>4464050</wp:posOffset>
                </wp:positionH>
                <wp:positionV relativeFrom="paragraph">
                  <wp:posOffset>94615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E991E3A" w14:textId="77777777" w:rsidR="009022D6" w:rsidRPr="006D2ACA" w:rsidRDefault="009022D6" w:rsidP="009022D6">
                            <w:pPr>
                              <w:jc w:val="center"/>
                              <w:rPr>
                                <w:rFonts w:asciiTheme="majorBidi" w:hAnsiTheme="majorBidi" w:cstheme="majorBidi"/>
                                <w:b/>
                                <w:bCs/>
                                <w:sz w:val="28"/>
                                <w:szCs w:val="28"/>
                                <w:rtl/>
                                <w:lang w:bidi="ar-EG"/>
                              </w:rPr>
                            </w:pPr>
                            <w:r w:rsidRPr="006D2ACA">
                              <w:rPr>
                                <w:rFonts w:asciiTheme="majorBidi" w:hAnsiTheme="majorBidi" w:cstheme="majorBidi"/>
                                <w:b/>
                                <w:bCs/>
                                <w:sz w:val="28"/>
                                <w:szCs w:val="28"/>
                                <w:rtl/>
                                <w:lang w:bidi="ar-EG"/>
                              </w:rPr>
                              <w:t xml:space="preserve">جامعة ميد اوشن </w:t>
                            </w:r>
                          </w:p>
                          <w:p w14:paraId="03298658" w14:textId="77777777" w:rsidR="009022D6" w:rsidRPr="005F5C76" w:rsidRDefault="009022D6" w:rsidP="009022D6">
                            <w:pPr>
                              <w:jc w:val="center"/>
                              <w:rPr>
                                <w:rFonts w:asciiTheme="majorBidi" w:hAnsiTheme="majorBidi" w:cstheme="majorBidi"/>
                                <w:sz w:val="24"/>
                                <w:szCs w:val="24"/>
                                <w:lang w:bidi="ar-EG"/>
                              </w:rPr>
                            </w:pPr>
                            <w:r w:rsidRPr="005F5C76">
                              <w:rPr>
                                <w:rFonts w:asciiTheme="majorBidi" w:hAnsiTheme="majorBidi" w:cstheme="majorBidi"/>
                                <w:b/>
                                <w:bCs/>
                                <w:sz w:val="24"/>
                                <w:szCs w:val="24"/>
                                <w:rtl/>
                                <w:lang w:bidi="ar-EG"/>
                              </w:rPr>
                              <w:t>برنامج الدكتوراة</w:t>
                            </w:r>
                            <w:r w:rsidRPr="005F5C76">
                              <w:rPr>
                                <w:rFonts w:asciiTheme="majorBidi" w:hAnsiTheme="majorBidi" w:cstheme="majorBidi"/>
                                <w:sz w:val="24"/>
                                <w:szCs w:val="24"/>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DF3AE1" id="Rectangle 53" o:spid="_x0000_s1026" style="position:absolute;margin-left:351.5pt;margin-top:7.45pt;width:114.8pt;height:1in;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" fillcolor="window" strokecolor="window" strokeweight="1pt">
                <v:textbox>
                  <w:txbxContent>
                    <w:p w14:paraId="6E991E3A" w14:textId="77777777" w:rsidR="009022D6" w:rsidRPr="006D2ACA" w:rsidRDefault="009022D6" w:rsidP="009022D6">
                      <w:pPr>
                        <w:jc w:val="center"/>
                        <w:rPr>
                          <w:rFonts w:asciiTheme="majorBidi" w:hAnsiTheme="majorBidi" w:cstheme="majorBidi"/>
                          <w:b/>
                          <w:bCs/>
                          <w:sz w:val="28"/>
                          <w:szCs w:val="28"/>
                          <w:rtl/>
                          <w:lang w:bidi="ar-EG"/>
                        </w:rPr>
                      </w:pPr>
                      <w:r w:rsidRPr="006D2ACA">
                        <w:rPr>
                          <w:rFonts w:asciiTheme="majorBidi" w:hAnsiTheme="majorBidi" w:cstheme="majorBidi"/>
                          <w:b/>
                          <w:bCs/>
                          <w:sz w:val="28"/>
                          <w:szCs w:val="28"/>
                          <w:rtl/>
                          <w:lang w:bidi="ar-EG"/>
                        </w:rPr>
                        <w:t xml:space="preserve">جامعة ميد اوشن </w:t>
                      </w:r>
                    </w:p>
                    <w:p w14:paraId="03298658" w14:textId="77777777" w:rsidR="009022D6" w:rsidRPr="005F5C76" w:rsidRDefault="009022D6" w:rsidP="009022D6">
                      <w:pPr>
                        <w:jc w:val="center"/>
                        <w:rPr>
                          <w:rFonts w:asciiTheme="majorBidi" w:hAnsiTheme="majorBidi" w:cstheme="majorBidi"/>
                          <w:sz w:val="24"/>
                          <w:szCs w:val="24"/>
                          <w:lang w:bidi="ar-EG"/>
                        </w:rPr>
                      </w:pPr>
                      <w:r w:rsidRPr="005F5C76">
                        <w:rPr>
                          <w:rFonts w:asciiTheme="majorBidi" w:hAnsiTheme="majorBidi" w:cstheme="majorBidi"/>
                          <w:b/>
                          <w:bCs/>
                          <w:sz w:val="24"/>
                          <w:szCs w:val="24"/>
                          <w:rtl/>
                          <w:lang w:bidi="ar-EG"/>
                        </w:rPr>
                        <w:t>برنامج الدكتوراة</w:t>
                      </w:r>
                      <w:r w:rsidRPr="005F5C76">
                        <w:rPr>
                          <w:rFonts w:asciiTheme="majorBidi" w:hAnsiTheme="majorBidi" w:cstheme="majorBidi"/>
                          <w:sz w:val="24"/>
                          <w:szCs w:val="24"/>
                          <w:rtl/>
                          <w:lang w:bidi="ar-EG"/>
                        </w:rPr>
                        <w:t xml:space="preserve"> </w:t>
                      </w:r>
                    </w:p>
                  </w:txbxContent>
                </v:textbox>
              </v:rect>
            </w:pict>
          </mc:Fallback>
        </mc:AlternateContent>
      </w:r>
    </w:p>
    <w:p w14:paraId="2ADB9E21" w14:textId="77777777" w:rsidR="009022D6" w:rsidRPr="006D2ACA" w:rsidRDefault="009022D6" w:rsidP="005F5C76">
      <w:pPr>
        <w:spacing w:line="276" w:lineRule="auto"/>
        <w:jc w:val="right"/>
        <w:rPr>
          <w:rFonts w:asciiTheme="majorBidi" w:eastAsia="Times New Roman" w:hAnsiTheme="majorBidi" w:cstheme="majorBidi"/>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9022D6" w:rsidRPr="006D2ACA" w14:paraId="23EB819D" w14:textId="77777777" w:rsidTr="001F661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64E30C7" w14:textId="77777777" w:rsidR="009022D6" w:rsidRPr="006D2ACA" w:rsidRDefault="009022D6" w:rsidP="005F5C76">
            <w:pPr>
              <w:jc w:val="center"/>
              <w:rPr>
                <w:rFonts w:asciiTheme="majorBidi" w:eastAsia="Times New Roman" w:hAnsiTheme="majorBidi" w:cstheme="majorBidi"/>
                <w:color w:val="1C1C1C"/>
                <w:sz w:val="24"/>
                <w:szCs w:val="24"/>
                <w:rtl/>
              </w:rPr>
            </w:pPr>
          </w:p>
          <w:p w14:paraId="40B22580" w14:textId="77777777" w:rsidR="009022D6" w:rsidRPr="006D2ACA" w:rsidRDefault="009022D6" w:rsidP="005F5C76">
            <w:pPr>
              <w:jc w:val="center"/>
              <w:rPr>
                <w:rFonts w:asciiTheme="majorBidi" w:eastAsia="Times New Roman" w:hAnsiTheme="majorBidi" w:cstheme="majorBidi"/>
                <w:color w:val="1C1C1C"/>
                <w:sz w:val="24"/>
                <w:szCs w:val="24"/>
              </w:rPr>
            </w:pPr>
          </w:p>
          <w:p w14:paraId="0D5565DC" w14:textId="77777777" w:rsidR="009022D6" w:rsidRPr="006D2ACA" w:rsidRDefault="009022D6" w:rsidP="005F5C76">
            <w:pPr>
              <w:jc w:val="right"/>
              <w:rPr>
                <w:rFonts w:asciiTheme="majorBidi" w:eastAsia="Times New Roman" w:hAnsiTheme="majorBidi" w:cstheme="majorBidi"/>
                <w:color w:val="1C1C1C"/>
                <w:sz w:val="24"/>
                <w:szCs w:val="24"/>
              </w:rPr>
            </w:pPr>
          </w:p>
          <w:p w14:paraId="203171E8" w14:textId="77777777" w:rsidR="009022D6" w:rsidRPr="006D2ACA" w:rsidRDefault="009022D6" w:rsidP="005F5C76">
            <w:pPr>
              <w:spacing w:before="60"/>
              <w:jc w:val="right"/>
              <w:rPr>
                <w:rFonts w:asciiTheme="majorBidi" w:eastAsia="Times New Roman" w:hAnsiTheme="majorBidi" w:cstheme="majorBidi"/>
                <w:color w:val="1C1C1C"/>
                <w:sz w:val="24"/>
                <w:szCs w:val="24"/>
              </w:rPr>
            </w:pPr>
          </w:p>
        </w:tc>
      </w:tr>
    </w:tbl>
    <w:p w14:paraId="54843191" w14:textId="77777777" w:rsidR="00304438" w:rsidRPr="006D2ACA" w:rsidRDefault="00304438" w:rsidP="005F5C76">
      <w:pPr>
        <w:pBdr>
          <w:top w:val="nil"/>
          <w:left w:val="nil"/>
          <w:bottom w:val="nil"/>
          <w:right w:val="nil"/>
          <w:between w:val="nil"/>
        </w:pBdr>
        <w:bidi/>
        <w:spacing w:line="360" w:lineRule="auto"/>
        <w:rPr>
          <w:rFonts w:asciiTheme="majorBidi" w:eastAsia="Google Sans" w:hAnsiTheme="majorBidi" w:cstheme="majorBidi"/>
          <w:b/>
          <w:bCs/>
          <w:color w:val="1F1F1F"/>
          <w:rtl/>
        </w:rPr>
      </w:pPr>
    </w:p>
    <w:p w14:paraId="6E6E7B4A" w14:textId="77777777" w:rsidR="00304438" w:rsidRPr="005F5C76" w:rsidRDefault="00304438" w:rsidP="005F5C76">
      <w:pPr>
        <w:pBdr>
          <w:top w:val="nil"/>
          <w:left w:val="nil"/>
          <w:bottom w:val="nil"/>
          <w:right w:val="nil"/>
          <w:between w:val="nil"/>
        </w:pBdr>
        <w:bidi/>
        <w:spacing w:line="360" w:lineRule="auto"/>
        <w:jc w:val="center"/>
        <w:rPr>
          <w:rFonts w:asciiTheme="majorBidi" w:eastAsia="Google Sans" w:hAnsiTheme="majorBidi" w:cstheme="majorBidi"/>
          <w:b/>
          <w:bCs/>
          <w:color w:val="1F1F1F"/>
          <w:sz w:val="36"/>
          <w:szCs w:val="36"/>
        </w:rPr>
      </w:pPr>
      <w:r w:rsidRPr="005F5C76">
        <w:rPr>
          <w:rFonts w:asciiTheme="majorBidi" w:eastAsia="Google Sans" w:hAnsiTheme="majorBidi" w:cstheme="majorBidi"/>
          <w:b/>
          <w:bCs/>
          <w:color w:val="1F1F1F"/>
          <w:sz w:val="36"/>
          <w:szCs w:val="36"/>
          <w:rtl/>
        </w:rPr>
        <w:t>الدور الوسيط للنضج الرقمي في تأثير تبني الذكاء الاصطناعي على جودة القرار الإداري: دراسة ميدانية في منظمات القطاع غير الربحي السعودي.</w:t>
      </w:r>
    </w:p>
    <w:p w14:paraId="1F7CAA24" w14:textId="77777777" w:rsidR="00304438" w:rsidRPr="005F5C76" w:rsidRDefault="00304438" w:rsidP="005F5C76">
      <w:pPr>
        <w:pBdr>
          <w:top w:val="nil"/>
          <w:left w:val="nil"/>
          <w:bottom w:val="nil"/>
          <w:right w:val="nil"/>
          <w:between w:val="nil"/>
        </w:pBdr>
        <w:bidi/>
        <w:spacing w:line="360" w:lineRule="auto"/>
        <w:jc w:val="center"/>
        <w:rPr>
          <w:rFonts w:asciiTheme="majorBidi" w:eastAsia="Google Sans" w:hAnsiTheme="majorBidi" w:cstheme="majorBidi"/>
          <w:color w:val="1F1F1F"/>
          <w:sz w:val="36"/>
          <w:szCs w:val="36"/>
        </w:rPr>
      </w:pPr>
      <w:r w:rsidRPr="005F5C76">
        <w:rPr>
          <w:rFonts w:asciiTheme="majorBidi" w:eastAsia="Google Sans" w:hAnsiTheme="majorBidi" w:cstheme="majorBidi"/>
          <w:color w:val="1F1F1F"/>
          <w:sz w:val="36"/>
          <w:szCs w:val="36"/>
        </w:rPr>
        <w:t>The Mediating Role of Digital Maturity in the Impact of Artificial Intelligence Adoption on Administrative Decision Quality: A Field Study in Saudi Non-Profit Organizations.</w:t>
      </w:r>
    </w:p>
    <w:p w14:paraId="38DC08EE" w14:textId="77777777" w:rsidR="00304438" w:rsidRPr="006D2ACA" w:rsidRDefault="00304438" w:rsidP="005F5C76">
      <w:pPr>
        <w:pBdr>
          <w:top w:val="nil"/>
          <w:left w:val="nil"/>
          <w:bottom w:val="nil"/>
          <w:right w:val="nil"/>
          <w:between w:val="nil"/>
        </w:pBdr>
        <w:bidi/>
        <w:spacing w:line="276" w:lineRule="auto"/>
        <w:jc w:val="center"/>
        <w:rPr>
          <w:rFonts w:asciiTheme="majorBidi" w:eastAsia="Google Sans" w:hAnsiTheme="majorBidi" w:cstheme="majorBidi"/>
          <w:b/>
          <w:bCs/>
          <w:color w:val="1F1F1F"/>
        </w:rPr>
      </w:pPr>
    </w:p>
    <w:p w14:paraId="41DD59CB" w14:textId="77777777" w:rsidR="00A109ED" w:rsidRDefault="00A109ED" w:rsidP="005F5C76">
      <w:pPr>
        <w:pBdr>
          <w:top w:val="nil"/>
          <w:left w:val="nil"/>
          <w:bottom w:val="nil"/>
          <w:right w:val="nil"/>
          <w:between w:val="nil"/>
        </w:pBdr>
        <w:bidi/>
        <w:spacing w:line="276" w:lineRule="auto"/>
        <w:jc w:val="center"/>
        <w:rPr>
          <w:rFonts w:asciiTheme="majorBidi" w:eastAsia="Google Sans" w:hAnsiTheme="majorBidi" w:cstheme="majorBidi"/>
          <w:b/>
          <w:bCs/>
          <w:color w:val="1F1F1F"/>
          <w:sz w:val="28"/>
          <w:szCs w:val="28"/>
          <w:rtl/>
        </w:rPr>
      </w:pPr>
    </w:p>
    <w:p w14:paraId="358EB7A5" w14:textId="2B6AF8F3" w:rsidR="009022D6" w:rsidRPr="005F5C76" w:rsidRDefault="009022D6" w:rsidP="00A109ED">
      <w:pPr>
        <w:pBdr>
          <w:top w:val="nil"/>
          <w:left w:val="nil"/>
          <w:bottom w:val="nil"/>
          <w:right w:val="nil"/>
          <w:between w:val="nil"/>
        </w:pBdr>
        <w:bidi/>
        <w:spacing w:line="276" w:lineRule="auto"/>
        <w:jc w:val="center"/>
        <w:rPr>
          <w:rFonts w:asciiTheme="majorBidi" w:eastAsia="Google Sans" w:hAnsiTheme="majorBidi" w:cstheme="majorBidi"/>
          <w:b/>
          <w:bCs/>
          <w:color w:val="1F1F1F"/>
          <w:sz w:val="28"/>
          <w:szCs w:val="28"/>
          <w:rtl/>
        </w:rPr>
      </w:pPr>
      <w:r w:rsidRPr="005F5C76">
        <w:rPr>
          <w:rFonts w:asciiTheme="majorBidi" w:eastAsia="Google Sans" w:hAnsiTheme="majorBidi" w:cstheme="majorBidi"/>
          <w:b/>
          <w:bCs/>
          <w:color w:val="1F1F1F"/>
          <w:sz w:val="28"/>
          <w:szCs w:val="28"/>
          <w:rtl/>
        </w:rPr>
        <w:t>إعداد</w:t>
      </w:r>
    </w:p>
    <w:p w14:paraId="6C4F6E65" w14:textId="7D54B41D" w:rsidR="00304438" w:rsidRPr="005F5C76" w:rsidRDefault="00304438" w:rsidP="005F5C76">
      <w:pPr>
        <w:pBdr>
          <w:top w:val="nil"/>
          <w:left w:val="nil"/>
          <w:bottom w:val="nil"/>
          <w:right w:val="nil"/>
          <w:between w:val="nil"/>
        </w:pBdr>
        <w:bidi/>
        <w:spacing w:line="276" w:lineRule="auto"/>
        <w:jc w:val="center"/>
        <w:rPr>
          <w:rFonts w:asciiTheme="majorBidi" w:eastAsia="Times New Roman" w:hAnsiTheme="majorBidi" w:cstheme="majorBidi"/>
          <w:b/>
          <w:bCs/>
          <w:color w:val="1C1C1C"/>
          <w:sz w:val="28"/>
          <w:szCs w:val="28"/>
        </w:rPr>
      </w:pPr>
      <w:r w:rsidRPr="005F5C76">
        <w:rPr>
          <w:rFonts w:asciiTheme="majorBidi" w:eastAsia="Times New Roman" w:hAnsiTheme="majorBidi" w:cstheme="majorBidi"/>
          <w:b/>
          <w:bCs/>
          <w:color w:val="1C1C1C"/>
          <w:sz w:val="28"/>
          <w:szCs w:val="28"/>
          <w:rtl/>
        </w:rPr>
        <w:t xml:space="preserve"> أحمد عبدربه التميمي</w:t>
      </w:r>
    </w:p>
    <w:p w14:paraId="0E539173" w14:textId="77777777" w:rsidR="009022D6" w:rsidRPr="006D2ACA" w:rsidRDefault="009022D6" w:rsidP="005F5C76">
      <w:pPr>
        <w:bidi/>
        <w:spacing w:line="276" w:lineRule="auto"/>
        <w:jc w:val="center"/>
        <w:rPr>
          <w:rFonts w:asciiTheme="majorBidi" w:eastAsia="Times New Roman" w:hAnsiTheme="majorBidi" w:cstheme="majorBidi"/>
          <w:color w:val="1C1C1C"/>
          <w:sz w:val="28"/>
          <w:szCs w:val="28"/>
          <w:rtl/>
        </w:rPr>
      </w:pPr>
    </w:p>
    <w:p w14:paraId="09A0FE31" w14:textId="77777777" w:rsidR="009022D6" w:rsidRPr="006D2ACA" w:rsidRDefault="009022D6" w:rsidP="005F5C76">
      <w:pPr>
        <w:bidi/>
        <w:spacing w:line="276" w:lineRule="auto"/>
        <w:jc w:val="center"/>
        <w:rPr>
          <w:rFonts w:asciiTheme="majorBidi" w:eastAsia="Times New Roman" w:hAnsiTheme="majorBidi" w:cstheme="majorBidi"/>
          <w:color w:val="1C1C1C"/>
          <w:sz w:val="28"/>
          <w:szCs w:val="28"/>
          <w:rtl/>
        </w:rPr>
      </w:pPr>
    </w:p>
    <w:p w14:paraId="0FED6053" w14:textId="5D8AC1AB" w:rsidR="009022D6" w:rsidRPr="005F5C76" w:rsidRDefault="009022D6" w:rsidP="005F5C76">
      <w:pPr>
        <w:bidi/>
        <w:spacing w:line="276" w:lineRule="auto"/>
        <w:jc w:val="center"/>
        <w:rPr>
          <w:rFonts w:asciiTheme="majorBidi" w:eastAsia="Times New Roman" w:hAnsiTheme="majorBidi" w:cstheme="majorBidi"/>
          <w:b/>
          <w:bCs/>
          <w:color w:val="1C1C1C"/>
          <w:sz w:val="24"/>
          <w:szCs w:val="24"/>
          <w:rtl/>
        </w:rPr>
      </w:pPr>
      <w:r w:rsidRPr="005F5C76">
        <w:rPr>
          <w:rFonts w:asciiTheme="majorBidi" w:eastAsia="Times New Roman" w:hAnsiTheme="majorBidi" w:cstheme="majorBidi"/>
          <w:b/>
          <w:bCs/>
          <w:color w:val="1C1C1C"/>
          <w:sz w:val="24"/>
          <w:szCs w:val="24"/>
          <w:rtl/>
        </w:rPr>
        <w:t xml:space="preserve">رسالة مقدمة </w:t>
      </w:r>
      <w:r w:rsidRPr="005F5C76">
        <w:rPr>
          <w:rFonts w:asciiTheme="majorBidi" w:eastAsia="Times New Roman" w:hAnsiTheme="majorBidi" w:cstheme="majorBidi"/>
          <w:b/>
          <w:bCs/>
          <w:color w:val="1C1C1C"/>
          <w:sz w:val="24"/>
          <w:szCs w:val="24"/>
          <w:rtl/>
        </w:rPr>
        <w:t>إلى برنامج</w:t>
      </w:r>
      <w:r w:rsidRPr="005F5C76">
        <w:rPr>
          <w:rFonts w:asciiTheme="majorBidi" w:eastAsia="Times New Roman" w:hAnsiTheme="majorBidi" w:cstheme="majorBidi"/>
          <w:b/>
          <w:bCs/>
          <w:color w:val="1C1C1C"/>
          <w:sz w:val="24"/>
          <w:szCs w:val="24"/>
          <w:rtl/>
        </w:rPr>
        <w:t xml:space="preserve"> الدكتوراة</w:t>
      </w:r>
    </w:p>
    <w:p w14:paraId="20950162" w14:textId="1938A85A" w:rsidR="009022D6" w:rsidRPr="005F5C76" w:rsidRDefault="009022D6" w:rsidP="005F5C76">
      <w:pPr>
        <w:bidi/>
        <w:spacing w:line="276" w:lineRule="auto"/>
        <w:jc w:val="center"/>
        <w:rPr>
          <w:rFonts w:asciiTheme="majorBidi" w:eastAsia="Times New Roman" w:hAnsiTheme="majorBidi" w:cstheme="majorBidi"/>
          <w:b/>
          <w:bCs/>
          <w:color w:val="1C1C1C"/>
          <w:sz w:val="24"/>
          <w:szCs w:val="24"/>
        </w:rPr>
      </w:pPr>
      <w:r w:rsidRPr="005F5C76">
        <w:rPr>
          <w:rFonts w:asciiTheme="majorBidi" w:eastAsia="Times New Roman" w:hAnsiTheme="majorBidi" w:cstheme="majorBidi"/>
          <w:b/>
          <w:bCs/>
          <w:color w:val="1C1C1C"/>
          <w:sz w:val="24"/>
          <w:szCs w:val="24"/>
          <w:rtl/>
        </w:rPr>
        <w:t>كجزء من متطلبات نيل درجة دكتوراه في الادارة</w:t>
      </w:r>
    </w:p>
    <w:p w14:paraId="56E38E7E" w14:textId="77777777" w:rsidR="009022D6" w:rsidRPr="006D2ACA" w:rsidRDefault="009022D6" w:rsidP="005F5C76">
      <w:pPr>
        <w:pBdr>
          <w:top w:val="nil"/>
          <w:left w:val="nil"/>
          <w:bottom w:val="nil"/>
          <w:right w:val="nil"/>
          <w:between w:val="nil"/>
        </w:pBdr>
        <w:bidi/>
        <w:spacing w:line="276" w:lineRule="auto"/>
        <w:jc w:val="center"/>
        <w:rPr>
          <w:rFonts w:asciiTheme="majorBidi" w:eastAsia="Google Sans" w:hAnsiTheme="majorBidi" w:cstheme="majorBidi"/>
          <w:b/>
          <w:bCs/>
          <w:color w:val="1F1F1F"/>
          <w:sz w:val="24"/>
          <w:szCs w:val="24"/>
          <w:rtl/>
        </w:rPr>
      </w:pPr>
    </w:p>
    <w:p w14:paraId="6F7F33D1" w14:textId="77777777" w:rsidR="00A109ED" w:rsidRDefault="00A109ED" w:rsidP="005F5C76">
      <w:pPr>
        <w:pBdr>
          <w:top w:val="nil"/>
          <w:left w:val="nil"/>
          <w:bottom w:val="nil"/>
          <w:right w:val="nil"/>
          <w:between w:val="nil"/>
        </w:pBdr>
        <w:bidi/>
        <w:spacing w:line="276" w:lineRule="auto"/>
        <w:jc w:val="center"/>
        <w:rPr>
          <w:rFonts w:asciiTheme="majorBidi" w:eastAsia="Google Sans" w:hAnsiTheme="majorBidi" w:cstheme="majorBidi"/>
          <w:b/>
          <w:bCs/>
          <w:color w:val="1F1F1F"/>
          <w:sz w:val="28"/>
          <w:szCs w:val="28"/>
          <w:rtl/>
        </w:rPr>
      </w:pPr>
    </w:p>
    <w:p w14:paraId="29DD574C" w14:textId="63CAA094" w:rsidR="009022D6" w:rsidRPr="005F5C76" w:rsidRDefault="00304438" w:rsidP="00A109ED">
      <w:pPr>
        <w:pBdr>
          <w:top w:val="nil"/>
          <w:left w:val="nil"/>
          <w:bottom w:val="nil"/>
          <w:right w:val="nil"/>
          <w:between w:val="nil"/>
        </w:pBdr>
        <w:bidi/>
        <w:spacing w:line="276" w:lineRule="auto"/>
        <w:jc w:val="center"/>
        <w:rPr>
          <w:rFonts w:asciiTheme="majorBidi" w:eastAsia="Google Sans" w:hAnsiTheme="majorBidi" w:cstheme="majorBidi"/>
          <w:b/>
          <w:bCs/>
          <w:color w:val="1F1F1F"/>
          <w:sz w:val="28"/>
          <w:szCs w:val="28"/>
          <w:rtl/>
        </w:rPr>
      </w:pPr>
      <w:r w:rsidRPr="005F5C76">
        <w:rPr>
          <w:rFonts w:asciiTheme="majorBidi" w:eastAsia="Google Sans" w:hAnsiTheme="majorBidi" w:cstheme="majorBidi"/>
          <w:b/>
          <w:bCs/>
          <w:color w:val="1F1F1F"/>
          <w:sz w:val="28"/>
          <w:szCs w:val="28"/>
          <w:rtl/>
        </w:rPr>
        <w:t>العام الجامعي</w:t>
      </w:r>
    </w:p>
    <w:p w14:paraId="28912F62" w14:textId="255336B0" w:rsidR="009022D6" w:rsidRPr="006D2ACA" w:rsidRDefault="00304438" w:rsidP="005F5C76">
      <w:pPr>
        <w:bidi/>
        <w:spacing w:line="276" w:lineRule="auto"/>
        <w:jc w:val="center"/>
        <w:rPr>
          <w:rFonts w:asciiTheme="majorBidi" w:eastAsia="Times New Roman" w:hAnsiTheme="majorBidi" w:cstheme="majorBidi"/>
          <w:b/>
          <w:bCs/>
          <w:color w:val="1C1C1C"/>
          <w:sz w:val="28"/>
          <w:szCs w:val="28"/>
          <w:rtl/>
        </w:rPr>
      </w:pPr>
      <w:r w:rsidRPr="006D2ACA">
        <w:rPr>
          <w:rFonts w:asciiTheme="majorBidi" w:eastAsia="Times New Roman" w:hAnsiTheme="majorBidi" w:cstheme="majorBidi"/>
          <w:b/>
          <w:bCs/>
          <w:color w:val="1C1C1C"/>
          <w:sz w:val="28"/>
          <w:szCs w:val="28"/>
          <w:rtl/>
        </w:rPr>
        <w:t xml:space="preserve"> 1447 هـ / 2026 م</w:t>
      </w:r>
      <w:r w:rsidR="009022D6" w:rsidRPr="006D2ACA">
        <w:rPr>
          <w:rFonts w:asciiTheme="majorBidi" w:eastAsia="Times New Roman" w:hAnsiTheme="majorBidi" w:cstheme="majorBidi"/>
          <w:b/>
          <w:bCs/>
          <w:color w:val="1C1C1C"/>
          <w:sz w:val="28"/>
          <w:szCs w:val="28"/>
          <w:rtl/>
        </w:rPr>
        <w:br w:type="page"/>
      </w:r>
    </w:p>
    <w:p w14:paraId="45CCE681" w14:textId="2A0BFA61" w:rsidR="008615C2" w:rsidRPr="005F5C76" w:rsidRDefault="00000000" w:rsidP="00A109ED">
      <w:pPr>
        <w:pStyle w:val="2"/>
        <w:bidi/>
        <w:spacing w:before="0" w:after="0" w:line="360" w:lineRule="auto"/>
        <w:jc w:val="both"/>
        <w:rPr>
          <w:rFonts w:ascii="Traditional Arabic" w:hAnsi="Traditional Arabic" w:cs="Traditional Arabic"/>
          <w:sz w:val="32"/>
          <w:szCs w:val="32"/>
        </w:rPr>
      </w:pPr>
      <w:r w:rsidRPr="005F5C76">
        <w:rPr>
          <w:rFonts w:ascii="Traditional Arabic" w:hAnsi="Traditional Arabic" w:cs="Traditional Arabic"/>
          <w:sz w:val="32"/>
          <w:szCs w:val="32"/>
          <w:rtl/>
        </w:rPr>
        <w:lastRenderedPageBreak/>
        <w:t>مقدمة الدراسة</w:t>
      </w:r>
    </w:p>
    <w:p w14:paraId="0B6280D4" w14:textId="5CF50A9F" w:rsidR="00A109ED"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تُعدّ جودة القرار الإداري الجوهرَ الحقيقي للعملية الإدارية والمحركَ الأساسي لنجاح المنظمات في تحقيق أهدافها بكفاءة وفعالية، لا سيما في البيئات المعقدة التي تتسم بندرة الموارد وتعدد أصحاب المصلحة (آل عزام وابن ظفرة، 2023). فالقرارات الإدارية ليست مجرد خيارات روتينية، بل هي استجابات استراتيجية تحدد مسار المنظمات وقدرتها على البقاء والاستدامة في بيئات متغيرة. وتتضاعف هذه الأهمية في منظمات القطاع غير الربحي (القطاع الثالث) التي تواجه تحدياً مزدوجاً يتمثل في ندرة الموارد المالية والتشغيلية من جهة، والطلب المتزايد على تقديم خدمات تنموية واجتماعية ذات أثر ملموس من جهة أخرى (الحازمي، 2026).</w:t>
      </w:r>
    </w:p>
    <w:p w14:paraId="4AA40F92" w14:textId="3FA56C26" w:rsidR="00D02E54"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وفي ظل الثورة التكنولوجية الرابعة وتدفق البيانات الضخمة، برز تبني تقنيات "الذكاء الاصطناعي</w:t>
      </w:r>
      <w:proofErr w:type="gramStart"/>
      <w:r w:rsidRPr="005F5C76">
        <w:rPr>
          <w:rFonts w:ascii="Traditional Arabic" w:hAnsi="Traditional Arabic" w:cs="Traditional Arabic"/>
          <w:sz w:val="24"/>
          <w:szCs w:val="24"/>
          <w:rtl/>
        </w:rPr>
        <w:t>"  كأحد</w:t>
      </w:r>
      <w:proofErr w:type="gramEnd"/>
      <w:r w:rsidRPr="005F5C76">
        <w:rPr>
          <w:rFonts w:ascii="Traditional Arabic" w:hAnsi="Traditional Arabic" w:cs="Traditional Arabic"/>
          <w:sz w:val="24"/>
          <w:szCs w:val="24"/>
          <w:rtl/>
        </w:rPr>
        <w:t xml:space="preserve"> أهم الممكنات الاستراتيجية التي يُعوَّل عليها لدعم متخذي القرار، وتقليل التحيزات البشرية، ومعالجة البيانات المتعددة لاستخراج رؤى تنبؤية دقيقة تساهم في تحسين جودة البرامج التنموية (مكرمي وآخرون، 2023). فالذكاء الاصطناعي لم يعد مجرد أداة للأتمتة الروتينية، بل تحوّل إلى شريك استراتيجي يتيح فهم سلوك الجهات المانحة، والتنبؤ بأنماط الدعم، وتحسين استجابة المنظمات للاحتياجات المجتمعية الطارئة (المشاري والشريف، 2024).</w:t>
      </w:r>
    </w:p>
    <w:p w14:paraId="07BB5464" w14:textId="4832C758" w:rsidR="00D02E54"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ومع ذلك، تؤكد الأدبيات الإدارية المعاصرة أن تبني هذه التقنيات المتقدمة لا يحقق العوائد المرجوة تلقائياً، بل يتطلب ما يُعرف </w:t>
      </w:r>
      <w:proofErr w:type="gramStart"/>
      <w:r w:rsidRPr="005F5C76">
        <w:rPr>
          <w:rFonts w:ascii="Traditional Arabic" w:hAnsi="Traditional Arabic" w:cs="Traditional Arabic"/>
          <w:sz w:val="24"/>
          <w:szCs w:val="24"/>
          <w:rtl/>
        </w:rPr>
        <w:t>بـ"</w:t>
      </w:r>
      <w:proofErr w:type="gramEnd"/>
      <w:r w:rsidRPr="005F5C76">
        <w:rPr>
          <w:rFonts w:ascii="Traditional Arabic" w:hAnsi="Traditional Arabic" w:cs="Traditional Arabic"/>
          <w:sz w:val="24"/>
          <w:szCs w:val="24"/>
          <w:rtl/>
        </w:rPr>
        <w:t>النضج الرقمي" (</w:t>
      </w:r>
      <w:r w:rsidRPr="005F5C76">
        <w:rPr>
          <w:rFonts w:ascii="Traditional Arabic" w:hAnsi="Traditional Arabic" w:cs="Traditional Arabic"/>
          <w:sz w:val="24"/>
          <w:szCs w:val="24"/>
        </w:rPr>
        <w:t>Digital Maturity</w:t>
      </w:r>
      <w:r w:rsidRPr="005F5C76">
        <w:rPr>
          <w:rFonts w:ascii="Traditional Arabic" w:hAnsi="Traditional Arabic" w:cs="Traditional Arabic"/>
          <w:sz w:val="24"/>
          <w:szCs w:val="24"/>
          <w:rtl/>
        </w:rPr>
        <w:t>)، وهو قدرة المنظمة الشاملة على التكيف مع التغيرات التكنولوجية ودمجها بفعالية في ثقافتها وعملياتها وبنيتها التحتية (</w:t>
      </w:r>
      <w:r w:rsidRPr="005F5C76">
        <w:rPr>
          <w:rFonts w:ascii="Traditional Arabic" w:hAnsi="Traditional Arabic" w:cs="Traditional Arabic"/>
          <w:sz w:val="24"/>
          <w:szCs w:val="24"/>
        </w:rPr>
        <w:t xml:space="preserve">Aslanova &amp; </w:t>
      </w:r>
      <w:proofErr w:type="spellStart"/>
      <w:r w:rsidRPr="005F5C76">
        <w:rPr>
          <w:rFonts w:ascii="Traditional Arabic" w:hAnsi="Traditional Arabic" w:cs="Traditional Arabic"/>
          <w:sz w:val="24"/>
          <w:szCs w:val="24"/>
        </w:rPr>
        <w:t>Kulichkina</w:t>
      </w:r>
      <w:proofErr w:type="spellEnd"/>
      <w:r w:rsidRPr="005F5C76">
        <w:rPr>
          <w:rFonts w:ascii="Traditional Arabic" w:hAnsi="Traditional Arabic" w:cs="Traditional Arabic"/>
          <w:sz w:val="24"/>
          <w:szCs w:val="24"/>
          <w:rtl/>
        </w:rPr>
        <w:t xml:space="preserve">, 2020). فالتحول الرقمي في جوهره برنامج تغيير تنظيمي شامل يهدف للمواءمة بين المكونات الثقافية والعملياتية والتكنولوجية لضمان عدم تضخيم العيوب الإدارية القائمة من خلال </w:t>
      </w:r>
      <w:proofErr w:type="spellStart"/>
      <w:r w:rsidRPr="005F5C76">
        <w:rPr>
          <w:rFonts w:ascii="Traditional Arabic" w:hAnsi="Traditional Arabic" w:cs="Traditional Arabic"/>
          <w:sz w:val="24"/>
          <w:szCs w:val="24"/>
          <w:rtl/>
        </w:rPr>
        <w:t>الرقمنة</w:t>
      </w:r>
      <w:proofErr w:type="spellEnd"/>
      <w:r w:rsidRPr="005F5C76">
        <w:rPr>
          <w:rFonts w:ascii="Traditional Arabic" w:hAnsi="Traditional Arabic" w:cs="Traditional Arabic"/>
          <w:sz w:val="24"/>
          <w:szCs w:val="24"/>
          <w:rtl/>
        </w:rPr>
        <w:t xml:space="preserve"> العشوائية (</w:t>
      </w:r>
      <w:proofErr w:type="spellStart"/>
      <w:r w:rsidRPr="005F5C76">
        <w:rPr>
          <w:rFonts w:ascii="Traditional Arabic" w:hAnsi="Traditional Arabic" w:cs="Traditional Arabic"/>
          <w:sz w:val="24"/>
          <w:szCs w:val="24"/>
        </w:rPr>
        <w:t>Nijhum</w:t>
      </w:r>
      <w:proofErr w:type="spellEnd"/>
      <w:r w:rsidRPr="005F5C76">
        <w:rPr>
          <w:rFonts w:ascii="Traditional Arabic" w:hAnsi="Traditional Arabic" w:cs="Traditional Arabic"/>
          <w:sz w:val="24"/>
          <w:szCs w:val="24"/>
          <w:rtl/>
        </w:rPr>
        <w:t>, 2025).</w:t>
      </w:r>
    </w:p>
    <w:p w14:paraId="1AD75CD0" w14:textId="5F165721" w:rsidR="00D02E54"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وعلى صعيد السياق الوطني، أدركت المملكة العربية السعودية الأهمية البالغة لهذه التحولات، فجعلت الاقتصاد الرقمي القائم على البيانات والابتكار ركيزةً محوريةً في وثيقة رؤية المملكة 2030 (رؤية السعودية 2030، 2016). وتوّجت هذه الجهود بتأسيس الهيئة السعودية للبيانات والذكاء الاصطناعي (</w:t>
      </w:r>
      <w:proofErr w:type="spellStart"/>
      <w:r w:rsidRPr="005F5C76">
        <w:rPr>
          <w:rFonts w:ascii="Traditional Arabic" w:hAnsi="Traditional Arabic" w:cs="Traditional Arabic"/>
          <w:sz w:val="24"/>
          <w:szCs w:val="24"/>
          <w:rtl/>
        </w:rPr>
        <w:t>سدايا</w:t>
      </w:r>
      <w:proofErr w:type="spellEnd"/>
      <w:r w:rsidRPr="005F5C76">
        <w:rPr>
          <w:rFonts w:ascii="Traditional Arabic" w:hAnsi="Traditional Arabic" w:cs="Traditional Arabic"/>
          <w:sz w:val="24"/>
          <w:szCs w:val="24"/>
          <w:rtl/>
        </w:rPr>
        <w:t>) لتكون المرجعَ الوطني لتنظيم هذا القطاع وتطويره. وفي سبتمبر 2024، خلال القمة العالمية للذكاء الاصطناعي (</w:t>
      </w:r>
      <w:r w:rsidRPr="005F5C76">
        <w:rPr>
          <w:rFonts w:ascii="Traditional Arabic" w:hAnsi="Traditional Arabic" w:cs="Traditional Arabic"/>
          <w:sz w:val="24"/>
          <w:szCs w:val="24"/>
        </w:rPr>
        <w:t>GAIN</w:t>
      </w:r>
      <w:r w:rsidRPr="005F5C76">
        <w:rPr>
          <w:rFonts w:ascii="Traditional Arabic" w:hAnsi="Traditional Arabic" w:cs="Traditional Arabic"/>
          <w:sz w:val="24"/>
          <w:szCs w:val="24"/>
          <w:rtl/>
        </w:rPr>
        <w:t xml:space="preserve">) في نسختها الثالثة، أطلقت </w:t>
      </w:r>
      <w:proofErr w:type="spellStart"/>
      <w:r w:rsidRPr="005F5C76">
        <w:rPr>
          <w:rFonts w:ascii="Traditional Arabic" w:hAnsi="Traditional Arabic" w:cs="Traditional Arabic"/>
          <w:sz w:val="24"/>
          <w:szCs w:val="24"/>
          <w:rtl/>
        </w:rPr>
        <w:t>سدايا</w:t>
      </w:r>
      <w:proofErr w:type="spellEnd"/>
      <w:r w:rsidRPr="005F5C76">
        <w:rPr>
          <w:rFonts w:ascii="Traditional Arabic" w:hAnsi="Traditional Arabic" w:cs="Traditional Arabic"/>
          <w:sz w:val="24"/>
          <w:szCs w:val="24"/>
          <w:rtl/>
        </w:rPr>
        <w:t xml:space="preserve"> "إطار تبني الذكاء الاصطناعي" لتقديم خريطة طريق استراتيجية تُمكّن الجهاتِ من تأسيس وحدات ذكاء اصطناعي متخصصة، وتقييم جاهزيتها عبر أربعة مستويات نضج هي: الناشئ، والمتطور، والمحترف، والمتقدم (الهيئة السعودية للبيانات والذكاء الاصطناعي [</w:t>
      </w:r>
      <w:proofErr w:type="spellStart"/>
      <w:r w:rsidRPr="005F5C76">
        <w:rPr>
          <w:rFonts w:ascii="Traditional Arabic" w:hAnsi="Traditional Arabic" w:cs="Traditional Arabic"/>
          <w:sz w:val="24"/>
          <w:szCs w:val="24"/>
          <w:rtl/>
        </w:rPr>
        <w:t>سدايا</w:t>
      </w:r>
      <w:proofErr w:type="spellEnd"/>
      <w:r w:rsidRPr="005F5C76">
        <w:rPr>
          <w:rFonts w:ascii="Traditional Arabic" w:hAnsi="Traditional Arabic" w:cs="Traditional Arabic"/>
          <w:sz w:val="24"/>
          <w:szCs w:val="24"/>
          <w:rtl/>
        </w:rPr>
        <w:t>]، 2024).</w:t>
      </w:r>
    </w:p>
    <w:p w14:paraId="54E73C95" w14:textId="77777777" w:rsidR="008615C2"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sidRPr="005F5C76">
        <w:rPr>
          <w:rFonts w:ascii="Traditional Arabic" w:hAnsi="Traditional Arabic" w:cs="Traditional Arabic"/>
          <w:sz w:val="24"/>
          <w:szCs w:val="24"/>
          <w:rtl/>
        </w:rPr>
        <w:t>وفي سياق هذه التحولات الهيكلية، يمر القطاع غير الربحي في المملكة بمرحلة تحول تنظيمي هائل تحت إشراف المركز الوطني لتنمية القطاع غير الربحي، هادفاً للانتقال من الممارسات الرعوية التقليدية إلى الاستدامة التنموية الشاملة (المركز الوطني لتنمية القطاع غير الربحي، 2024). وتتجه هذه المنظمات بشكل متزايد نحو تبني حلول الذكاء الاصطناعي لتحسين كفاءة الإنفاق، وحوكمة الموارد، وتعزيز الثقة والشفافية مع الشركاء والمانحين (القرعاوي، 2022). من هنا، تأتي هذه الدراسة لتبني نموذجاً هيكلياً يربط بين تبني الذكاء الاصطناعي كمتغير مستقل، وجودة القرار الإداري كمتغير تابع، عبر دراسة الدور الوسيط للنضج الرقمي داخل بيئة منظمات القطاع غير الربحي في المملكة العربية السعودية.</w:t>
      </w:r>
    </w:p>
    <w:p w14:paraId="5418014C" w14:textId="77777777" w:rsidR="00A109ED" w:rsidRPr="005F5C76" w:rsidRDefault="00A109ED"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p>
    <w:p w14:paraId="558FA49C" w14:textId="60CD722C" w:rsidR="008615C2" w:rsidRPr="005F5C76" w:rsidRDefault="00000000" w:rsidP="00A109ED">
      <w:pPr>
        <w:pStyle w:val="2"/>
        <w:bidi/>
        <w:spacing w:before="0" w:after="0" w:line="360" w:lineRule="auto"/>
        <w:jc w:val="both"/>
        <w:rPr>
          <w:rFonts w:ascii="Traditional Arabic" w:hAnsi="Traditional Arabic" w:cs="Traditional Arabic"/>
          <w:sz w:val="32"/>
          <w:szCs w:val="32"/>
        </w:rPr>
      </w:pPr>
      <w:r w:rsidRPr="005F5C76">
        <w:rPr>
          <w:rFonts w:ascii="Traditional Arabic" w:hAnsi="Traditional Arabic" w:cs="Traditional Arabic"/>
          <w:sz w:val="32"/>
          <w:szCs w:val="32"/>
          <w:rtl/>
        </w:rPr>
        <w:t>مشكلة الدراسة</w:t>
      </w:r>
    </w:p>
    <w:p w14:paraId="02AACA52"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sidRPr="005F5C76">
        <w:rPr>
          <w:rFonts w:ascii="Traditional Arabic" w:hAnsi="Traditional Arabic" w:cs="Traditional Arabic"/>
          <w:sz w:val="24"/>
          <w:szCs w:val="24"/>
          <w:rtl/>
        </w:rPr>
        <w:t>تعمل منظمات القطاع غير الربحي السعودي في بيئة تشريعية وتنموية متسارعة تفرض عليها الالتزامَ التام بمعايير الحوكمة والشفافية والتميز المؤسسي تماشياً مع مستهدفات رؤية 2030 (المركز الوطني لتنمية القطاع غير الربحي، 2024). وبالرغم من تسارع وتيرة تبني تطبيقات الذكاء الاصطناعي في العمليات الإدارية، إلا أن هناك فجوةً تنظيمية وعملياتية تحول دون تحقيق العائد الفعلي من هذه الاستثمارات التقنية؛ إذ تعاني كثير من المنظمات من تشتت البيانات بين ملفات وجداول متعددة، وبطء إجراءات العمل الداخلي، والتركيز على اقتناء الأداة التقنية ذاتها كبديل للمفهوم الشامل للتحول الرقمي (حكمي وآخرون، 2022).</w:t>
      </w:r>
    </w:p>
    <w:p w14:paraId="6D205080" w14:textId="72461BEF"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sidRPr="005F5C76">
        <w:rPr>
          <w:rFonts w:ascii="Traditional Arabic" w:hAnsi="Traditional Arabic" w:cs="Traditional Arabic"/>
          <w:sz w:val="24"/>
          <w:szCs w:val="24"/>
          <w:rtl/>
        </w:rPr>
        <w:t>وتزداد إشكالية الدراسة عمقاً مع فرض "نظام حماية البيانات الشخصية" (</w:t>
      </w:r>
      <w:r w:rsidRPr="005F5C76">
        <w:rPr>
          <w:rFonts w:ascii="Traditional Arabic" w:hAnsi="Traditional Arabic" w:cs="Traditional Arabic"/>
          <w:sz w:val="24"/>
          <w:szCs w:val="24"/>
        </w:rPr>
        <w:t>PDPL</w:t>
      </w:r>
      <w:r w:rsidRPr="005F5C76">
        <w:rPr>
          <w:rFonts w:ascii="Traditional Arabic" w:hAnsi="Traditional Arabic" w:cs="Traditional Arabic"/>
          <w:sz w:val="24"/>
          <w:szCs w:val="24"/>
          <w:rtl/>
        </w:rPr>
        <w:t xml:space="preserve">) واللوائح التنفيذية الصادرة عنه من قِبَل </w:t>
      </w:r>
      <w:proofErr w:type="spellStart"/>
      <w:r w:rsidRPr="005F5C76">
        <w:rPr>
          <w:rFonts w:ascii="Traditional Arabic" w:hAnsi="Traditional Arabic" w:cs="Traditional Arabic"/>
          <w:sz w:val="24"/>
          <w:szCs w:val="24"/>
          <w:rtl/>
        </w:rPr>
        <w:t>سدايا</w:t>
      </w:r>
      <w:proofErr w:type="spellEnd"/>
      <w:r w:rsidRPr="005F5C76">
        <w:rPr>
          <w:rFonts w:ascii="Traditional Arabic" w:hAnsi="Traditional Arabic" w:cs="Traditional Arabic"/>
          <w:sz w:val="24"/>
          <w:szCs w:val="24"/>
          <w:rtl/>
        </w:rPr>
        <w:t xml:space="preserve"> عام 2024، والتي تُلزم الكيانات كافةً بحوكمة معالجة البيانات، وإخفاء الهوية الرقمية للمستفيدين، وتطبيق مبدأ "البيانات الأقل تكفي"، مع فرض عقوبات صارمة في حالات تسريب بيانات الفئات الحساسة (الهيئة السعودية للبيانات والذكاء الاصطناعي [</w:t>
      </w:r>
      <w:proofErr w:type="spellStart"/>
      <w:r w:rsidRPr="005F5C76">
        <w:rPr>
          <w:rFonts w:ascii="Traditional Arabic" w:hAnsi="Traditional Arabic" w:cs="Traditional Arabic"/>
          <w:sz w:val="24"/>
          <w:szCs w:val="24"/>
          <w:rtl/>
        </w:rPr>
        <w:t>سدايا</w:t>
      </w:r>
      <w:proofErr w:type="spellEnd"/>
      <w:r w:rsidRPr="005F5C76">
        <w:rPr>
          <w:rFonts w:ascii="Traditional Arabic" w:hAnsi="Traditional Arabic" w:cs="Traditional Arabic"/>
          <w:sz w:val="24"/>
          <w:szCs w:val="24"/>
          <w:rtl/>
        </w:rPr>
        <w:t>]، 2024). هذا الواقع التشريعي يتطلب من القيادات الإدارية اتخاذ قرارات حاسمة مبنية على البيانات والتحليلات الدقيقة مع الالتزام التام بالضوابط الأخلاقية والقانونية للأمن السيبراني، وهو ما لا يمكن تحقيقه إلا بوجود قاعدة متينة من النضج الرقمي (</w:t>
      </w:r>
      <w:proofErr w:type="spellStart"/>
      <w:r w:rsidRPr="005F5C76">
        <w:rPr>
          <w:rFonts w:ascii="Traditional Arabic" w:hAnsi="Traditional Arabic" w:cs="Traditional Arabic"/>
          <w:sz w:val="24"/>
          <w:szCs w:val="24"/>
          <w:rtl/>
        </w:rPr>
        <w:t>الشبعاني</w:t>
      </w:r>
      <w:proofErr w:type="spellEnd"/>
      <w:r w:rsidRPr="005F5C76">
        <w:rPr>
          <w:rFonts w:ascii="Traditional Arabic" w:hAnsi="Traditional Arabic" w:cs="Traditional Arabic"/>
          <w:sz w:val="24"/>
          <w:szCs w:val="24"/>
          <w:rtl/>
        </w:rPr>
        <w:t>، 2025).</w:t>
      </w:r>
    </w:p>
    <w:p w14:paraId="0BBD3EDC"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sidRPr="005F5C76">
        <w:rPr>
          <w:rFonts w:ascii="Traditional Arabic" w:hAnsi="Traditional Arabic" w:cs="Traditional Arabic"/>
          <w:sz w:val="24"/>
          <w:szCs w:val="24"/>
          <w:rtl/>
        </w:rPr>
        <w:t>إن المشكلة الحقيقية تكمن في غياب الفهم الواضح لآلية تأثير تبني الذكاء الاصطناعي على جودة القرارات الإدارية، وبشكل خاص الدورِ الذي يلعبه النضج الرقمي كمتغير وسيط في تفسير هذه العلاقة داخل منظمات القطاع الثالث السعودي. فالتبني التقني بدون نضج تنظيمي وثقافة مرنة تدعم الابتكار قد يؤدي إلى نتائج سلبية وتراجع في الكفاءة التشغيلية (</w:t>
      </w:r>
      <w:proofErr w:type="spellStart"/>
      <w:r w:rsidRPr="005F5C76">
        <w:rPr>
          <w:rFonts w:ascii="Traditional Arabic" w:hAnsi="Traditional Arabic" w:cs="Traditional Arabic"/>
          <w:sz w:val="24"/>
          <w:szCs w:val="24"/>
        </w:rPr>
        <w:t>Nijhum</w:t>
      </w:r>
      <w:proofErr w:type="spellEnd"/>
      <w:r w:rsidRPr="005F5C76">
        <w:rPr>
          <w:rFonts w:ascii="Traditional Arabic" w:hAnsi="Traditional Arabic" w:cs="Traditional Arabic"/>
          <w:sz w:val="24"/>
          <w:szCs w:val="24"/>
        </w:rPr>
        <w:t xml:space="preserve">, 2025; </w:t>
      </w:r>
      <w:proofErr w:type="spellStart"/>
      <w:r w:rsidRPr="005F5C76">
        <w:rPr>
          <w:rFonts w:ascii="Traditional Arabic" w:hAnsi="Traditional Arabic" w:cs="Traditional Arabic"/>
          <w:sz w:val="24"/>
          <w:szCs w:val="24"/>
        </w:rPr>
        <w:t>Kozanoglu</w:t>
      </w:r>
      <w:proofErr w:type="spellEnd"/>
      <w:r w:rsidRPr="005F5C76">
        <w:rPr>
          <w:rFonts w:ascii="Traditional Arabic" w:hAnsi="Traditional Arabic" w:cs="Traditional Arabic"/>
          <w:sz w:val="24"/>
          <w:szCs w:val="24"/>
        </w:rPr>
        <w:t xml:space="preserve"> &amp; Abedin</w:t>
      </w:r>
      <w:r w:rsidRPr="005F5C76">
        <w:rPr>
          <w:rFonts w:ascii="Traditional Arabic" w:hAnsi="Traditional Arabic" w:cs="Traditional Arabic"/>
          <w:sz w:val="24"/>
          <w:szCs w:val="24"/>
          <w:rtl/>
        </w:rPr>
        <w:t>, 2023).</w:t>
      </w:r>
    </w:p>
    <w:p w14:paraId="3500F0ED" w14:textId="77777777" w:rsidR="00D02E54" w:rsidRPr="005F5C76" w:rsidRDefault="00D02E54" w:rsidP="00A109ED">
      <w:pPr>
        <w:pBdr>
          <w:top w:val="nil"/>
          <w:left w:val="nil"/>
          <w:bottom w:val="nil"/>
          <w:right w:val="nil"/>
          <w:between w:val="nil"/>
        </w:pBdr>
        <w:bidi/>
        <w:spacing w:line="360" w:lineRule="auto"/>
        <w:jc w:val="both"/>
        <w:rPr>
          <w:rFonts w:ascii="Traditional Arabic" w:hAnsi="Traditional Arabic" w:cs="Traditional Arabic"/>
          <w:sz w:val="24"/>
          <w:szCs w:val="24"/>
        </w:rPr>
      </w:pPr>
    </w:p>
    <w:p w14:paraId="762127CE" w14:textId="77777777" w:rsidR="008615C2" w:rsidRPr="00A109ED" w:rsidRDefault="00000000" w:rsidP="00A109ED">
      <w:pPr>
        <w:pBdr>
          <w:top w:val="nil"/>
          <w:left w:val="nil"/>
          <w:bottom w:val="nil"/>
          <w:right w:val="nil"/>
          <w:between w:val="nil"/>
        </w:pBdr>
        <w:bidi/>
        <w:spacing w:line="360" w:lineRule="auto"/>
        <w:jc w:val="both"/>
        <w:rPr>
          <w:rFonts w:ascii="Traditional Arabic" w:hAnsi="Traditional Arabic" w:cs="Traditional Arabic"/>
          <w:b/>
          <w:bCs/>
          <w:sz w:val="24"/>
          <w:szCs w:val="24"/>
        </w:rPr>
      </w:pPr>
      <w:r w:rsidRPr="00A109ED">
        <w:rPr>
          <w:rFonts w:ascii="Traditional Arabic" w:hAnsi="Traditional Arabic" w:cs="Traditional Arabic"/>
          <w:b/>
          <w:bCs/>
          <w:sz w:val="24"/>
          <w:szCs w:val="24"/>
          <w:rtl/>
        </w:rPr>
        <w:t>ولصياغة هذه المشكلة صياغةً علمية تسد الفجوة المعرفية، تمت مراجعة الأدبيات السابقة ومقارنتها بالدراسة الحالية كما يوضح الجدول (1-1):</w:t>
      </w:r>
    </w:p>
    <w:p w14:paraId="7100F847" w14:textId="00277DC2" w:rsidR="008615C2" w:rsidRPr="005F5C76" w:rsidRDefault="00000000" w:rsidP="00A109ED">
      <w:pPr>
        <w:pStyle w:val="3"/>
        <w:bidi/>
        <w:spacing w:before="0" w:after="0" w:line="360" w:lineRule="auto"/>
        <w:jc w:val="both"/>
        <w:rPr>
          <w:rFonts w:ascii="Traditional Arabic" w:hAnsi="Traditional Arabic" w:cs="Traditional Arabic"/>
          <w:b w:val="0"/>
          <w:bCs w:val="0"/>
          <w:sz w:val="24"/>
          <w:szCs w:val="24"/>
        </w:rPr>
      </w:pPr>
      <w:r w:rsidRPr="005F5C76">
        <w:rPr>
          <w:rFonts w:ascii="Traditional Arabic" w:hAnsi="Traditional Arabic" w:cs="Traditional Arabic"/>
          <w:b w:val="0"/>
          <w:bCs w:val="0"/>
          <w:sz w:val="24"/>
          <w:szCs w:val="24"/>
          <w:rtl/>
        </w:rPr>
        <w:t>جدول (1-1): تحليل الفجوة البحثية بين الدراسات السابقة والدراسة الحالية</w:t>
      </w:r>
    </w:p>
    <w:tbl>
      <w:tblPr>
        <w:tblStyle w:val="a5"/>
        <w:bidiVisual/>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8615C2" w:rsidRPr="008048E3" w14:paraId="181DF7A4" w14:textId="77777777" w:rsidTr="00B25B81">
        <w:trPr>
          <w:tblHeader/>
        </w:trPr>
        <w:tc>
          <w:tcPr>
            <w:tcW w:w="2340" w:type="dxa"/>
            <w:tcMar>
              <w:top w:w="0" w:type="dxa"/>
              <w:left w:w="0" w:type="dxa"/>
              <w:bottom w:w="0" w:type="dxa"/>
              <w:right w:w="0" w:type="dxa"/>
            </w:tcMar>
            <w:vAlign w:val="center"/>
          </w:tcPr>
          <w:p w14:paraId="4D41B1F4"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b/>
                <w:bCs/>
                <w:sz w:val="24"/>
                <w:szCs w:val="24"/>
              </w:rPr>
            </w:pPr>
            <w:r w:rsidRPr="008048E3">
              <w:rPr>
                <w:rFonts w:ascii="Traditional Arabic" w:hAnsi="Traditional Arabic" w:cs="Traditional Arabic"/>
                <w:b/>
                <w:bCs/>
                <w:sz w:val="24"/>
                <w:szCs w:val="24"/>
                <w:rtl/>
              </w:rPr>
              <w:t>الباحث والسنة</w:t>
            </w:r>
          </w:p>
        </w:tc>
        <w:tc>
          <w:tcPr>
            <w:tcW w:w="2340" w:type="dxa"/>
            <w:tcMar>
              <w:top w:w="0" w:type="dxa"/>
              <w:left w:w="0" w:type="dxa"/>
              <w:bottom w:w="0" w:type="dxa"/>
              <w:right w:w="0" w:type="dxa"/>
            </w:tcMar>
            <w:vAlign w:val="center"/>
          </w:tcPr>
          <w:p w14:paraId="6C54C8B6"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b/>
                <w:bCs/>
                <w:sz w:val="24"/>
                <w:szCs w:val="24"/>
              </w:rPr>
            </w:pPr>
            <w:r w:rsidRPr="008048E3">
              <w:rPr>
                <w:rFonts w:ascii="Traditional Arabic" w:hAnsi="Traditional Arabic" w:cs="Traditional Arabic"/>
                <w:b/>
                <w:bCs/>
                <w:sz w:val="24"/>
                <w:szCs w:val="24"/>
                <w:rtl/>
              </w:rPr>
              <w:t>متغيرات الدراسة والسياق التطبيقي</w:t>
            </w:r>
          </w:p>
        </w:tc>
        <w:tc>
          <w:tcPr>
            <w:tcW w:w="2340" w:type="dxa"/>
            <w:tcMar>
              <w:top w:w="0" w:type="dxa"/>
              <w:left w:w="0" w:type="dxa"/>
              <w:bottom w:w="0" w:type="dxa"/>
              <w:right w:w="0" w:type="dxa"/>
            </w:tcMar>
            <w:vAlign w:val="center"/>
          </w:tcPr>
          <w:p w14:paraId="0BA4DD9D"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b/>
                <w:bCs/>
                <w:sz w:val="24"/>
                <w:szCs w:val="24"/>
              </w:rPr>
            </w:pPr>
            <w:r w:rsidRPr="008048E3">
              <w:rPr>
                <w:rFonts w:ascii="Traditional Arabic" w:hAnsi="Traditional Arabic" w:cs="Traditional Arabic"/>
                <w:b/>
                <w:bCs/>
                <w:sz w:val="24"/>
                <w:szCs w:val="24"/>
                <w:rtl/>
              </w:rPr>
              <w:t>أهم النتائج التي تم التوصل إليها</w:t>
            </w:r>
          </w:p>
        </w:tc>
        <w:tc>
          <w:tcPr>
            <w:tcW w:w="2340" w:type="dxa"/>
            <w:tcMar>
              <w:top w:w="0" w:type="dxa"/>
              <w:left w:w="0" w:type="dxa"/>
              <w:bottom w:w="0" w:type="dxa"/>
              <w:right w:w="0" w:type="dxa"/>
            </w:tcMar>
            <w:vAlign w:val="center"/>
          </w:tcPr>
          <w:p w14:paraId="4ED68E4D"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b/>
                <w:bCs/>
                <w:sz w:val="24"/>
                <w:szCs w:val="24"/>
              </w:rPr>
            </w:pPr>
            <w:r w:rsidRPr="008048E3">
              <w:rPr>
                <w:rFonts w:ascii="Traditional Arabic" w:hAnsi="Traditional Arabic" w:cs="Traditional Arabic"/>
                <w:b/>
                <w:bCs/>
                <w:sz w:val="24"/>
                <w:szCs w:val="24"/>
                <w:rtl/>
              </w:rPr>
              <w:t>الفجوة البحثية ومساهمة الدراسة الحالية</w:t>
            </w:r>
          </w:p>
        </w:tc>
      </w:tr>
      <w:tr w:rsidR="008615C2" w:rsidRPr="008048E3" w14:paraId="1C5B6649" w14:textId="77777777" w:rsidTr="00B25B81">
        <w:tc>
          <w:tcPr>
            <w:tcW w:w="2340" w:type="dxa"/>
            <w:tcMar>
              <w:top w:w="0" w:type="dxa"/>
              <w:left w:w="0" w:type="dxa"/>
              <w:bottom w:w="0" w:type="dxa"/>
              <w:right w:w="0" w:type="dxa"/>
            </w:tcMar>
            <w:vAlign w:val="center"/>
          </w:tcPr>
          <w:p w14:paraId="50B215FC"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sz w:val="24"/>
                <w:szCs w:val="24"/>
              </w:rPr>
            </w:pPr>
            <w:r w:rsidRPr="008048E3">
              <w:rPr>
                <w:rFonts w:ascii="Traditional Arabic" w:hAnsi="Traditional Arabic" w:cs="Traditional Arabic"/>
                <w:sz w:val="24"/>
                <w:szCs w:val="24"/>
                <w:rtl/>
              </w:rPr>
              <w:t>السلمان (2024)</w:t>
            </w:r>
          </w:p>
        </w:tc>
        <w:tc>
          <w:tcPr>
            <w:tcW w:w="2340" w:type="dxa"/>
            <w:tcMar>
              <w:top w:w="0" w:type="dxa"/>
              <w:left w:w="0" w:type="dxa"/>
              <w:bottom w:w="0" w:type="dxa"/>
              <w:right w:w="0" w:type="dxa"/>
            </w:tcMar>
            <w:vAlign w:val="center"/>
          </w:tcPr>
          <w:p w14:paraId="5B02425B"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الذكاء الاصطناعي وصنع القرارات الاستراتيجية في الجامعات السعودية.</w:t>
            </w:r>
          </w:p>
        </w:tc>
        <w:tc>
          <w:tcPr>
            <w:tcW w:w="2340" w:type="dxa"/>
            <w:tcMar>
              <w:top w:w="0" w:type="dxa"/>
              <w:left w:w="0" w:type="dxa"/>
              <w:bottom w:w="0" w:type="dxa"/>
              <w:right w:w="0" w:type="dxa"/>
            </w:tcMar>
            <w:vAlign w:val="center"/>
          </w:tcPr>
          <w:p w14:paraId="00B886C9"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تتيح أدوات الذكاء الاصطناعي استشراف التوجهات وصنع قرارات دقيقة وتحسين الأداء المؤسسي.</w:t>
            </w:r>
          </w:p>
        </w:tc>
        <w:tc>
          <w:tcPr>
            <w:tcW w:w="2340" w:type="dxa"/>
            <w:tcMar>
              <w:top w:w="0" w:type="dxa"/>
              <w:left w:w="0" w:type="dxa"/>
              <w:bottom w:w="0" w:type="dxa"/>
              <w:right w:w="0" w:type="dxa"/>
            </w:tcMar>
            <w:vAlign w:val="center"/>
          </w:tcPr>
          <w:p w14:paraId="42178BCF"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اقتصرت على البيئة الأكاديمية وقياس التأثير المباشر، بينما تركز الدراسة الحالية على منظمات القطاع الثالث وتُدخل النضج الرقمي متغيراً وسيطاً.</w:t>
            </w:r>
          </w:p>
        </w:tc>
      </w:tr>
      <w:tr w:rsidR="008615C2" w:rsidRPr="008048E3" w14:paraId="3DDED36D" w14:textId="77777777" w:rsidTr="00B25B81">
        <w:tc>
          <w:tcPr>
            <w:tcW w:w="2340" w:type="dxa"/>
            <w:tcMar>
              <w:top w:w="0" w:type="dxa"/>
              <w:left w:w="0" w:type="dxa"/>
              <w:bottom w:w="0" w:type="dxa"/>
              <w:right w:w="0" w:type="dxa"/>
            </w:tcMar>
            <w:vAlign w:val="center"/>
          </w:tcPr>
          <w:p w14:paraId="796FB48A"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sz w:val="24"/>
                <w:szCs w:val="24"/>
              </w:rPr>
            </w:pPr>
            <w:r w:rsidRPr="008048E3">
              <w:rPr>
                <w:rFonts w:ascii="Traditional Arabic" w:hAnsi="Traditional Arabic" w:cs="Traditional Arabic"/>
                <w:sz w:val="24"/>
                <w:szCs w:val="24"/>
                <w:rtl/>
              </w:rPr>
              <w:t>آل عزام وابن ظفرة (2023)</w:t>
            </w:r>
          </w:p>
        </w:tc>
        <w:tc>
          <w:tcPr>
            <w:tcW w:w="2340" w:type="dxa"/>
            <w:tcMar>
              <w:top w:w="0" w:type="dxa"/>
              <w:left w:w="0" w:type="dxa"/>
              <w:bottom w:w="0" w:type="dxa"/>
              <w:right w:w="0" w:type="dxa"/>
            </w:tcMar>
            <w:vAlign w:val="center"/>
          </w:tcPr>
          <w:p w14:paraId="4D6E10E9"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أثر تطبيق الذكاء الاصطناعي على جودة اتخاذ القرارات في إمارة منطقة عسير.</w:t>
            </w:r>
          </w:p>
        </w:tc>
        <w:tc>
          <w:tcPr>
            <w:tcW w:w="2340" w:type="dxa"/>
            <w:tcMar>
              <w:top w:w="0" w:type="dxa"/>
              <w:left w:w="0" w:type="dxa"/>
              <w:bottom w:w="0" w:type="dxa"/>
              <w:right w:w="0" w:type="dxa"/>
            </w:tcMar>
            <w:vAlign w:val="center"/>
          </w:tcPr>
          <w:p w14:paraId="128BA160"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وجود أثر إيجابي مباشر لتطبيقات الذكاء الاصطناعي في جودة القرارات وسرعتها وفاعليتها الميدانية.</w:t>
            </w:r>
          </w:p>
        </w:tc>
        <w:tc>
          <w:tcPr>
            <w:tcW w:w="2340" w:type="dxa"/>
            <w:tcMar>
              <w:top w:w="0" w:type="dxa"/>
              <w:left w:w="0" w:type="dxa"/>
              <w:bottom w:w="0" w:type="dxa"/>
              <w:right w:w="0" w:type="dxa"/>
            </w:tcMar>
            <w:vAlign w:val="center"/>
          </w:tcPr>
          <w:p w14:paraId="11BA947A"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 xml:space="preserve">ركزت على البيئة الحكومية المحلية وإجراءات الإدارة الإقليمية، بينما تركز الدراسة الحالية على منظمات القطاع </w:t>
            </w:r>
            <w:r w:rsidRPr="008048E3">
              <w:rPr>
                <w:rFonts w:ascii="Traditional Arabic" w:hAnsi="Traditional Arabic" w:cs="Traditional Arabic"/>
                <w:sz w:val="24"/>
                <w:szCs w:val="24"/>
                <w:rtl/>
              </w:rPr>
              <w:lastRenderedPageBreak/>
              <w:t>غير الربحي التنموية.</w:t>
            </w:r>
          </w:p>
        </w:tc>
      </w:tr>
      <w:tr w:rsidR="008615C2" w:rsidRPr="008048E3" w14:paraId="7ABDCE59" w14:textId="77777777" w:rsidTr="00B25B81">
        <w:tc>
          <w:tcPr>
            <w:tcW w:w="2340" w:type="dxa"/>
            <w:tcMar>
              <w:top w:w="0" w:type="dxa"/>
              <w:left w:w="0" w:type="dxa"/>
              <w:bottom w:w="0" w:type="dxa"/>
              <w:right w:w="0" w:type="dxa"/>
            </w:tcMar>
            <w:vAlign w:val="center"/>
          </w:tcPr>
          <w:p w14:paraId="2861E4E6"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sz w:val="24"/>
                <w:szCs w:val="24"/>
              </w:rPr>
            </w:pPr>
            <w:r w:rsidRPr="008048E3">
              <w:rPr>
                <w:rFonts w:ascii="Traditional Arabic" w:hAnsi="Traditional Arabic" w:cs="Traditional Arabic"/>
                <w:sz w:val="24"/>
                <w:szCs w:val="24"/>
                <w:rtl/>
              </w:rPr>
              <w:lastRenderedPageBreak/>
              <w:t>مكرمي وآخرون (2023)</w:t>
            </w:r>
          </w:p>
        </w:tc>
        <w:tc>
          <w:tcPr>
            <w:tcW w:w="2340" w:type="dxa"/>
            <w:tcMar>
              <w:top w:w="0" w:type="dxa"/>
              <w:left w:w="0" w:type="dxa"/>
              <w:bottom w:w="0" w:type="dxa"/>
              <w:right w:w="0" w:type="dxa"/>
            </w:tcMar>
            <w:vAlign w:val="center"/>
          </w:tcPr>
          <w:p w14:paraId="4E971F66"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أثر الذكاء الاصطناعي على جودة اتخاذ القرار في المستشفيات الحكومية السعودية.</w:t>
            </w:r>
          </w:p>
        </w:tc>
        <w:tc>
          <w:tcPr>
            <w:tcW w:w="2340" w:type="dxa"/>
            <w:tcMar>
              <w:top w:w="0" w:type="dxa"/>
              <w:left w:w="0" w:type="dxa"/>
              <w:bottom w:w="0" w:type="dxa"/>
              <w:right w:w="0" w:type="dxa"/>
            </w:tcMar>
            <w:vAlign w:val="center"/>
          </w:tcPr>
          <w:p w14:paraId="169C6FB6"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وجود نتائج إيجابية ملموسة في سرعة القرارات شريطة توفر الجاهزية التنظيمية.</w:t>
            </w:r>
          </w:p>
        </w:tc>
        <w:tc>
          <w:tcPr>
            <w:tcW w:w="2340" w:type="dxa"/>
            <w:tcMar>
              <w:top w:w="0" w:type="dxa"/>
              <w:left w:w="0" w:type="dxa"/>
              <w:bottom w:w="0" w:type="dxa"/>
              <w:right w:w="0" w:type="dxa"/>
            </w:tcMar>
            <w:vAlign w:val="center"/>
          </w:tcPr>
          <w:p w14:paraId="0A7662ED"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ركزت على الرعاية الصحية والقرارات الطبية، بينما تركز الدراسة الحالية على القرارات الإدارية بالجمعيات الأهلية.</w:t>
            </w:r>
          </w:p>
        </w:tc>
      </w:tr>
      <w:tr w:rsidR="008615C2" w:rsidRPr="008048E3" w14:paraId="04080153" w14:textId="77777777" w:rsidTr="00B25B81">
        <w:tc>
          <w:tcPr>
            <w:tcW w:w="2340" w:type="dxa"/>
            <w:tcMar>
              <w:top w:w="0" w:type="dxa"/>
              <w:left w:w="0" w:type="dxa"/>
              <w:bottom w:w="0" w:type="dxa"/>
              <w:right w:w="0" w:type="dxa"/>
            </w:tcMar>
            <w:vAlign w:val="center"/>
          </w:tcPr>
          <w:p w14:paraId="5EA22BA2"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sz w:val="24"/>
                <w:szCs w:val="24"/>
              </w:rPr>
            </w:pPr>
            <w:r w:rsidRPr="008048E3">
              <w:rPr>
                <w:rFonts w:ascii="Traditional Arabic" w:hAnsi="Traditional Arabic" w:cs="Traditional Arabic"/>
                <w:sz w:val="24"/>
                <w:szCs w:val="24"/>
              </w:rPr>
              <w:t>Tubis (2023)</w:t>
            </w:r>
          </w:p>
        </w:tc>
        <w:tc>
          <w:tcPr>
            <w:tcW w:w="2340" w:type="dxa"/>
            <w:tcMar>
              <w:top w:w="0" w:type="dxa"/>
              <w:left w:w="0" w:type="dxa"/>
              <w:bottom w:w="0" w:type="dxa"/>
              <w:right w:w="0" w:type="dxa"/>
            </w:tcMar>
            <w:vAlign w:val="center"/>
          </w:tcPr>
          <w:p w14:paraId="0E70D712"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بناء نموذج لتقييم النضج الرقمي التنظيمي والعملياتي.</w:t>
            </w:r>
          </w:p>
        </w:tc>
        <w:tc>
          <w:tcPr>
            <w:tcW w:w="2340" w:type="dxa"/>
            <w:tcMar>
              <w:top w:w="0" w:type="dxa"/>
              <w:left w:w="0" w:type="dxa"/>
              <w:bottom w:w="0" w:type="dxa"/>
              <w:right w:w="0" w:type="dxa"/>
            </w:tcMar>
            <w:vAlign w:val="center"/>
          </w:tcPr>
          <w:p w14:paraId="19F792A0"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الثقافة الرقمية والالتزام بحوكمة واضحة هما الأقدر على دعم استكمال التحول الرقمي.</w:t>
            </w:r>
          </w:p>
        </w:tc>
        <w:tc>
          <w:tcPr>
            <w:tcW w:w="2340" w:type="dxa"/>
            <w:tcMar>
              <w:top w:w="0" w:type="dxa"/>
              <w:left w:w="0" w:type="dxa"/>
              <w:bottom w:w="0" w:type="dxa"/>
              <w:right w:w="0" w:type="dxa"/>
            </w:tcMar>
            <w:vAlign w:val="center"/>
          </w:tcPr>
          <w:p w14:paraId="49C0C9BC"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ركزت على البناء الوصفي لنموذج عام، بينما تختبر الدراسة الحالية النضج الرقمي وسيطاً في نموذج هيكلي كمي مركب.</w:t>
            </w:r>
          </w:p>
        </w:tc>
      </w:tr>
      <w:tr w:rsidR="008615C2" w:rsidRPr="008048E3" w14:paraId="6971C720" w14:textId="77777777" w:rsidTr="00B25B81">
        <w:tc>
          <w:tcPr>
            <w:tcW w:w="2340" w:type="dxa"/>
            <w:tcMar>
              <w:top w:w="0" w:type="dxa"/>
              <w:left w:w="0" w:type="dxa"/>
              <w:bottom w:w="0" w:type="dxa"/>
              <w:right w:w="0" w:type="dxa"/>
            </w:tcMar>
            <w:vAlign w:val="center"/>
          </w:tcPr>
          <w:p w14:paraId="42278054"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sz w:val="24"/>
                <w:szCs w:val="24"/>
              </w:rPr>
            </w:pPr>
            <w:proofErr w:type="spellStart"/>
            <w:r w:rsidRPr="008048E3">
              <w:rPr>
                <w:rFonts w:ascii="Traditional Arabic" w:hAnsi="Traditional Arabic" w:cs="Traditional Arabic"/>
                <w:sz w:val="24"/>
                <w:szCs w:val="24"/>
              </w:rPr>
              <w:t>Nijhum</w:t>
            </w:r>
            <w:proofErr w:type="spellEnd"/>
            <w:r w:rsidRPr="008048E3">
              <w:rPr>
                <w:rFonts w:ascii="Traditional Arabic" w:hAnsi="Traditional Arabic" w:cs="Traditional Arabic"/>
                <w:sz w:val="24"/>
                <w:szCs w:val="24"/>
              </w:rPr>
              <w:t xml:space="preserve"> (2025)</w:t>
            </w:r>
          </w:p>
        </w:tc>
        <w:tc>
          <w:tcPr>
            <w:tcW w:w="2340" w:type="dxa"/>
            <w:tcMar>
              <w:top w:w="0" w:type="dxa"/>
              <w:left w:w="0" w:type="dxa"/>
              <w:bottom w:w="0" w:type="dxa"/>
              <w:right w:w="0" w:type="dxa"/>
            </w:tcMar>
            <w:vAlign w:val="center"/>
          </w:tcPr>
          <w:p w14:paraId="0072F2AE"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تأثير الذكاء الاصطناعي والنضج الرقمي على كفاءة القرارات في الشركات الدولية.</w:t>
            </w:r>
          </w:p>
        </w:tc>
        <w:tc>
          <w:tcPr>
            <w:tcW w:w="2340" w:type="dxa"/>
            <w:tcMar>
              <w:top w:w="0" w:type="dxa"/>
              <w:left w:w="0" w:type="dxa"/>
              <w:bottom w:w="0" w:type="dxa"/>
              <w:right w:w="0" w:type="dxa"/>
            </w:tcMar>
            <w:vAlign w:val="center"/>
          </w:tcPr>
          <w:p w14:paraId="54D4C0B8"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النضج الرقمي يمثل المحرك الأساسي الذي يعزز مسار العلاقة ويعدّله بقوة.</w:t>
            </w:r>
          </w:p>
        </w:tc>
        <w:tc>
          <w:tcPr>
            <w:tcW w:w="2340" w:type="dxa"/>
            <w:tcMar>
              <w:top w:w="0" w:type="dxa"/>
              <w:left w:w="0" w:type="dxa"/>
              <w:bottom w:w="0" w:type="dxa"/>
              <w:right w:w="0" w:type="dxa"/>
            </w:tcMar>
            <w:vAlign w:val="center"/>
          </w:tcPr>
          <w:p w14:paraId="00F245F0"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طُبّقت على منظمات ربحية تسعى لتعظيم الأرباح، بينما تختبر الدراسة الحالية النموذج في منظمات تسعى لتعظيم الأثر الاجتماعي بموارد محدودة.</w:t>
            </w:r>
          </w:p>
        </w:tc>
      </w:tr>
      <w:tr w:rsidR="008615C2" w:rsidRPr="008048E3" w14:paraId="76BD7518" w14:textId="77777777" w:rsidTr="00B25B81">
        <w:tc>
          <w:tcPr>
            <w:tcW w:w="2340" w:type="dxa"/>
            <w:tcMar>
              <w:top w:w="0" w:type="dxa"/>
              <w:left w:w="0" w:type="dxa"/>
              <w:bottom w:w="0" w:type="dxa"/>
              <w:right w:w="0" w:type="dxa"/>
            </w:tcMar>
            <w:vAlign w:val="center"/>
          </w:tcPr>
          <w:p w14:paraId="4CF106A5"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sz w:val="24"/>
                <w:szCs w:val="24"/>
              </w:rPr>
            </w:pPr>
            <w:r w:rsidRPr="008048E3">
              <w:rPr>
                <w:rFonts w:ascii="Traditional Arabic" w:hAnsi="Traditional Arabic" w:cs="Traditional Arabic"/>
                <w:sz w:val="24"/>
                <w:szCs w:val="24"/>
                <w:rtl/>
              </w:rPr>
              <w:t>أبو غبن والمدهون (2023)</w:t>
            </w:r>
          </w:p>
        </w:tc>
        <w:tc>
          <w:tcPr>
            <w:tcW w:w="2340" w:type="dxa"/>
            <w:tcMar>
              <w:top w:w="0" w:type="dxa"/>
              <w:left w:w="0" w:type="dxa"/>
              <w:bottom w:w="0" w:type="dxa"/>
              <w:right w:w="0" w:type="dxa"/>
            </w:tcMar>
            <w:vAlign w:val="center"/>
          </w:tcPr>
          <w:p w14:paraId="5598BC16"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دور التحول الرقمي في تحقيق التميز المؤسسي بالتطبيق على العاملين في بلدية غزة.</w:t>
            </w:r>
          </w:p>
        </w:tc>
        <w:tc>
          <w:tcPr>
            <w:tcW w:w="2340" w:type="dxa"/>
            <w:tcMar>
              <w:top w:w="0" w:type="dxa"/>
              <w:left w:w="0" w:type="dxa"/>
              <w:bottom w:w="0" w:type="dxa"/>
              <w:right w:w="0" w:type="dxa"/>
            </w:tcMar>
            <w:vAlign w:val="center"/>
          </w:tcPr>
          <w:p w14:paraId="5F747128"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التحول الرقمي يسهم بفاعلية في رفع جودة الأداء المؤسسي وتقليل التكاليف.</w:t>
            </w:r>
          </w:p>
        </w:tc>
        <w:tc>
          <w:tcPr>
            <w:tcW w:w="2340" w:type="dxa"/>
            <w:tcMar>
              <w:top w:w="0" w:type="dxa"/>
              <w:left w:w="0" w:type="dxa"/>
              <w:bottom w:w="0" w:type="dxa"/>
              <w:right w:w="0" w:type="dxa"/>
            </w:tcMar>
            <w:vAlign w:val="center"/>
          </w:tcPr>
          <w:p w14:paraId="1125EB38"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sidRPr="008048E3">
              <w:rPr>
                <w:rFonts w:ascii="Traditional Arabic" w:hAnsi="Traditional Arabic" w:cs="Traditional Arabic"/>
                <w:sz w:val="24"/>
                <w:szCs w:val="24"/>
                <w:rtl/>
              </w:rPr>
              <w:t>ركزت على الخدمات البلدية المحلية، بينما تبحث الدراسة الحالية في جودة القرار الإداري للجمعيات الأهلية لضمان الاستدامة المالية والتنموية.</w:t>
            </w:r>
          </w:p>
        </w:tc>
      </w:tr>
    </w:tbl>
    <w:p w14:paraId="2D9D5B6E" w14:textId="77777777" w:rsidR="00D02E54" w:rsidRPr="005F5C76" w:rsidRDefault="00D02E54" w:rsidP="00A109ED">
      <w:pPr>
        <w:pBdr>
          <w:top w:val="nil"/>
          <w:left w:val="nil"/>
          <w:bottom w:val="nil"/>
          <w:right w:val="nil"/>
          <w:between w:val="nil"/>
        </w:pBdr>
        <w:bidi/>
        <w:spacing w:line="360" w:lineRule="auto"/>
        <w:jc w:val="both"/>
        <w:rPr>
          <w:rFonts w:ascii="Traditional Arabic" w:hAnsi="Traditional Arabic" w:cs="Traditional Arabic"/>
          <w:rtl/>
        </w:rPr>
      </w:pPr>
    </w:p>
    <w:p w14:paraId="5D420AEF" w14:textId="2EF950CC"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sidRPr="005F5C76">
        <w:rPr>
          <w:rFonts w:ascii="Traditional Arabic" w:hAnsi="Traditional Arabic" w:cs="Traditional Arabic"/>
          <w:sz w:val="24"/>
          <w:szCs w:val="24"/>
          <w:rtl/>
        </w:rPr>
        <w:t>يتضح من تحليل الأدبيات وجود فجوة معرفية وميدانية واضحة؛ إذ انصبت غالبية الدراسات على القطاعات الربحية أو الحكومية أو الصحية، واكتفت بقياس العلاقات المباشرة دون استكشاف دور الوسيط. وتتميز هذه الدراسة بسدّ هذه الفجوة من خلال تسليط الضوء حصرياً على الجمعيات والمؤسسات الأهلية السعودية الخاضعة لإشراف المركز الوطني لتنمية القطاع غير الربحي، مع اختبار النضج الرقمي متغيراً وسيطاً يفسّر ميكانيكية تأثير تبني الذكاء الاصطناعي في جودة القرار الإداري، وهو مسار نمذجة هيكلية متقدم لم ينل الاهتمامَ الكافي في البيئة العربية عموماً والسعودية على وجه الخصوص.</w:t>
      </w:r>
    </w:p>
    <w:p w14:paraId="49AA5E59" w14:textId="77777777" w:rsidR="008615C2"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sidRPr="005F5C76">
        <w:rPr>
          <w:rFonts w:ascii="Traditional Arabic" w:hAnsi="Traditional Arabic" w:cs="Traditional Arabic"/>
          <w:sz w:val="24"/>
          <w:szCs w:val="24"/>
          <w:rtl/>
        </w:rPr>
        <w:t>بناءً على ما تقدّم، تتحدد مشكلة الدراسة في الإجابة عن التساؤل الرئيس الآتي: "ما هو الدور الوسيط للنضج الرقمي في تأثير تبني الذكاء الاصطناعي على جودة القرار الإداري في منظمات القطاع غير الربحي السعودي؟"</w:t>
      </w:r>
    </w:p>
    <w:p w14:paraId="65E2B362" w14:textId="77777777" w:rsidR="00A109ED" w:rsidRPr="005F5C76" w:rsidRDefault="00A109ED" w:rsidP="00A109ED">
      <w:pPr>
        <w:pBdr>
          <w:top w:val="nil"/>
          <w:left w:val="nil"/>
          <w:bottom w:val="nil"/>
          <w:right w:val="nil"/>
          <w:between w:val="nil"/>
        </w:pBdr>
        <w:bidi/>
        <w:spacing w:line="360" w:lineRule="auto"/>
        <w:jc w:val="both"/>
        <w:rPr>
          <w:rFonts w:ascii="Traditional Arabic" w:hAnsi="Traditional Arabic" w:cs="Traditional Arabic"/>
          <w:sz w:val="24"/>
          <w:szCs w:val="24"/>
        </w:rPr>
      </w:pPr>
    </w:p>
    <w:p w14:paraId="27F248E9"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b/>
          <w:bCs/>
          <w:sz w:val="28"/>
          <w:szCs w:val="28"/>
        </w:rPr>
      </w:pPr>
      <w:r w:rsidRPr="005F5C76">
        <w:rPr>
          <w:rFonts w:ascii="Traditional Arabic" w:hAnsi="Traditional Arabic" w:cs="Traditional Arabic"/>
          <w:b/>
          <w:bCs/>
          <w:sz w:val="28"/>
          <w:szCs w:val="28"/>
          <w:rtl/>
        </w:rPr>
        <w:t>ويتفرع من هذا التساؤل المحوري التساؤلات الفرعية الآتية:</w:t>
      </w:r>
    </w:p>
    <w:p w14:paraId="14E3DE8D" w14:textId="77777777" w:rsidR="008615C2" w:rsidRPr="005F5C76" w:rsidRDefault="00000000" w:rsidP="00A109ED">
      <w:pPr>
        <w:numPr>
          <w:ilvl w:val="0"/>
          <w:numId w:val="1"/>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ما هو مستوى جودة القرار الإداري لدى القيادات في منظمات القطاع غير الربحي السعودي؟</w:t>
      </w:r>
    </w:p>
    <w:p w14:paraId="04DD7AC7" w14:textId="77777777" w:rsidR="008615C2" w:rsidRPr="005F5C76" w:rsidRDefault="00000000" w:rsidP="00A109ED">
      <w:pPr>
        <w:numPr>
          <w:ilvl w:val="0"/>
          <w:numId w:val="1"/>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ما هو مستوى تبني تقنيات الذكاء الاصطناعي بأبعادها المختلفة (الاستراتيجية، الحوكمة، البيانات، البنية التحتية) في هذه المنظمات من وجهة نظر قياداتها الإدارية؟</w:t>
      </w:r>
    </w:p>
    <w:p w14:paraId="3FBBD692" w14:textId="77777777" w:rsidR="008615C2" w:rsidRPr="005F5C76" w:rsidRDefault="00000000" w:rsidP="00A109ED">
      <w:pPr>
        <w:numPr>
          <w:ilvl w:val="0"/>
          <w:numId w:val="1"/>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lastRenderedPageBreak/>
        <w:t>ما هو مستوى النضج الرقمي التنظيمي بأبعاده (التكنولوجيا، الثقافة التنظيمية، العمليات، الرؤى) في منظمات القطاع غير الربحي السعودي؟</w:t>
      </w:r>
    </w:p>
    <w:p w14:paraId="2423744F" w14:textId="77777777" w:rsidR="008615C2" w:rsidRPr="005F5C76" w:rsidRDefault="00000000" w:rsidP="00A109ED">
      <w:pPr>
        <w:numPr>
          <w:ilvl w:val="0"/>
          <w:numId w:val="1"/>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هل يوجد تأثير مباشر ذو دلالة إحصائية لتبني الذكاء الاصطناعي على جودة القرار الإداري؟</w:t>
      </w:r>
    </w:p>
    <w:p w14:paraId="7F31C94C" w14:textId="77777777" w:rsidR="008615C2" w:rsidRPr="005F5C76" w:rsidRDefault="00000000" w:rsidP="00A109ED">
      <w:pPr>
        <w:numPr>
          <w:ilvl w:val="0"/>
          <w:numId w:val="1"/>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هل يوجد تأثير مباشر ذو دلالة إحصائية لتبني الذكاء الاصطناعي على مستويات النضج الرقمي؟</w:t>
      </w:r>
    </w:p>
    <w:p w14:paraId="34045734" w14:textId="77777777" w:rsidR="008615C2" w:rsidRPr="005F5C76" w:rsidRDefault="00000000" w:rsidP="00A109ED">
      <w:pPr>
        <w:numPr>
          <w:ilvl w:val="0"/>
          <w:numId w:val="1"/>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هل يوجد تأثير مباشر ذو دلالة إحصائية للنضج الرقمي على جودة القرار الإداري؟</w:t>
      </w:r>
    </w:p>
    <w:p w14:paraId="259243A1" w14:textId="77777777" w:rsidR="008615C2" w:rsidRDefault="00000000" w:rsidP="00A109ED">
      <w:pPr>
        <w:numPr>
          <w:ilvl w:val="0"/>
          <w:numId w:val="1"/>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هل يتوسط النضج الرقمي العلاقةَ بشكل دال إحصائياً بين مستوى تبني الذكاء الاصطناعي وجودة القرار الإداري في منظمات القطاع غير الربحي السعودي؟</w:t>
      </w:r>
    </w:p>
    <w:p w14:paraId="7809B49C" w14:textId="77777777" w:rsidR="00A109ED" w:rsidRPr="005F5C76" w:rsidRDefault="00A109ED" w:rsidP="00A109ED">
      <w:pPr>
        <w:pBdr>
          <w:top w:val="nil"/>
          <w:left w:val="nil"/>
          <w:bottom w:val="nil"/>
          <w:right w:val="nil"/>
          <w:between w:val="nil"/>
        </w:pBdr>
        <w:bidi/>
        <w:spacing w:line="360" w:lineRule="auto"/>
        <w:ind w:left="600"/>
        <w:jc w:val="both"/>
        <w:rPr>
          <w:rFonts w:ascii="Traditional Arabic" w:hAnsi="Traditional Arabic" w:cs="Traditional Arabic"/>
          <w:sz w:val="24"/>
          <w:szCs w:val="24"/>
        </w:rPr>
      </w:pPr>
    </w:p>
    <w:p w14:paraId="773933E1" w14:textId="04C14BF5" w:rsidR="008615C2" w:rsidRPr="005F5C76" w:rsidRDefault="00000000" w:rsidP="00A109ED">
      <w:pPr>
        <w:pStyle w:val="2"/>
        <w:bidi/>
        <w:spacing w:before="0" w:after="0" w:line="360" w:lineRule="auto"/>
        <w:jc w:val="both"/>
        <w:rPr>
          <w:rFonts w:ascii="Traditional Arabic" w:hAnsi="Traditional Arabic" w:cs="Traditional Arabic"/>
          <w:sz w:val="32"/>
          <w:szCs w:val="32"/>
        </w:rPr>
      </w:pPr>
      <w:r w:rsidRPr="005F5C76">
        <w:rPr>
          <w:rFonts w:ascii="Traditional Arabic" w:hAnsi="Traditional Arabic" w:cs="Traditional Arabic"/>
          <w:sz w:val="32"/>
          <w:szCs w:val="32"/>
          <w:rtl/>
        </w:rPr>
        <w:t>أهداف الدراسة</w:t>
      </w:r>
    </w:p>
    <w:p w14:paraId="68882803"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b/>
          <w:bCs/>
          <w:sz w:val="28"/>
          <w:szCs w:val="28"/>
        </w:rPr>
      </w:pPr>
      <w:r w:rsidRPr="005F5C76">
        <w:rPr>
          <w:rFonts w:ascii="Traditional Arabic" w:hAnsi="Traditional Arabic" w:cs="Traditional Arabic"/>
          <w:b/>
          <w:bCs/>
          <w:sz w:val="28"/>
          <w:szCs w:val="28"/>
          <w:rtl/>
        </w:rPr>
        <w:t>تسعى الدراسة الحالية عبر مرحلتها الميدانية والتحليلية إلى تحقيق الأهداف المنهجية الآتية:</w:t>
      </w:r>
    </w:p>
    <w:p w14:paraId="4A73DCDF" w14:textId="77777777" w:rsidR="008615C2" w:rsidRPr="005F5C76" w:rsidRDefault="00000000" w:rsidP="00A109ED">
      <w:pPr>
        <w:numPr>
          <w:ilvl w:val="0"/>
          <w:numId w:val="4"/>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قياس وتحليل مستوى جودة القرارات الإدارية المتخذة من قِبَل القيادات الإدارية في المنظمات غير الربحية السعودية عبر أبعادها الأربعة (العقلانية، التوقيت، الدقة، الكفاءة)، ومقارنتها بالمعايير القياسية والمؤشرات المعتمدة لدى المركز الوطني لتنمية القطاع غير الربحي لعام 2024.</w:t>
      </w:r>
    </w:p>
    <w:p w14:paraId="59ED326C" w14:textId="77777777" w:rsidR="008615C2" w:rsidRPr="005F5C76" w:rsidRDefault="00000000" w:rsidP="00A109ED">
      <w:pPr>
        <w:numPr>
          <w:ilvl w:val="0"/>
          <w:numId w:val="4"/>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قياس وتشخيص مستوى تبني الذكاء الاصطناعي في المنظمات غير الربحية المستهدفة وفق الأبعاد التنظيمية الأربعة لإطار </w:t>
      </w:r>
      <w:proofErr w:type="spellStart"/>
      <w:r w:rsidRPr="005F5C76">
        <w:rPr>
          <w:rFonts w:ascii="Traditional Arabic" w:hAnsi="Traditional Arabic" w:cs="Traditional Arabic"/>
          <w:sz w:val="24"/>
          <w:szCs w:val="24"/>
          <w:rtl/>
        </w:rPr>
        <w:t>سدايا</w:t>
      </w:r>
      <w:proofErr w:type="spellEnd"/>
      <w:r w:rsidRPr="005F5C76">
        <w:rPr>
          <w:rFonts w:ascii="Traditional Arabic" w:hAnsi="Traditional Arabic" w:cs="Traditional Arabic"/>
          <w:sz w:val="24"/>
          <w:szCs w:val="24"/>
          <w:rtl/>
        </w:rPr>
        <w:t xml:space="preserve"> (الاستراتيجية، الحوكمة، البيانات، البنية التحتية) بدقة علمية ملموسة.</w:t>
      </w:r>
    </w:p>
    <w:p w14:paraId="7BB44A26" w14:textId="77777777" w:rsidR="008615C2" w:rsidRPr="005F5C76" w:rsidRDefault="00000000" w:rsidP="00A109ED">
      <w:pPr>
        <w:numPr>
          <w:ilvl w:val="0"/>
          <w:numId w:val="4"/>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تقييم وتصنيف درجة النضج الرقمي المتوفرة حالياً في منظمات القطاع الثالث السعودي وفق أبعاد نموذج نت هوب (التكنولوجيا، الثقافة التنظيمية، العمليات، الرؤى) لوصف الفجوة التقنية القائمة.</w:t>
      </w:r>
    </w:p>
    <w:p w14:paraId="4E8D89BE" w14:textId="77777777" w:rsidR="008615C2" w:rsidRPr="005F5C76" w:rsidRDefault="00000000" w:rsidP="00A109ED">
      <w:pPr>
        <w:numPr>
          <w:ilvl w:val="0"/>
          <w:numId w:val="4"/>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اختبار حجم التأثير والدلالة الإحصائية والعملية للمسار المباشر للمتغير المستقل (تبني الذكاء الاصطناعي) في المتغير التابع (جودة القرار الإداري) باستخدام نمذجة المعادلات البنائية بالمسارات الصغرى الجزئية (</w:t>
      </w:r>
      <w:r w:rsidRPr="005F5C76">
        <w:rPr>
          <w:rFonts w:ascii="Traditional Arabic" w:hAnsi="Traditional Arabic" w:cs="Traditional Arabic"/>
          <w:sz w:val="24"/>
          <w:szCs w:val="24"/>
        </w:rPr>
        <w:t>PLS-SEM</w:t>
      </w:r>
      <w:r w:rsidRPr="005F5C76">
        <w:rPr>
          <w:rFonts w:ascii="Traditional Arabic" w:hAnsi="Traditional Arabic" w:cs="Traditional Arabic"/>
          <w:sz w:val="24"/>
          <w:szCs w:val="24"/>
          <w:rtl/>
        </w:rPr>
        <w:t>).</w:t>
      </w:r>
    </w:p>
    <w:p w14:paraId="26EA141E" w14:textId="574C9537" w:rsidR="008615C2" w:rsidRPr="005F5C76" w:rsidRDefault="00000000" w:rsidP="00A109ED">
      <w:pPr>
        <w:numPr>
          <w:ilvl w:val="0"/>
          <w:numId w:val="4"/>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تحليل واختبار فرضية التوسط الإحصائي للنضج الرقمي في العلاقة بين تبني الذكاء الاصطناعي وجودة القرار الإداري، وتحديد طبيعة هذا التوسط (جزئي أم كلي) كبدائل اختبارية من خلال أسلوب الـ </w:t>
      </w:r>
      <w:r w:rsidRPr="005F5C76">
        <w:rPr>
          <w:rFonts w:ascii="Traditional Arabic" w:hAnsi="Traditional Arabic" w:cs="Traditional Arabic"/>
          <w:sz w:val="24"/>
          <w:szCs w:val="24"/>
        </w:rPr>
        <w:t>Bootstrapping</w:t>
      </w:r>
      <w:r w:rsidRPr="005F5C76">
        <w:rPr>
          <w:rFonts w:ascii="Traditional Arabic" w:hAnsi="Traditional Arabic" w:cs="Traditional Arabic"/>
          <w:sz w:val="24"/>
          <w:szCs w:val="24"/>
          <w:rtl/>
        </w:rPr>
        <w:t xml:space="preserve"> في برنامج </w:t>
      </w:r>
      <w:proofErr w:type="spellStart"/>
      <w:r w:rsidRPr="005F5C76">
        <w:rPr>
          <w:rFonts w:ascii="Traditional Arabic" w:hAnsi="Traditional Arabic" w:cs="Traditional Arabic"/>
          <w:sz w:val="24"/>
          <w:szCs w:val="24"/>
        </w:rPr>
        <w:t>SmartPLS</w:t>
      </w:r>
      <w:proofErr w:type="spellEnd"/>
      <w:r w:rsidRPr="005F5C76">
        <w:rPr>
          <w:rFonts w:ascii="Traditional Arabic" w:hAnsi="Traditional Arabic" w:cs="Traditional Arabic"/>
          <w:sz w:val="24"/>
          <w:szCs w:val="24"/>
          <w:rtl/>
        </w:rPr>
        <w:t>.</w:t>
      </w:r>
    </w:p>
    <w:p w14:paraId="7D12916B" w14:textId="77777777" w:rsidR="008615C2" w:rsidRPr="005F5C76" w:rsidRDefault="00000000" w:rsidP="00A109ED">
      <w:pPr>
        <w:numPr>
          <w:ilvl w:val="0"/>
          <w:numId w:val="4"/>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تقديم استراتيجية مقترحة وخريطة طريق عملية مبنية على الأدلة الميدانية لتمكين الجمعيات والمؤسسات الأهلية والجهات الإشرافية في المملكة من تعظيم العوائد التنموية والأثر الاجتماعي المترتب على التحول الرقمي الذكي والمسؤول والممتثل للوائح المنظمة.</w:t>
      </w:r>
    </w:p>
    <w:p w14:paraId="485EB351" w14:textId="77777777" w:rsidR="009422C8" w:rsidRPr="005F5C76" w:rsidRDefault="009422C8" w:rsidP="00A109ED">
      <w:pPr>
        <w:pStyle w:val="2"/>
        <w:bidi/>
        <w:spacing w:before="0" w:after="0" w:line="360" w:lineRule="auto"/>
        <w:jc w:val="both"/>
        <w:rPr>
          <w:rFonts w:ascii="Traditional Arabic" w:hAnsi="Traditional Arabic" w:cs="Traditional Arabic"/>
          <w:b w:val="0"/>
          <w:bCs w:val="0"/>
          <w:rtl/>
        </w:rPr>
      </w:pPr>
    </w:p>
    <w:p w14:paraId="4C61C3DC" w14:textId="34B2BF39" w:rsidR="008615C2" w:rsidRPr="005F5C76" w:rsidRDefault="00000000" w:rsidP="00A109ED">
      <w:pPr>
        <w:pStyle w:val="2"/>
        <w:bidi/>
        <w:spacing w:before="0" w:after="0" w:line="360" w:lineRule="auto"/>
        <w:jc w:val="both"/>
        <w:rPr>
          <w:rFonts w:ascii="Traditional Arabic" w:hAnsi="Traditional Arabic" w:cs="Traditional Arabic"/>
          <w:sz w:val="32"/>
          <w:szCs w:val="32"/>
        </w:rPr>
      </w:pPr>
      <w:r w:rsidRPr="005F5C76">
        <w:rPr>
          <w:rFonts w:ascii="Traditional Arabic" w:hAnsi="Traditional Arabic" w:cs="Traditional Arabic"/>
          <w:sz w:val="32"/>
          <w:szCs w:val="32"/>
          <w:rtl/>
        </w:rPr>
        <w:t>فرضيات الدراسة</w:t>
      </w:r>
    </w:p>
    <w:p w14:paraId="5DA3B0DA" w14:textId="1320567C"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sidRPr="005F5C76">
        <w:rPr>
          <w:rFonts w:ascii="Traditional Arabic" w:hAnsi="Traditional Arabic" w:cs="Traditional Arabic"/>
          <w:sz w:val="24"/>
          <w:szCs w:val="24"/>
          <w:rtl/>
        </w:rPr>
        <w:lastRenderedPageBreak/>
        <w:t>استناداً لمراجعة الأدبيات ولنظريتَي</w:t>
      </w:r>
      <w:r w:rsidR="002769E6" w:rsidRPr="005F5C76">
        <w:rPr>
          <w:rFonts w:ascii="Traditional Arabic" w:hAnsi="Traditional Arabic" w:cs="Traditional Arabic"/>
          <w:sz w:val="24"/>
          <w:szCs w:val="24"/>
          <w:rtl/>
        </w:rPr>
        <w:t xml:space="preserve"> قبول التكنلوجيا (</w:t>
      </w:r>
      <w:r w:rsidRPr="005F5C76">
        <w:rPr>
          <w:rFonts w:ascii="Traditional Arabic" w:hAnsi="Traditional Arabic" w:cs="Traditional Arabic"/>
          <w:sz w:val="24"/>
          <w:szCs w:val="24"/>
        </w:rPr>
        <w:t>TAM</w:t>
      </w:r>
      <w:r w:rsidR="002769E6" w:rsidRPr="005F5C76">
        <w:rPr>
          <w:rFonts w:ascii="Traditional Arabic" w:hAnsi="Traditional Arabic" w:cs="Traditional Arabic"/>
          <w:sz w:val="24"/>
          <w:szCs w:val="24"/>
          <w:rtl/>
        </w:rPr>
        <w:t>)،</w:t>
      </w:r>
      <w:r w:rsidRPr="005F5C76">
        <w:rPr>
          <w:rFonts w:ascii="Traditional Arabic" w:hAnsi="Traditional Arabic" w:cs="Traditional Arabic"/>
          <w:sz w:val="24"/>
          <w:szCs w:val="24"/>
          <w:rtl/>
        </w:rPr>
        <w:t xml:space="preserve"> والقدرات الديناميكية، تمت صياغة الفرضيات الآتية لتخضع للاختبار والمعالجات الإحصائية المتقدمة:</w:t>
      </w:r>
    </w:p>
    <w:p w14:paraId="6BC4848B" w14:textId="7CEE76FE" w:rsidR="008615C2" w:rsidRPr="005F5C76" w:rsidRDefault="00000000" w:rsidP="00A109ED">
      <w:pPr>
        <w:numPr>
          <w:ilvl w:val="0"/>
          <w:numId w:val="5"/>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eastAsia="Times New Roman" w:hAnsi="Traditional Arabic" w:cs="Traditional Arabic"/>
          <w:sz w:val="24"/>
          <w:szCs w:val="24"/>
          <w:rtl/>
        </w:rPr>
        <w:t>الفرضية الرئيسة الأولى (</w:t>
      </w:r>
      <m:oMath>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ctrlPr>
              <w:rPr>
                <w:rFonts w:ascii="Cambria Math" w:eastAsia="Times New Roman" w:hAnsi="Cambria Math" w:cs="Traditional Arabic"/>
                <w:sz w:val="24"/>
                <w:szCs w:val="24"/>
                <w:rtl/>
              </w:rPr>
            </m:ctrlPr>
          </m:e>
          <m:sub>
            <m:r>
              <m:rPr>
                <m:sty m:val="p"/>
              </m:rPr>
              <w:rPr>
                <w:rFonts w:ascii="Cambria Math" w:eastAsia="Times New Roman" w:hAnsi="Cambria Math" w:cs="Traditional Arabic"/>
                <w:sz w:val="24"/>
                <w:szCs w:val="24"/>
                <w:rtl/>
              </w:rPr>
              <m:t>1</m:t>
            </m:r>
          </m:sub>
        </m:sSub>
      </m:oMath>
      <w:r w:rsidRPr="005F5C76">
        <w:rPr>
          <w:rFonts w:ascii="Traditional Arabic" w:eastAsia="Times New Roman" w:hAnsi="Traditional Arabic" w:cs="Traditional Arabic"/>
          <w:sz w:val="24"/>
          <w:szCs w:val="24"/>
          <w:rtl/>
        </w:rPr>
        <w:t>): يوجد تأثير إيجابي مباشر ذو دلالة إحصائية عند مستوى دلالة (</w:t>
      </w:r>
      <m:oMath>
        <m:r>
          <w:rPr>
            <w:rFonts w:ascii="Cambria Math" w:eastAsia="Times New Roman" w:hAnsi="Cambria Math" w:cs="Traditional Arabic"/>
            <w:sz w:val="24"/>
            <w:szCs w:val="24"/>
          </w:rPr>
          <m:t>α</m:t>
        </m:r>
        <m:r>
          <m:rPr>
            <m:sty m:val="p"/>
          </m:rPr>
          <w:rPr>
            <w:rFonts w:ascii="Cambria Math" w:eastAsia="Times New Roman" w:hAnsi="Cambria Math" w:cs="Traditional Arabic"/>
            <w:sz w:val="24"/>
            <w:szCs w:val="24"/>
          </w:rPr>
          <m:t xml:space="preserve"> ≤</m:t>
        </m:r>
        <m:r>
          <m:rPr>
            <m:sty m:val="p"/>
          </m:rPr>
          <w:rPr>
            <w:rFonts w:ascii="Cambria Math" w:eastAsia="Times New Roman" w:hAnsi="Cambria Math" w:cs="Traditional Arabic"/>
            <w:sz w:val="24"/>
            <w:szCs w:val="24"/>
            <w:rtl/>
          </w:rPr>
          <m:t>0.05</m:t>
        </m:r>
      </m:oMath>
      <w:r w:rsidRPr="005F5C76">
        <w:rPr>
          <w:rFonts w:ascii="Traditional Arabic" w:eastAsia="Times New Roman" w:hAnsi="Traditional Arabic" w:cs="Traditional Arabic"/>
          <w:sz w:val="24"/>
          <w:szCs w:val="24"/>
          <w:rtl/>
        </w:rPr>
        <w:t>) لتبني الذكاء الاصطناعي على جودة القرار الإداري في منظمات القطاع غير الربحي السعودي.</w:t>
      </w:r>
    </w:p>
    <w:p w14:paraId="6D1DB12B" w14:textId="6C8840F6" w:rsidR="008615C2" w:rsidRPr="005F5C76" w:rsidRDefault="00000000" w:rsidP="00A109ED">
      <w:pPr>
        <w:numPr>
          <w:ilvl w:val="0"/>
          <w:numId w:val="5"/>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eastAsia="Times New Roman" w:hAnsi="Traditional Arabic" w:cs="Traditional Arabic"/>
          <w:sz w:val="24"/>
          <w:szCs w:val="24"/>
          <w:rtl/>
        </w:rPr>
        <w:t>الفرضية الرئيسة الثانية (</w:t>
      </w:r>
      <m:oMath>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ctrlPr>
              <w:rPr>
                <w:rFonts w:ascii="Cambria Math" w:eastAsia="Times New Roman" w:hAnsi="Cambria Math" w:cs="Traditional Arabic"/>
                <w:sz w:val="24"/>
                <w:szCs w:val="24"/>
                <w:rtl/>
              </w:rPr>
            </m:ctrlPr>
          </m:e>
          <m:sub>
            <m:r>
              <m:rPr>
                <m:sty m:val="p"/>
              </m:rPr>
              <w:rPr>
                <w:rFonts w:ascii="Cambria Math" w:eastAsia="Times New Roman" w:hAnsi="Cambria Math" w:cs="Traditional Arabic"/>
                <w:sz w:val="24"/>
                <w:szCs w:val="24"/>
                <w:rtl/>
              </w:rPr>
              <m:t>2</m:t>
            </m:r>
          </m:sub>
        </m:sSub>
      </m:oMath>
      <w:r w:rsidRPr="005F5C76">
        <w:rPr>
          <w:rFonts w:ascii="Traditional Arabic" w:eastAsia="Times New Roman" w:hAnsi="Traditional Arabic" w:cs="Traditional Arabic"/>
          <w:sz w:val="24"/>
          <w:szCs w:val="24"/>
          <w:rtl/>
        </w:rPr>
        <w:t xml:space="preserve">): يوجد تأثير إيجابي مباشر ذو دلالة إحصائية عند مستوى دلالة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α</m:t>
            </m:r>
            <m:r>
              <m:rPr>
                <m:sty m:val="p"/>
              </m:rPr>
              <w:rPr>
                <w:rFonts w:ascii="Cambria Math" w:eastAsia="Times New Roman" w:hAnsi="Cambria Math" w:cs="Traditional Arabic"/>
                <w:sz w:val="24"/>
                <w:szCs w:val="24"/>
              </w:rPr>
              <m:t xml:space="preserve"> ≤</m:t>
            </m:r>
            <m:r>
              <m:rPr>
                <m:sty m:val="p"/>
              </m:rPr>
              <w:rPr>
                <w:rFonts w:ascii="Cambria Math" w:eastAsia="Times New Roman" w:hAnsi="Cambria Math" w:cs="Traditional Arabic"/>
                <w:sz w:val="24"/>
                <w:szCs w:val="24"/>
                <w:rtl/>
              </w:rPr>
              <m:t>0.05</m:t>
            </m:r>
          </m:e>
        </m:d>
      </m:oMath>
      <w:r w:rsidRPr="005F5C76">
        <w:rPr>
          <w:rFonts w:ascii="Traditional Arabic" w:eastAsia="Times New Roman" w:hAnsi="Traditional Arabic" w:cs="Traditional Arabic"/>
          <w:sz w:val="24"/>
          <w:szCs w:val="24"/>
          <w:rtl/>
        </w:rPr>
        <w:t xml:space="preserve"> لتبني الذكاء الاصطناعي على مستوى النضج الرقمي في منظمات القطاع غير الربحي السعودي.</w:t>
      </w:r>
    </w:p>
    <w:p w14:paraId="2722B562" w14:textId="6279D7D6" w:rsidR="008615C2" w:rsidRPr="005F5C76" w:rsidRDefault="00000000" w:rsidP="00A109ED">
      <w:pPr>
        <w:numPr>
          <w:ilvl w:val="0"/>
          <w:numId w:val="5"/>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eastAsia="Times New Roman" w:hAnsi="Traditional Arabic" w:cs="Traditional Arabic"/>
          <w:sz w:val="24"/>
          <w:szCs w:val="24"/>
          <w:rtl/>
        </w:rPr>
        <w:t xml:space="preserve">الفرضية الرئيسة الثالثة </w:t>
      </w:r>
      <m:oMath>
        <m:d>
          <m:dPr>
            <m:ctrlPr>
              <w:rPr>
                <w:rFonts w:ascii="Cambria Math" w:eastAsia="Times New Roman" w:hAnsi="Cambria Math" w:cs="Traditional Arabic"/>
                <w:sz w:val="24"/>
                <w:szCs w:val="24"/>
              </w:rPr>
            </m:ctrlPr>
          </m:dPr>
          <m:e>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e>
              <m:sub>
                <m:r>
                  <m:rPr>
                    <m:sty m:val="p"/>
                  </m:rPr>
                  <w:rPr>
                    <w:rFonts w:ascii="Cambria Math" w:eastAsia="Times New Roman" w:hAnsi="Cambria Math" w:cs="Traditional Arabic"/>
                    <w:sz w:val="24"/>
                    <w:szCs w:val="24"/>
                    <w:rtl/>
                  </w:rPr>
                  <m:t>3</m:t>
                </m:r>
              </m:sub>
            </m:sSub>
          </m:e>
        </m:d>
      </m:oMath>
      <w:r w:rsidRPr="005F5C76">
        <w:rPr>
          <w:rFonts w:ascii="Traditional Arabic" w:eastAsia="Times New Roman" w:hAnsi="Traditional Arabic" w:cs="Traditional Arabic"/>
          <w:sz w:val="24"/>
          <w:szCs w:val="24"/>
          <w:rtl/>
        </w:rPr>
        <w:t xml:space="preserve">: يوجد تأثير إيجابي مباشر ذو دلالة إحصائية عند مستوى دلالة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α</m:t>
            </m:r>
            <m:r>
              <m:rPr>
                <m:sty m:val="p"/>
              </m:rPr>
              <w:rPr>
                <w:rFonts w:ascii="Cambria Math" w:eastAsia="Times New Roman" w:hAnsi="Cambria Math" w:cs="Traditional Arabic"/>
                <w:sz w:val="24"/>
                <w:szCs w:val="24"/>
              </w:rPr>
              <m:t xml:space="preserve"> ≤</m:t>
            </m:r>
            <m:r>
              <m:rPr>
                <m:sty m:val="p"/>
              </m:rPr>
              <w:rPr>
                <w:rFonts w:ascii="Cambria Math" w:eastAsia="Times New Roman" w:hAnsi="Cambria Math" w:cs="Traditional Arabic"/>
                <w:sz w:val="24"/>
                <w:szCs w:val="24"/>
                <w:rtl/>
              </w:rPr>
              <m:t>0.05</m:t>
            </m:r>
          </m:e>
        </m:d>
      </m:oMath>
      <w:r w:rsidRPr="005F5C76">
        <w:rPr>
          <w:rFonts w:ascii="Traditional Arabic" w:eastAsia="Times New Roman" w:hAnsi="Traditional Arabic" w:cs="Traditional Arabic"/>
          <w:sz w:val="24"/>
          <w:szCs w:val="24"/>
          <w:rtl/>
        </w:rPr>
        <w:t xml:space="preserve"> للنضج الرقمي على جودة القرار الإداري في منظمات القطاع غير الربحي السعودي.</w:t>
      </w:r>
    </w:p>
    <w:p w14:paraId="799546B1" w14:textId="2A4D423E" w:rsidR="008615C2" w:rsidRPr="005F5C76" w:rsidRDefault="00000000" w:rsidP="00A109ED">
      <w:pPr>
        <w:numPr>
          <w:ilvl w:val="0"/>
          <w:numId w:val="5"/>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eastAsia="Times New Roman" w:hAnsi="Traditional Arabic" w:cs="Traditional Arabic"/>
          <w:sz w:val="24"/>
          <w:szCs w:val="24"/>
          <w:rtl/>
        </w:rPr>
        <w:t xml:space="preserve">الفرضية الرئيسة الرابعة </w:t>
      </w:r>
      <m:oMath>
        <m:d>
          <m:dPr>
            <m:ctrlPr>
              <w:rPr>
                <w:rFonts w:ascii="Cambria Math" w:eastAsia="Times New Roman" w:hAnsi="Cambria Math" w:cs="Traditional Arabic"/>
                <w:sz w:val="24"/>
                <w:szCs w:val="24"/>
              </w:rPr>
            </m:ctrlPr>
          </m:dPr>
          <m:e>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e>
              <m:sub>
                <m:r>
                  <m:rPr>
                    <m:sty m:val="p"/>
                  </m:rPr>
                  <w:rPr>
                    <w:rFonts w:ascii="Cambria Math" w:eastAsia="Times New Roman" w:hAnsi="Cambria Math" w:cs="Traditional Arabic"/>
                    <w:sz w:val="24"/>
                    <w:szCs w:val="24"/>
                    <w:rtl/>
                  </w:rPr>
                  <m:t>4</m:t>
                </m:r>
              </m:sub>
            </m:sSub>
          </m:e>
        </m:d>
      </m:oMath>
      <w:r w:rsidRPr="005F5C76">
        <w:rPr>
          <w:rFonts w:ascii="Traditional Arabic" w:eastAsia="Times New Roman" w:hAnsi="Traditional Arabic" w:cs="Traditional Arabic"/>
          <w:sz w:val="24"/>
          <w:szCs w:val="24"/>
          <w:rtl/>
        </w:rPr>
        <w:t xml:space="preserve">: يتوسط النضج الرقمي العلاقةَ بين تبني الذكاء الاصطناعي وجودة القرار الإداري في منظمات القطاع غير الربحي السعودي، تأثيراً وسيطاً ذا دلالة إحصائية عند مستوى دلالة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α</m:t>
            </m:r>
            <m:r>
              <m:rPr>
                <m:sty m:val="p"/>
              </m:rPr>
              <w:rPr>
                <w:rFonts w:ascii="Cambria Math" w:eastAsia="Times New Roman" w:hAnsi="Cambria Math" w:cs="Traditional Arabic"/>
                <w:sz w:val="24"/>
                <w:szCs w:val="24"/>
              </w:rPr>
              <m:t xml:space="preserve"> ≤</m:t>
            </m:r>
            <m:r>
              <m:rPr>
                <m:sty m:val="p"/>
              </m:rPr>
              <w:rPr>
                <w:rFonts w:ascii="Cambria Math" w:eastAsia="Times New Roman" w:hAnsi="Cambria Math" w:cs="Traditional Arabic"/>
                <w:sz w:val="24"/>
                <w:szCs w:val="24"/>
                <w:rtl/>
              </w:rPr>
              <m:t>0.05</m:t>
            </m:r>
          </m:e>
        </m:d>
      </m:oMath>
      <w:r w:rsidRPr="005F5C76">
        <w:rPr>
          <w:rFonts w:ascii="Traditional Arabic" w:eastAsia="Times New Roman" w:hAnsi="Traditional Arabic" w:cs="Traditional Arabic"/>
          <w:sz w:val="24"/>
          <w:szCs w:val="24"/>
          <w:rtl/>
        </w:rPr>
        <w:t>.</w:t>
      </w:r>
    </w:p>
    <w:p w14:paraId="09E946F4" w14:textId="77777777" w:rsidR="00A109ED" w:rsidRDefault="00A109ED" w:rsidP="00A109ED">
      <w:pPr>
        <w:pBdr>
          <w:top w:val="nil"/>
          <w:left w:val="nil"/>
          <w:bottom w:val="nil"/>
          <w:right w:val="nil"/>
          <w:between w:val="nil"/>
        </w:pBdr>
        <w:bidi/>
        <w:spacing w:line="360" w:lineRule="auto"/>
        <w:jc w:val="both"/>
        <w:rPr>
          <w:rFonts w:ascii="Traditional Arabic" w:hAnsi="Traditional Arabic" w:cs="Traditional Arabic"/>
          <w:b/>
          <w:bCs/>
          <w:sz w:val="28"/>
          <w:szCs w:val="28"/>
          <w:rtl/>
        </w:rPr>
      </w:pPr>
    </w:p>
    <w:p w14:paraId="6EC5E930" w14:textId="37F6961A"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b/>
          <w:bCs/>
          <w:sz w:val="28"/>
          <w:szCs w:val="28"/>
        </w:rPr>
      </w:pPr>
      <w:r w:rsidRPr="005F5C76">
        <w:rPr>
          <w:rFonts w:ascii="Traditional Arabic" w:hAnsi="Traditional Arabic" w:cs="Traditional Arabic"/>
          <w:b/>
          <w:bCs/>
          <w:sz w:val="28"/>
          <w:szCs w:val="28"/>
          <w:rtl/>
        </w:rPr>
        <w:t xml:space="preserve">وتخضع هذه الفرضية الرابعة لاختبار </w:t>
      </w:r>
      <w:proofErr w:type="spellStart"/>
      <w:r w:rsidRPr="005F5C76">
        <w:rPr>
          <w:rFonts w:ascii="Traditional Arabic" w:hAnsi="Traditional Arabic" w:cs="Traditional Arabic"/>
          <w:b/>
          <w:bCs/>
          <w:sz w:val="28"/>
          <w:szCs w:val="28"/>
          <w:rtl/>
        </w:rPr>
        <w:t>السيناريوهين</w:t>
      </w:r>
      <w:proofErr w:type="spellEnd"/>
      <w:r w:rsidRPr="005F5C76">
        <w:rPr>
          <w:rFonts w:ascii="Traditional Arabic" w:hAnsi="Traditional Arabic" w:cs="Traditional Arabic"/>
          <w:b/>
          <w:bCs/>
          <w:sz w:val="28"/>
          <w:szCs w:val="28"/>
          <w:rtl/>
        </w:rPr>
        <w:t xml:space="preserve"> البديلين الآتيين كحل منهجي صارم يمنع التعارض للفروض:</w:t>
      </w:r>
    </w:p>
    <w:p w14:paraId="398FBE10" w14:textId="4907FFC5" w:rsidR="008615C2" w:rsidRPr="005F5C76" w:rsidRDefault="00000000" w:rsidP="00A109ED">
      <w:pPr>
        <w:numPr>
          <w:ilvl w:val="0"/>
          <w:numId w:val="6"/>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السيناريو الأول – التوسط الجزئي </w:t>
      </w:r>
      <m:oMath>
        <m:d>
          <m:dPr>
            <m:ctrlPr>
              <w:rPr>
                <w:rFonts w:ascii="Cambria Math" w:hAnsi="Cambria Math" w:cs="Traditional Arabic"/>
                <w:sz w:val="24"/>
                <w:szCs w:val="24"/>
              </w:rPr>
            </m:ctrlPr>
          </m:dPr>
          <m:e>
            <m:sSub>
              <m:sSubPr>
                <m:ctrlPr>
                  <w:rPr>
                    <w:rFonts w:ascii="Cambria Math" w:hAnsi="Cambria Math" w:cs="Traditional Arabic"/>
                    <w:sz w:val="24"/>
                    <w:szCs w:val="24"/>
                  </w:rPr>
                </m:ctrlPr>
              </m:sSubPr>
              <m:e>
                <m:r>
                  <m:rPr>
                    <m:sty m:val="bi"/>
                  </m:rPr>
                  <w:rPr>
                    <w:rFonts w:ascii="Cambria Math" w:hAnsi="Cambria Math" w:cs="Traditional Arabic"/>
                    <w:sz w:val="24"/>
                    <w:szCs w:val="24"/>
                  </w:rPr>
                  <m:t>H</m:t>
                </m:r>
              </m:e>
              <m:sub>
                <m:d>
                  <m:dPr>
                    <m:begChr m:val="{"/>
                    <m:endChr m:val="}"/>
                    <m:ctrlPr>
                      <w:rPr>
                        <w:rFonts w:ascii="Cambria Math" w:hAnsi="Cambria Math" w:cs="Traditional Arabic"/>
                        <w:sz w:val="24"/>
                        <w:szCs w:val="24"/>
                      </w:rPr>
                    </m:ctrlPr>
                  </m:dPr>
                  <m:e>
                    <m:r>
                      <m:rPr>
                        <m:sty m:val="b"/>
                      </m:rPr>
                      <w:rPr>
                        <w:rFonts w:ascii="Cambria Math" w:hAnsi="Cambria Math" w:cs="Traditional Arabic"/>
                        <w:sz w:val="24"/>
                        <w:szCs w:val="24"/>
                      </w:rPr>
                      <m:t>4</m:t>
                    </m:r>
                    <m:r>
                      <m:rPr>
                        <m:sty m:val="p"/>
                      </m:rPr>
                      <w:rPr>
                        <w:rFonts w:ascii="Cambria Math" w:hAnsi="Cambria Math" w:cs="Traditional Arabic"/>
                        <w:sz w:val="24"/>
                        <w:szCs w:val="24"/>
                      </w:rPr>
                      <m:t>-</m:t>
                    </m:r>
                    <m:r>
                      <m:rPr>
                        <m:sty m:val="bi"/>
                      </m:rPr>
                      <w:rPr>
                        <w:rFonts w:ascii="Cambria Math" w:hAnsi="Cambria Math" w:cs="Traditional Arabic"/>
                        <w:sz w:val="24"/>
                        <w:szCs w:val="24"/>
                      </w:rPr>
                      <m:t>a</m:t>
                    </m:r>
                  </m:e>
                </m:d>
              </m:sub>
            </m:sSub>
          </m:e>
        </m:d>
        <m:r>
          <m:rPr>
            <m:sty m:val="p"/>
          </m:rPr>
          <w:rPr>
            <w:rFonts w:ascii="Cambria Math" w:hAnsi="Cambria Math" w:cs="Traditional Arabic"/>
            <w:sz w:val="24"/>
            <w:szCs w:val="24"/>
          </w:rPr>
          <m:t>:</m:t>
        </m:r>
        <m:r>
          <m:rPr>
            <m:sty m:val="p"/>
          </m:rPr>
          <w:rPr>
            <w:rFonts w:ascii="Cambria Math" w:hAnsi="Cambria Math" w:cs="Traditional Arabic"/>
            <w:sz w:val="24"/>
            <w:szCs w:val="24"/>
            <w:rtl/>
          </w:rPr>
          <m:t xml:space="preserve"> </m:t>
        </m:r>
      </m:oMath>
      <w:r w:rsidRPr="005F5C76">
        <w:rPr>
          <w:rFonts w:ascii="Traditional Arabic" w:hAnsi="Traditional Arabic" w:cs="Traditional Arabic"/>
          <w:sz w:val="24"/>
          <w:szCs w:val="24"/>
          <w:rtl/>
        </w:rPr>
        <w:t xml:space="preserve">إذا ظلّ التأثير المباشر لتبني الذكاء الاصطناعي على جودة القرار الإداري داّلاً إحصائياً بعد إدخال النضج الرقمي وسيطاً في النموذج الهيكلي، فإن التوسط يُصنَّف جزئياً وفقاً لمعايير </w:t>
      </w:r>
      <w:r w:rsidRPr="005F5C76">
        <w:rPr>
          <w:rFonts w:ascii="Traditional Arabic" w:hAnsi="Traditional Arabic" w:cs="Traditional Arabic"/>
          <w:sz w:val="24"/>
          <w:szCs w:val="24"/>
        </w:rPr>
        <w:t>Baron &amp; Kenny</w:t>
      </w:r>
      <w:r w:rsidRPr="005F5C76">
        <w:rPr>
          <w:rFonts w:ascii="Traditional Arabic" w:hAnsi="Traditional Arabic" w:cs="Traditional Arabic"/>
          <w:sz w:val="24"/>
          <w:szCs w:val="24"/>
          <w:rtl/>
        </w:rPr>
        <w:t xml:space="preserve"> (1986) ونتائج </w:t>
      </w:r>
      <w:r w:rsidRPr="005F5C76">
        <w:rPr>
          <w:rFonts w:ascii="Traditional Arabic" w:hAnsi="Traditional Arabic" w:cs="Traditional Arabic"/>
          <w:sz w:val="24"/>
          <w:szCs w:val="24"/>
        </w:rPr>
        <w:t>Bootstrapping</w:t>
      </w:r>
      <w:r w:rsidRPr="005F5C76">
        <w:rPr>
          <w:rFonts w:ascii="Traditional Arabic" w:hAnsi="Traditional Arabic" w:cs="Traditional Arabic"/>
          <w:sz w:val="24"/>
          <w:szCs w:val="24"/>
          <w:rtl/>
        </w:rPr>
        <w:t xml:space="preserve"> المباشرة.</w:t>
      </w:r>
    </w:p>
    <w:p w14:paraId="5A7B4DBE" w14:textId="1512B0A0" w:rsidR="008615C2" w:rsidRPr="005F5C76" w:rsidRDefault="00000000" w:rsidP="00A109ED">
      <w:pPr>
        <w:numPr>
          <w:ilvl w:val="0"/>
          <w:numId w:val="6"/>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السيناريو الثاني – التوسط الكلي </w:t>
      </w:r>
      <m:oMath>
        <m:d>
          <m:dPr>
            <m:ctrlPr>
              <w:rPr>
                <w:rFonts w:ascii="Cambria Math" w:hAnsi="Cambria Math" w:cs="Traditional Arabic"/>
                <w:sz w:val="24"/>
                <w:szCs w:val="24"/>
              </w:rPr>
            </m:ctrlPr>
          </m:dPr>
          <m:e>
            <m:sSub>
              <m:sSubPr>
                <m:ctrlPr>
                  <w:rPr>
                    <w:rFonts w:ascii="Cambria Math" w:hAnsi="Cambria Math" w:cs="Traditional Arabic"/>
                    <w:sz w:val="24"/>
                    <w:szCs w:val="24"/>
                  </w:rPr>
                </m:ctrlPr>
              </m:sSubPr>
              <m:e>
                <m:r>
                  <m:rPr>
                    <m:sty m:val="bi"/>
                  </m:rPr>
                  <w:rPr>
                    <w:rFonts w:ascii="Cambria Math" w:hAnsi="Cambria Math" w:cs="Traditional Arabic"/>
                    <w:sz w:val="24"/>
                    <w:szCs w:val="24"/>
                  </w:rPr>
                  <m:t>H</m:t>
                </m:r>
              </m:e>
              <m:sub>
                <m:d>
                  <m:dPr>
                    <m:begChr m:val="{"/>
                    <m:endChr m:val="}"/>
                    <m:ctrlPr>
                      <w:rPr>
                        <w:rFonts w:ascii="Cambria Math" w:hAnsi="Cambria Math" w:cs="Traditional Arabic"/>
                        <w:sz w:val="24"/>
                        <w:szCs w:val="24"/>
                      </w:rPr>
                    </m:ctrlPr>
                  </m:dPr>
                  <m:e>
                    <m:r>
                      <m:rPr>
                        <m:sty m:val="b"/>
                      </m:rPr>
                      <w:rPr>
                        <w:rFonts w:ascii="Cambria Math" w:hAnsi="Cambria Math" w:cs="Traditional Arabic"/>
                        <w:sz w:val="24"/>
                        <w:szCs w:val="24"/>
                      </w:rPr>
                      <m:t>4</m:t>
                    </m:r>
                    <m:r>
                      <m:rPr>
                        <m:sty m:val="p"/>
                      </m:rPr>
                      <w:rPr>
                        <w:rFonts w:ascii="Cambria Math" w:hAnsi="Cambria Math" w:cs="Traditional Arabic"/>
                        <w:sz w:val="24"/>
                        <w:szCs w:val="24"/>
                      </w:rPr>
                      <m:t>-</m:t>
                    </m:r>
                    <m:r>
                      <m:rPr>
                        <m:sty m:val="bi"/>
                      </m:rPr>
                      <w:rPr>
                        <w:rFonts w:ascii="Cambria Math" w:hAnsi="Cambria Math" w:cs="Traditional Arabic"/>
                        <w:sz w:val="24"/>
                        <w:szCs w:val="24"/>
                      </w:rPr>
                      <m:t>b</m:t>
                    </m:r>
                  </m:e>
                </m:d>
              </m:sub>
            </m:sSub>
          </m:e>
        </m:d>
        <m:r>
          <m:rPr>
            <m:sty m:val="p"/>
          </m:rPr>
          <w:rPr>
            <w:rFonts w:ascii="Cambria Math" w:hAnsi="Cambria Math" w:cs="Traditional Arabic"/>
            <w:sz w:val="24"/>
            <w:szCs w:val="24"/>
          </w:rPr>
          <m:t>:</m:t>
        </m:r>
      </m:oMath>
      <w:r w:rsidRPr="005F5C76">
        <w:rPr>
          <w:rFonts w:ascii="Traditional Arabic" w:hAnsi="Traditional Arabic" w:cs="Traditional Arabic"/>
          <w:sz w:val="24"/>
          <w:szCs w:val="24"/>
          <w:rtl/>
        </w:rPr>
        <w:t xml:space="preserve"> إذا فَقَد التأثير المباشر دلالته الإحصائية تماماً بعد إدخال النضج الرقمي وسيطاً، فإن التوسط يُصنَّف كلياً، مما يعني إحصائياً ومنهجياً أن تبني الذكاء الاصطناعي لا يُحسّن جودة القرار الإداري إلا عبر تعزيز النضج الرقمي وقدراته أولاً.</w:t>
      </w:r>
    </w:p>
    <w:p w14:paraId="47625B5F" w14:textId="1E867AC3"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ملاحظة منهجية: لا تُطرح الفرضيتان الفرعيتان </w:t>
      </w:r>
      <m:oMath>
        <m:d>
          <m:dPr>
            <m:ctrlPr>
              <w:rPr>
                <w:rFonts w:ascii="Cambria Math" w:hAnsi="Cambria Math" w:cs="Traditional Arabic"/>
                <w:sz w:val="24"/>
                <w:szCs w:val="24"/>
              </w:rPr>
            </m:ctrlPr>
          </m:dPr>
          <m:e>
            <m:sSub>
              <m:sSubPr>
                <m:ctrlPr>
                  <w:rPr>
                    <w:rFonts w:ascii="Cambria Math" w:hAnsi="Cambria Math" w:cs="Traditional Arabic"/>
                    <w:sz w:val="24"/>
                    <w:szCs w:val="24"/>
                  </w:rPr>
                </m:ctrlPr>
              </m:sSubPr>
              <m:e>
                <m:r>
                  <w:rPr>
                    <w:rFonts w:ascii="Cambria Math" w:hAnsi="Cambria Math" w:cs="Traditional Arabic"/>
                    <w:sz w:val="24"/>
                    <w:szCs w:val="24"/>
                  </w:rPr>
                  <m:t>H</m:t>
                </m:r>
              </m:e>
              <m:sub>
                <m:d>
                  <m:dPr>
                    <m:begChr m:val="{"/>
                    <m:endChr m:val="}"/>
                    <m:ctrlPr>
                      <w:rPr>
                        <w:rFonts w:ascii="Cambria Math" w:hAnsi="Cambria Math" w:cs="Traditional Arabic"/>
                        <w:sz w:val="24"/>
                        <w:szCs w:val="24"/>
                      </w:rPr>
                    </m:ctrlPr>
                  </m:dPr>
                  <m:e>
                    <m:r>
                      <m:rPr>
                        <m:sty m:val="p"/>
                      </m:rPr>
                      <w:rPr>
                        <w:rFonts w:ascii="Cambria Math" w:hAnsi="Cambria Math" w:cs="Traditional Arabic"/>
                        <w:sz w:val="24"/>
                        <w:szCs w:val="24"/>
                      </w:rPr>
                      <m:t>4-</m:t>
                    </m:r>
                    <m:r>
                      <w:rPr>
                        <w:rFonts w:ascii="Cambria Math" w:hAnsi="Cambria Math" w:cs="Traditional Arabic"/>
                        <w:sz w:val="24"/>
                        <w:szCs w:val="24"/>
                      </w:rPr>
                      <m:t>a</m:t>
                    </m:r>
                  </m:e>
                </m:d>
              </m:sub>
            </m:sSub>
          </m:e>
        </m:d>
        <m:r>
          <m:rPr>
            <m:sty m:val="p"/>
          </m:rPr>
          <w:rPr>
            <w:rFonts w:ascii="Cambria Math" w:hAnsi="Cambria Math" w:cs="Traditional Arabic"/>
            <w:sz w:val="24"/>
            <w:szCs w:val="24"/>
            <w:rtl/>
          </w:rPr>
          <m:t xml:space="preserve">و </m:t>
        </m:r>
        <m:d>
          <m:dPr>
            <m:ctrlPr>
              <w:rPr>
                <w:rFonts w:ascii="Cambria Math" w:hAnsi="Cambria Math" w:cs="Traditional Arabic"/>
                <w:sz w:val="24"/>
                <w:szCs w:val="24"/>
              </w:rPr>
            </m:ctrlPr>
          </m:dPr>
          <m:e>
            <m:sSub>
              <m:sSubPr>
                <m:ctrlPr>
                  <w:rPr>
                    <w:rFonts w:ascii="Cambria Math" w:hAnsi="Cambria Math" w:cs="Traditional Arabic"/>
                    <w:sz w:val="24"/>
                    <w:szCs w:val="24"/>
                  </w:rPr>
                </m:ctrlPr>
              </m:sSubPr>
              <m:e>
                <m:r>
                  <w:rPr>
                    <w:rFonts w:ascii="Cambria Math" w:hAnsi="Cambria Math" w:cs="Traditional Arabic"/>
                    <w:sz w:val="24"/>
                    <w:szCs w:val="24"/>
                  </w:rPr>
                  <m:t>H</m:t>
                </m:r>
              </m:e>
              <m:sub>
                <m:d>
                  <m:dPr>
                    <m:begChr m:val="{"/>
                    <m:endChr m:val="}"/>
                    <m:ctrlPr>
                      <w:rPr>
                        <w:rFonts w:ascii="Cambria Math" w:hAnsi="Cambria Math" w:cs="Traditional Arabic"/>
                        <w:sz w:val="24"/>
                        <w:szCs w:val="24"/>
                      </w:rPr>
                    </m:ctrlPr>
                  </m:dPr>
                  <m:e>
                    <m:r>
                      <m:rPr>
                        <m:sty m:val="p"/>
                      </m:rPr>
                      <w:rPr>
                        <w:rFonts w:ascii="Cambria Math" w:hAnsi="Cambria Math" w:cs="Traditional Arabic"/>
                        <w:sz w:val="24"/>
                        <w:szCs w:val="24"/>
                      </w:rPr>
                      <m:t>4-</m:t>
                    </m:r>
                    <m:r>
                      <w:rPr>
                        <w:rFonts w:ascii="Cambria Math" w:hAnsi="Cambria Math" w:cs="Traditional Arabic"/>
                        <w:sz w:val="24"/>
                        <w:szCs w:val="24"/>
                      </w:rPr>
                      <m:t>b</m:t>
                    </m:r>
                  </m:e>
                </m:d>
              </m:sub>
            </m:sSub>
          </m:e>
        </m:d>
      </m:oMath>
      <w:r w:rsidRPr="005F5C76">
        <w:rPr>
          <w:rFonts w:ascii="Traditional Arabic" w:hAnsi="Traditional Arabic" w:cs="Traditional Arabic"/>
          <w:sz w:val="24"/>
          <w:szCs w:val="24"/>
          <w:rtl/>
        </w:rPr>
        <w:t xml:space="preserve"> كفرضيتين متوازيتين يمكن قبولهما معاً، بل كبديلين اختباريين حصريين تُحدد مخرجاتهما أداة </w:t>
      </w:r>
      <w:r w:rsidRPr="005F5C76">
        <w:rPr>
          <w:rFonts w:ascii="Traditional Arabic" w:hAnsi="Traditional Arabic" w:cs="Traditional Arabic"/>
          <w:sz w:val="24"/>
          <w:szCs w:val="24"/>
        </w:rPr>
        <w:t>Bootstrapping</w:t>
      </w:r>
      <w:r w:rsidRPr="005F5C76">
        <w:rPr>
          <w:rFonts w:ascii="Traditional Arabic" w:hAnsi="Traditional Arabic" w:cs="Traditional Arabic"/>
          <w:sz w:val="24"/>
          <w:szCs w:val="24"/>
          <w:rtl/>
        </w:rPr>
        <w:t xml:space="preserve"> في </w:t>
      </w:r>
      <w:proofErr w:type="spellStart"/>
      <w:r w:rsidR="008048E3" w:rsidRPr="005F5C76">
        <w:rPr>
          <w:rFonts w:ascii="Traditional Arabic" w:hAnsi="Traditional Arabic" w:cs="Traditional Arabic"/>
          <w:sz w:val="24"/>
          <w:szCs w:val="24"/>
        </w:rPr>
        <w:t>SmartPLS</w:t>
      </w:r>
      <w:proofErr w:type="spellEnd"/>
      <w:r w:rsidR="008048E3" w:rsidRPr="005F5C76">
        <w:rPr>
          <w:rFonts w:ascii="Traditional Arabic" w:hAnsi="Traditional Arabic" w:cs="Traditional Arabic" w:hint="cs"/>
          <w:sz w:val="24"/>
          <w:szCs w:val="24"/>
          <w:rtl/>
        </w:rPr>
        <w:t xml:space="preserve"> وفق</w:t>
      </w:r>
      <w:r w:rsidRPr="005F5C76">
        <w:rPr>
          <w:rFonts w:ascii="Traditional Arabic" w:hAnsi="Traditional Arabic" w:cs="Traditional Arabic"/>
          <w:sz w:val="24"/>
          <w:szCs w:val="24"/>
          <w:rtl/>
        </w:rPr>
        <w:t xml:space="preserve"> قيم </w:t>
      </w:r>
      <w:r w:rsidRPr="005F5C76">
        <w:rPr>
          <w:rFonts w:ascii="Traditional Arabic" w:hAnsi="Traditional Arabic" w:cs="Traditional Arabic"/>
          <w:sz w:val="24"/>
          <w:szCs w:val="24"/>
        </w:rPr>
        <w:t>Variance Accounted For (VAF</w:t>
      </w:r>
      <w:r w:rsidRPr="005F5C76">
        <w:rPr>
          <w:rFonts w:ascii="Traditional Arabic" w:hAnsi="Traditional Arabic" w:cs="Traditional Arabic"/>
          <w:sz w:val="24"/>
          <w:szCs w:val="24"/>
          <w:rtl/>
        </w:rPr>
        <w:t>) ومعنوية معاملات المسار.</w:t>
      </w:r>
    </w:p>
    <w:p w14:paraId="70C1E750" w14:textId="77777777" w:rsidR="009422C8" w:rsidRPr="005F5C76" w:rsidRDefault="009422C8" w:rsidP="00A109ED">
      <w:pPr>
        <w:pStyle w:val="2"/>
        <w:bidi/>
        <w:spacing w:before="0" w:after="0" w:line="360" w:lineRule="auto"/>
        <w:jc w:val="both"/>
        <w:rPr>
          <w:rFonts w:ascii="Traditional Arabic" w:hAnsi="Traditional Arabic" w:cs="Traditional Arabic"/>
          <w:b w:val="0"/>
          <w:bCs w:val="0"/>
          <w:rtl/>
        </w:rPr>
      </w:pPr>
    </w:p>
    <w:p w14:paraId="23583430" w14:textId="7411FA72" w:rsidR="008615C2" w:rsidRPr="005F5C76" w:rsidRDefault="00000000" w:rsidP="00A109ED">
      <w:pPr>
        <w:pStyle w:val="2"/>
        <w:bidi/>
        <w:spacing w:before="0" w:after="0" w:line="360" w:lineRule="auto"/>
        <w:jc w:val="both"/>
        <w:rPr>
          <w:rFonts w:ascii="Traditional Arabic" w:hAnsi="Traditional Arabic" w:cs="Traditional Arabic"/>
          <w:sz w:val="32"/>
          <w:szCs w:val="32"/>
        </w:rPr>
      </w:pPr>
      <w:r w:rsidRPr="005F5C76">
        <w:rPr>
          <w:rFonts w:ascii="Traditional Arabic" w:hAnsi="Traditional Arabic" w:cs="Traditional Arabic"/>
          <w:sz w:val="32"/>
          <w:szCs w:val="32"/>
          <w:rtl/>
        </w:rPr>
        <w:t>أهمية الدراسة</w:t>
      </w:r>
    </w:p>
    <w:p w14:paraId="09D6E5C4" w14:textId="77777777" w:rsidR="008615C2"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sidRPr="005F5C76">
        <w:rPr>
          <w:rFonts w:ascii="Traditional Arabic" w:hAnsi="Traditional Arabic" w:cs="Traditional Arabic"/>
          <w:sz w:val="24"/>
          <w:szCs w:val="24"/>
          <w:rtl/>
        </w:rPr>
        <w:t>تكتسب هذه الدراسة أهميتها الأكاديمية والتطبيقية من خلال تقديم مساهمات نوعية لسد الثغرات النظرية والميدانية على النحو التالي:</w:t>
      </w:r>
    </w:p>
    <w:p w14:paraId="2DC7284D" w14:textId="77777777" w:rsidR="00A109ED" w:rsidRPr="005F5C76" w:rsidRDefault="00A109ED" w:rsidP="00A109ED">
      <w:pPr>
        <w:pBdr>
          <w:top w:val="nil"/>
          <w:left w:val="nil"/>
          <w:bottom w:val="nil"/>
          <w:right w:val="nil"/>
          <w:between w:val="nil"/>
        </w:pBdr>
        <w:bidi/>
        <w:spacing w:line="360" w:lineRule="auto"/>
        <w:jc w:val="both"/>
        <w:rPr>
          <w:rFonts w:ascii="Traditional Arabic" w:hAnsi="Traditional Arabic" w:cs="Traditional Arabic"/>
          <w:sz w:val="24"/>
          <w:szCs w:val="24"/>
        </w:rPr>
      </w:pPr>
    </w:p>
    <w:p w14:paraId="143938E4" w14:textId="5553BA82" w:rsidR="008615C2" w:rsidRPr="005F5C76" w:rsidRDefault="00000000" w:rsidP="00A109ED">
      <w:pPr>
        <w:pStyle w:val="3"/>
        <w:bidi/>
        <w:spacing w:before="0" w:after="0" w:line="360" w:lineRule="auto"/>
        <w:jc w:val="both"/>
        <w:rPr>
          <w:rFonts w:ascii="Traditional Arabic" w:hAnsi="Traditional Arabic" w:cs="Traditional Arabic"/>
        </w:rPr>
      </w:pPr>
      <w:r w:rsidRPr="005F5C76">
        <w:rPr>
          <w:rFonts w:ascii="Traditional Arabic" w:hAnsi="Traditional Arabic" w:cs="Traditional Arabic"/>
          <w:rtl/>
        </w:rPr>
        <w:lastRenderedPageBreak/>
        <w:t>الأهمية النظرية:</w:t>
      </w:r>
    </w:p>
    <w:p w14:paraId="72484E81" w14:textId="77777777" w:rsidR="008615C2" w:rsidRPr="005F5C76" w:rsidRDefault="00000000" w:rsidP="00A109ED">
      <w:pPr>
        <w:numPr>
          <w:ilvl w:val="0"/>
          <w:numId w:val="7"/>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تطوير وتكامل النماذج النظرية للإدارة التكنولوجية: تسهم الدراسة في إثراء نموذج </w:t>
      </w:r>
      <w:r w:rsidRPr="005F5C76">
        <w:rPr>
          <w:rFonts w:ascii="Traditional Arabic" w:hAnsi="Traditional Arabic" w:cs="Traditional Arabic"/>
          <w:sz w:val="24"/>
          <w:szCs w:val="24"/>
        </w:rPr>
        <w:t>TAM</w:t>
      </w:r>
      <w:r w:rsidRPr="005F5C76">
        <w:rPr>
          <w:rFonts w:ascii="Traditional Arabic" w:hAnsi="Traditional Arabic" w:cs="Traditional Arabic"/>
          <w:sz w:val="24"/>
          <w:szCs w:val="24"/>
          <w:rtl/>
        </w:rPr>
        <w:t xml:space="preserve"> ونظرية القدرات الديناميكية من خلال بناء نموذج هيكلي مركب يختبر النضج الرقمي وسيطاً يفسّر الآليات الحقيقية التي يتم عبرها تحويل القدرات التقنية للذكاء الاصطناعي إلى جودة قرارات تنظيمية ملموسة (</w:t>
      </w:r>
      <w:proofErr w:type="spellStart"/>
      <w:r w:rsidRPr="005F5C76">
        <w:rPr>
          <w:rFonts w:ascii="Traditional Arabic" w:hAnsi="Traditional Arabic" w:cs="Traditional Arabic"/>
          <w:sz w:val="24"/>
          <w:szCs w:val="24"/>
        </w:rPr>
        <w:t>Saeede</w:t>
      </w:r>
      <w:proofErr w:type="spellEnd"/>
      <w:r w:rsidRPr="005F5C76">
        <w:rPr>
          <w:rFonts w:ascii="Traditional Arabic" w:hAnsi="Traditional Arabic" w:cs="Traditional Arabic"/>
          <w:sz w:val="24"/>
          <w:szCs w:val="24"/>
        </w:rPr>
        <w:t xml:space="preserve">, 2025; </w:t>
      </w:r>
      <w:proofErr w:type="spellStart"/>
      <w:r w:rsidRPr="005F5C76">
        <w:rPr>
          <w:rFonts w:ascii="Traditional Arabic" w:hAnsi="Traditional Arabic" w:cs="Traditional Arabic"/>
          <w:sz w:val="24"/>
          <w:szCs w:val="24"/>
        </w:rPr>
        <w:t>Nijhum</w:t>
      </w:r>
      <w:proofErr w:type="spellEnd"/>
      <w:r w:rsidRPr="005F5C76">
        <w:rPr>
          <w:rFonts w:ascii="Traditional Arabic" w:hAnsi="Traditional Arabic" w:cs="Traditional Arabic"/>
          <w:sz w:val="24"/>
          <w:szCs w:val="24"/>
          <w:rtl/>
        </w:rPr>
        <w:t>, 2025).</w:t>
      </w:r>
    </w:p>
    <w:p w14:paraId="5AF8963C" w14:textId="77777777" w:rsidR="008615C2" w:rsidRDefault="00000000" w:rsidP="00A109ED">
      <w:pPr>
        <w:numPr>
          <w:ilvl w:val="0"/>
          <w:numId w:val="7"/>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التأصيل المفاهيمي المدمج والحديث: توفر الدراسة إطاراً نظرياً شاملاً يدمج أبعاد إطار تبني الذكاء الاصطناعي الصادر حديثاً عن (الهيئة السعودية للبيانات والذكاء الاصطناعي [</w:t>
      </w:r>
      <w:proofErr w:type="spellStart"/>
      <w:r w:rsidRPr="005F5C76">
        <w:rPr>
          <w:rFonts w:ascii="Traditional Arabic" w:hAnsi="Traditional Arabic" w:cs="Traditional Arabic"/>
          <w:sz w:val="24"/>
          <w:szCs w:val="24"/>
          <w:rtl/>
        </w:rPr>
        <w:t>سدايا</w:t>
      </w:r>
      <w:proofErr w:type="spellEnd"/>
      <w:r w:rsidRPr="005F5C76">
        <w:rPr>
          <w:rFonts w:ascii="Traditional Arabic" w:hAnsi="Traditional Arabic" w:cs="Traditional Arabic"/>
          <w:sz w:val="24"/>
          <w:szCs w:val="24"/>
          <w:rtl/>
        </w:rPr>
        <w:t>]، 2024)، مع أبعاد نماذج النضج الرقمي العالمية المخصصة للقطاع الثالث (</w:t>
      </w:r>
      <w:r w:rsidRPr="005F5C76">
        <w:rPr>
          <w:rFonts w:ascii="Traditional Arabic" w:hAnsi="Traditional Arabic" w:cs="Traditional Arabic"/>
          <w:sz w:val="24"/>
          <w:szCs w:val="24"/>
        </w:rPr>
        <w:t>NetHope</w:t>
      </w:r>
      <w:r w:rsidRPr="005F5C76">
        <w:rPr>
          <w:rFonts w:ascii="Traditional Arabic" w:hAnsi="Traditional Arabic" w:cs="Traditional Arabic"/>
          <w:sz w:val="24"/>
          <w:szCs w:val="24"/>
          <w:rtl/>
        </w:rPr>
        <w:t>, 2023)، وهو دمج علمي رائد لم يُختبر بهذا الشمول في البيئة العربية والمحلية مسبقاً.</w:t>
      </w:r>
    </w:p>
    <w:p w14:paraId="0C143CE6" w14:textId="77777777" w:rsidR="00A109ED" w:rsidRPr="005F5C76" w:rsidRDefault="00A109ED" w:rsidP="00A109ED">
      <w:pPr>
        <w:pBdr>
          <w:top w:val="nil"/>
          <w:left w:val="nil"/>
          <w:bottom w:val="nil"/>
          <w:right w:val="nil"/>
          <w:between w:val="nil"/>
        </w:pBdr>
        <w:bidi/>
        <w:spacing w:line="360" w:lineRule="auto"/>
        <w:ind w:left="600"/>
        <w:jc w:val="both"/>
        <w:rPr>
          <w:rFonts w:ascii="Traditional Arabic" w:hAnsi="Traditional Arabic" w:cs="Traditional Arabic"/>
          <w:sz w:val="24"/>
          <w:szCs w:val="24"/>
        </w:rPr>
      </w:pPr>
    </w:p>
    <w:p w14:paraId="0DA860E1" w14:textId="59D3EAA9" w:rsidR="008615C2" w:rsidRPr="005F5C76" w:rsidRDefault="00000000" w:rsidP="00A109ED">
      <w:pPr>
        <w:pStyle w:val="3"/>
        <w:bidi/>
        <w:spacing w:before="0" w:after="0" w:line="360" w:lineRule="auto"/>
        <w:jc w:val="both"/>
        <w:rPr>
          <w:rFonts w:ascii="Traditional Arabic" w:hAnsi="Traditional Arabic" w:cs="Traditional Arabic"/>
        </w:rPr>
      </w:pPr>
      <w:r w:rsidRPr="005F5C76">
        <w:rPr>
          <w:rFonts w:ascii="Traditional Arabic" w:hAnsi="Traditional Arabic" w:cs="Traditional Arabic"/>
          <w:rtl/>
        </w:rPr>
        <w:t>الأهمية التطبيقية (العملية):</w:t>
      </w:r>
    </w:p>
    <w:p w14:paraId="0F994C7E" w14:textId="77777777" w:rsidR="008615C2" w:rsidRPr="005F5C76" w:rsidRDefault="00000000" w:rsidP="00A109ED">
      <w:pPr>
        <w:numPr>
          <w:ilvl w:val="0"/>
          <w:numId w:val="8"/>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سد الفجوة الميدانية في القطاع غير الربحي: تندر الدراسات الميدانية الهيكلية الرصينة لتبني الذكاء الاصطناعي وحوكمته داخل الكيانات الأهلية السعودية، وتأتي هذه الدراسة لتزود الكوادر الإدارية بأداة تقييم موضوعية تؤطر مسيرتهم نحو </w:t>
      </w:r>
      <w:proofErr w:type="spellStart"/>
      <w:r w:rsidRPr="005F5C76">
        <w:rPr>
          <w:rFonts w:ascii="Traditional Arabic" w:hAnsi="Traditional Arabic" w:cs="Traditional Arabic"/>
          <w:sz w:val="24"/>
          <w:szCs w:val="24"/>
          <w:rtl/>
        </w:rPr>
        <w:t>الرقمنة</w:t>
      </w:r>
      <w:proofErr w:type="spellEnd"/>
      <w:r w:rsidRPr="005F5C76">
        <w:rPr>
          <w:rFonts w:ascii="Traditional Arabic" w:hAnsi="Traditional Arabic" w:cs="Traditional Arabic"/>
          <w:sz w:val="24"/>
          <w:szCs w:val="24"/>
          <w:rtl/>
        </w:rPr>
        <w:t xml:space="preserve"> الفعالة وتساعدهم في قياس فاعلية نظم أتمتة العمليات والتحول التنظيمي (حكمي وآخرون, 2022).</w:t>
      </w:r>
    </w:p>
    <w:p w14:paraId="07182C75" w14:textId="77777777" w:rsidR="008615C2" w:rsidRPr="005F5C76" w:rsidRDefault="00000000" w:rsidP="00A109ED">
      <w:pPr>
        <w:numPr>
          <w:ilvl w:val="0"/>
          <w:numId w:val="8"/>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المواءمة الاستراتيجية مع رؤية المملكة 2030: تتماشى الدراسة بشكل مباشر مع برنامج التحول الوطني ومستهدفات المركز الوطني لتنمية القطاع غير الربحي الرامية للوصول بمستويات الحوكمة والشفافية والتميز المؤسسي في المنظمات الأهلية إلى مستويات عالية تضمن استدامتها (المركز الوطني لتنمية القطاع غير الربحي، 2024).</w:t>
      </w:r>
    </w:p>
    <w:p w14:paraId="456E3E33" w14:textId="77777777" w:rsidR="008615C2" w:rsidRDefault="00000000" w:rsidP="00A109ED">
      <w:pPr>
        <w:numPr>
          <w:ilvl w:val="0"/>
          <w:numId w:val="8"/>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دعم وتمكين صناع القرار وتقليل المخاطر التشغيلية: توفر الدراسة أدلة إحصائية ميدانية واضحة لتمكين مجالس الإدارة والمديرين التنفيذيين بالجمعيات والمؤسسات الأهلية من توجيه استثماراتهم التقنية المستقبلية بكفاءة، وقيادة جهود التغيير للتغلب على مقاومة التحول الرقمي ومكافحة فشل المشاريع التقنية (</w:t>
      </w:r>
      <w:r w:rsidRPr="005F5C76">
        <w:rPr>
          <w:rFonts w:ascii="Traditional Arabic" w:hAnsi="Traditional Arabic" w:cs="Traditional Arabic"/>
          <w:sz w:val="24"/>
          <w:szCs w:val="24"/>
        </w:rPr>
        <w:t>Brewer</w:t>
      </w:r>
      <w:r w:rsidRPr="005F5C76">
        <w:rPr>
          <w:rFonts w:ascii="Traditional Arabic" w:hAnsi="Traditional Arabic" w:cs="Traditional Arabic"/>
          <w:sz w:val="24"/>
          <w:szCs w:val="24"/>
          <w:rtl/>
        </w:rPr>
        <w:t>, 2023). كما تسهم في ضمان حماية بيانات المستفيدين الحساسة والامتثال لنظام حماية البيانات الشخصية (</w:t>
      </w:r>
      <w:r w:rsidRPr="005F5C76">
        <w:rPr>
          <w:rFonts w:ascii="Traditional Arabic" w:hAnsi="Traditional Arabic" w:cs="Traditional Arabic"/>
          <w:sz w:val="24"/>
          <w:szCs w:val="24"/>
        </w:rPr>
        <w:t>PDPL</w:t>
      </w:r>
      <w:r w:rsidRPr="005F5C76">
        <w:rPr>
          <w:rFonts w:ascii="Traditional Arabic" w:hAnsi="Traditional Arabic" w:cs="Traditional Arabic"/>
          <w:sz w:val="24"/>
          <w:szCs w:val="24"/>
          <w:rtl/>
        </w:rPr>
        <w:t>) تفادياً لأي غرامات قد تصل لـ 5 ملايين ريال سعودي (الهيئة السعودية للبيانات والذكاء الاصطناعي [</w:t>
      </w:r>
      <w:proofErr w:type="spellStart"/>
      <w:r w:rsidRPr="005F5C76">
        <w:rPr>
          <w:rFonts w:ascii="Traditional Arabic" w:hAnsi="Traditional Arabic" w:cs="Traditional Arabic"/>
          <w:sz w:val="24"/>
          <w:szCs w:val="24"/>
          <w:rtl/>
        </w:rPr>
        <w:t>سدايا</w:t>
      </w:r>
      <w:proofErr w:type="spellEnd"/>
      <w:r w:rsidRPr="005F5C76">
        <w:rPr>
          <w:rFonts w:ascii="Traditional Arabic" w:hAnsi="Traditional Arabic" w:cs="Traditional Arabic"/>
          <w:sz w:val="24"/>
          <w:szCs w:val="24"/>
          <w:rtl/>
        </w:rPr>
        <w:t>]، 2024).</w:t>
      </w:r>
    </w:p>
    <w:p w14:paraId="61A0B341" w14:textId="77777777" w:rsidR="00A109ED" w:rsidRPr="005F5C76" w:rsidRDefault="00A109ED" w:rsidP="00A109ED">
      <w:pPr>
        <w:pBdr>
          <w:top w:val="nil"/>
          <w:left w:val="nil"/>
          <w:bottom w:val="nil"/>
          <w:right w:val="nil"/>
          <w:between w:val="nil"/>
        </w:pBdr>
        <w:bidi/>
        <w:spacing w:line="360" w:lineRule="auto"/>
        <w:ind w:left="600"/>
        <w:jc w:val="both"/>
        <w:rPr>
          <w:rFonts w:ascii="Traditional Arabic" w:hAnsi="Traditional Arabic" w:cs="Traditional Arabic"/>
          <w:sz w:val="24"/>
          <w:szCs w:val="24"/>
        </w:rPr>
      </w:pPr>
    </w:p>
    <w:p w14:paraId="3154FF1F" w14:textId="373C3AA3" w:rsidR="008615C2" w:rsidRPr="005F5C76" w:rsidRDefault="00000000" w:rsidP="00A109ED">
      <w:pPr>
        <w:pStyle w:val="2"/>
        <w:bidi/>
        <w:spacing w:before="0" w:after="0" w:line="360" w:lineRule="auto"/>
        <w:jc w:val="both"/>
        <w:rPr>
          <w:rFonts w:ascii="Traditional Arabic" w:hAnsi="Traditional Arabic" w:cs="Traditional Arabic"/>
          <w:sz w:val="32"/>
          <w:szCs w:val="32"/>
        </w:rPr>
      </w:pPr>
      <w:r w:rsidRPr="005F5C76">
        <w:rPr>
          <w:rFonts w:ascii="Traditional Arabic" w:hAnsi="Traditional Arabic" w:cs="Traditional Arabic"/>
          <w:sz w:val="32"/>
          <w:szCs w:val="32"/>
          <w:rtl/>
        </w:rPr>
        <w:t>نموذج ومتغيرات الدراسة</w:t>
      </w:r>
    </w:p>
    <w:p w14:paraId="24CC24E0" w14:textId="0F5532FE" w:rsidR="008615C2" w:rsidRPr="00A109ED"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A109ED">
        <w:rPr>
          <w:rFonts w:ascii="Traditional Arabic" w:hAnsi="Traditional Arabic" w:cs="Traditional Arabic"/>
          <w:sz w:val="24"/>
          <w:szCs w:val="24"/>
          <w:rtl/>
        </w:rPr>
        <w:t>يعكس نموذج الدراسة التفاعلاتِ المباشرة وغير المباشرة بين المتغيرات الأساسية الثلاثة، إذ يربط المتغيرَ المستقل بالمتغير التابع عبر الممر الوسيط للنضج الرقمي. ويُمثَّل الشكل (1-1) هذه العلاقات البنائية على النحو الآتي:</w:t>
      </w:r>
    </w:p>
    <w:p w14:paraId="77343716" w14:textId="691A217C" w:rsidR="005F5C76" w:rsidRDefault="00A109ED" w:rsidP="008048E3">
      <w:pPr>
        <w:pStyle w:val="3"/>
        <w:bidi/>
        <w:spacing w:before="0" w:after="0" w:line="360" w:lineRule="auto"/>
        <w:jc w:val="both"/>
        <w:rPr>
          <w:rFonts w:ascii="Traditional Arabic" w:hAnsi="Traditional Arabic" w:cs="Traditional Arabic"/>
          <w:rtl/>
        </w:rPr>
      </w:pPr>
      <w:r>
        <w:rPr>
          <w:rFonts w:ascii="Traditional Arabic" w:hAnsi="Traditional Arabic" w:cs="Traditional Arabic"/>
          <w:noProof/>
          <w:rtl/>
          <w:lang w:val="ar-SA"/>
        </w:rPr>
        <w:lastRenderedPageBreak/>
        <mc:AlternateContent>
          <mc:Choice Requires="wpg">
            <w:drawing>
              <wp:anchor distT="0" distB="0" distL="114300" distR="114300" simplePos="0" relativeHeight="251659264" behindDoc="0" locked="0" layoutInCell="1" allowOverlap="1" wp14:anchorId="42F679B8" wp14:editId="3E36C702">
                <wp:simplePos x="0" y="0"/>
                <wp:positionH relativeFrom="column">
                  <wp:posOffset>763905</wp:posOffset>
                </wp:positionH>
                <wp:positionV relativeFrom="paragraph">
                  <wp:posOffset>573881</wp:posOffset>
                </wp:positionV>
                <wp:extent cx="4609474" cy="2244217"/>
                <wp:effectExtent l="0" t="0" r="13335" b="0"/>
                <wp:wrapTopAndBottom/>
                <wp:docPr id="1356387768" name="مجموعة 17"/>
                <wp:cNvGraphicFramePr/>
                <a:graphic xmlns:a="http://schemas.openxmlformats.org/drawingml/2006/main">
                  <a:graphicData uri="http://schemas.microsoft.com/office/word/2010/wordprocessingGroup">
                    <wpg:wgp>
                      <wpg:cNvGrpSpPr/>
                      <wpg:grpSpPr>
                        <a:xfrm>
                          <a:off x="0" y="0"/>
                          <a:ext cx="4609474" cy="2244217"/>
                          <a:chOff x="0" y="0"/>
                          <a:chExt cx="4609474" cy="2244217"/>
                        </a:xfrm>
                      </wpg:grpSpPr>
                      <wps:wsp>
                        <wps:cNvPr id="1065159328" name="مستطيل 1"/>
                        <wps:cNvSpPr/>
                        <wps:spPr>
                          <a:xfrm>
                            <a:off x="1114425" y="0"/>
                            <a:ext cx="2149806" cy="532014"/>
                          </a:xfrm>
                          <a:prstGeom prst="rect">
                            <a:avLst/>
                          </a:prstGeom>
                          <a:ln w="6350"/>
                        </wps:spPr>
                        <wps:style>
                          <a:lnRef idx="2">
                            <a:schemeClr val="dk1"/>
                          </a:lnRef>
                          <a:fillRef idx="1">
                            <a:schemeClr val="lt1"/>
                          </a:fillRef>
                          <a:effectRef idx="0">
                            <a:schemeClr val="dk1"/>
                          </a:effectRef>
                          <a:fontRef idx="minor">
                            <a:schemeClr val="dk1"/>
                          </a:fontRef>
                        </wps:style>
                        <wps:txbx>
                          <w:txbxContent>
                            <w:p w14:paraId="7BAA01D8" w14:textId="77777777" w:rsidR="00A109ED" w:rsidRPr="00A109ED" w:rsidRDefault="00A109ED" w:rsidP="00A109ED">
                              <w:pPr>
                                <w:jc w:val="center"/>
                                <w:rPr>
                                  <w:rFonts w:ascii="Traditional Arabic" w:hAnsi="Traditional Arabic" w:cs="Traditional Arabic"/>
                                  <w:rtl/>
                                </w:rPr>
                              </w:pPr>
                              <w:r w:rsidRPr="00A109ED">
                                <w:rPr>
                                  <w:rFonts w:ascii="Traditional Arabic" w:hAnsi="Traditional Arabic" w:cs="Traditional Arabic"/>
                                  <w:rtl/>
                                </w:rPr>
                                <w:t>النضج الرقمي (متغير وسيط)</w:t>
                              </w:r>
                            </w:p>
                            <w:p w14:paraId="4415AAD1" w14:textId="77777777" w:rsidR="00A109ED" w:rsidRPr="00A109ED" w:rsidRDefault="00A109ED" w:rsidP="00A109ED">
                              <w:pPr>
                                <w:jc w:val="center"/>
                                <w:rPr>
                                  <w:rFonts w:ascii="Traditional Arabic" w:hAnsi="Traditional Arabic" w:cs="Traditional Arabic"/>
                                </w:rPr>
                              </w:pPr>
                              <w:r w:rsidRPr="00A109ED">
                                <w:rPr>
                                  <w:rFonts w:ascii="Traditional Arabic" w:hAnsi="Traditional Arabic" w:cs="Traditional Arabic"/>
                                  <w:rtl/>
                                </w:rPr>
                                <w:t>(تكنولوجيا، ثقافة، عمليات، رؤى)</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233538" name="مستطيل 1"/>
                        <wps:cNvSpPr/>
                        <wps:spPr>
                          <a:xfrm>
                            <a:off x="2614613" y="1000125"/>
                            <a:ext cx="1994861" cy="532014"/>
                          </a:xfrm>
                          <a:prstGeom prst="rect">
                            <a:avLst/>
                          </a:prstGeom>
                          <a:ln w="6350"/>
                        </wps:spPr>
                        <wps:style>
                          <a:lnRef idx="2">
                            <a:schemeClr val="dk1"/>
                          </a:lnRef>
                          <a:fillRef idx="1">
                            <a:schemeClr val="lt1"/>
                          </a:fillRef>
                          <a:effectRef idx="0">
                            <a:schemeClr val="dk1"/>
                          </a:effectRef>
                          <a:fontRef idx="minor">
                            <a:schemeClr val="dk1"/>
                          </a:fontRef>
                        </wps:style>
                        <wps:txbx>
                          <w:txbxContent>
                            <w:p w14:paraId="0E46DB30" w14:textId="77777777" w:rsidR="00A109ED" w:rsidRPr="00A109ED" w:rsidRDefault="00A109ED" w:rsidP="00A109ED">
                              <w:pPr>
                                <w:jc w:val="center"/>
                                <w:rPr>
                                  <w:rFonts w:ascii="Traditional Arabic" w:hAnsi="Traditional Arabic" w:cs="Traditional Arabic"/>
                                  <w:rtl/>
                                </w:rPr>
                              </w:pPr>
                              <w:r w:rsidRPr="00A109ED">
                                <w:rPr>
                                  <w:rFonts w:ascii="Traditional Arabic" w:hAnsi="Traditional Arabic" w:cs="Traditional Arabic"/>
                                  <w:rtl/>
                                </w:rPr>
                                <w:t>جودة القرار الإداري (تابع)</w:t>
                              </w:r>
                            </w:p>
                            <w:p w14:paraId="4F5369F2" w14:textId="77777777" w:rsidR="00A109ED" w:rsidRPr="00A109ED" w:rsidRDefault="00A109ED" w:rsidP="00A109ED">
                              <w:pPr>
                                <w:jc w:val="center"/>
                                <w:rPr>
                                  <w:rFonts w:ascii="Traditional Arabic" w:hAnsi="Traditional Arabic" w:cs="Traditional Arabic"/>
                                </w:rPr>
                              </w:pPr>
                              <w:r w:rsidRPr="00A109ED">
                                <w:rPr>
                                  <w:rFonts w:ascii="Traditional Arabic" w:hAnsi="Traditional Arabic" w:cs="Traditional Arabic"/>
                                  <w:rtl/>
                                </w:rPr>
                                <w:t>(استراتيجية، حوكمة، بيانات، بنية تحتية)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48601665" name="مستطيل 1"/>
                        <wps:cNvSpPr/>
                        <wps:spPr>
                          <a:xfrm>
                            <a:off x="0" y="1000125"/>
                            <a:ext cx="1994861" cy="532014"/>
                          </a:xfrm>
                          <a:prstGeom prst="rect">
                            <a:avLst/>
                          </a:prstGeom>
                          <a:ln w="6350"/>
                        </wps:spPr>
                        <wps:style>
                          <a:lnRef idx="2">
                            <a:schemeClr val="dk1"/>
                          </a:lnRef>
                          <a:fillRef idx="1">
                            <a:schemeClr val="lt1"/>
                          </a:fillRef>
                          <a:effectRef idx="0">
                            <a:schemeClr val="dk1"/>
                          </a:effectRef>
                          <a:fontRef idx="minor">
                            <a:schemeClr val="dk1"/>
                          </a:fontRef>
                        </wps:style>
                        <wps:txbx>
                          <w:txbxContent>
                            <w:p w14:paraId="4E145AE1" w14:textId="77777777" w:rsidR="00A109ED" w:rsidRPr="00A109ED" w:rsidRDefault="00A109ED" w:rsidP="00A109ED">
                              <w:pPr>
                                <w:jc w:val="center"/>
                                <w:rPr>
                                  <w:rFonts w:ascii="Traditional Arabic" w:hAnsi="Traditional Arabic" w:cs="Traditional Arabic"/>
                                  <w:rtl/>
                                </w:rPr>
                              </w:pPr>
                              <w:r w:rsidRPr="00A109ED">
                                <w:rPr>
                                  <w:rFonts w:ascii="Traditional Arabic" w:hAnsi="Traditional Arabic" w:cs="Traditional Arabic"/>
                                  <w:rtl/>
                                </w:rPr>
                                <w:t>تبني الذكاء الاصطناعي (مستقل)</w:t>
                              </w:r>
                            </w:p>
                            <w:p w14:paraId="7DEF4E24" w14:textId="77777777" w:rsidR="00A109ED" w:rsidRPr="00A109ED" w:rsidRDefault="00A109ED" w:rsidP="00A109ED">
                              <w:pPr>
                                <w:jc w:val="center"/>
                                <w:rPr>
                                  <w:rFonts w:ascii="Traditional Arabic" w:hAnsi="Traditional Arabic" w:cs="Traditional Arabic"/>
                                </w:rPr>
                              </w:pPr>
                              <w:r w:rsidRPr="00A109ED">
                                <w:rPr>
                                  <w:rFonts w:ascii="Traditional Arabic" w:hAnsi="Traditional Arabic" w:cs="Traditional Arabic"/>
                                  <w:rtl/>
                                </w:rPr>
                                <w:t>(عقلانية، توقيت، دقة، كفاءة)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44206635" name="رابط كسهم مستقيم 10"/>
                        <wps:cNvCnPr/>
                        <wps:spPr>
                          <a:xfrm flipH="1">
                            <a:off x="1993107" y="1250950"/>
                            <a:ext cx="624976" cy="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wps:wsp>
                        <wps:cNvPr id="1305432098" name="رابط كسهم مستقيم 11"/>
                        <wps:cNvCnPr/>
                        <wps:spPr>
                          <a:xfrm flipV="1">
                            <a:off x="3071019" y="532606"/>
                            <a:ext cx="0" cy="462388"/>
                          </a:xfrm>
                          <a:prstGeom prst="straightConnector1">
                            <a:avLst/>
                          </a:prstGeom>
                          <a:ln w="3175">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937192726" name="رابط كسهم مستقيم 12"/>
                        <wps:cNvCnPr/>
                        <wps:spPr>
                          <a:xfrm>
                            <a:off x="1506538" y="535781"/>
                            <a:ext cx="0" cy="462388"/>
                          </a:xfrm>
                          <a:prstGeom prst="straightConnector1">
                            <a:avLst/>
                          </a:prstGeom>
                          <a:ln w="3175">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g:grpSp>
                        <wpg:cNvPr id="207314090" name="مجموعة 15"/>
                        <wpg:cNvGrpSpPr/>
                        <wpg:grpSpPr>
                          <a:xfrm>
                            <a:off x="1506538" y="1525587"/>
                            <a:ext cx="1606269" cy="335700"/>
                            <a:chOff x="0" y="0"/>
                            <a:chExt cx="1606274" cy="335722"/>
                          </a:xfrm>
                        </wpg:grpSpPr>
                        <wps:wsp>
                          <wps:cNvPr id="2077586905" name="رابط كسهم مستقيم 11"/>
                          <wps:cNvCnPr/>
                          <wps:spPr>
                            <a:xfrm flipV="1">
                              <a:off x="1657" y="25400"/>
                              <a:ext cx="0" cy="310322"/>
                            </a:xfrm>
                            <a:prstGeom prst="straightConnector1">
                              <a:avLst/>
                            </a:prstGeom>
                            <a:ln w="3175">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856866281" name="موصل مستقيم 13"/>
                          <wps:cNvCnPr/>
                          <wps:spPr>
                            <a:xfrm>
                              <a:off x="0" y="335722"/>
                              <a:ext cx="1606274" cy="0"/>
                            </a:xfrm>
                            <a:prstGeom prst="line">
                              <a:avLst/>
                            </a:prstGeom>
                            <a:ln w="3175">
                              <a:solidFill>
                                <a:schemeClr val="tx1"/>
                              </a:solidFill>
                            </a:ln>
                          </wps:spPr>
                          <wps:style>
                            <a:lnRef idx="1">
                              <a:schemeClr val="dk1"/>
                            </a:lnRef>
                            <a:fillRef idx="0">
                              <a:schemeClr val="dk1"/>
                            </a:fillRef>
                            <a:effectRef idx="0">
                              <a:schemeClr val="dk1"/>
                            </a:effectRef>
                            <a:fontRef idx="minor">
                              <a:schemeClr val="tx1"/>
                            </a:fontRef>
                          </wps:style>
                          <wps:bodyPr/>
                        </wps:wsp>
                        <wps:wsp>
                          <wps:cNvPr id="76944982" name="موصل مستقيم 14"/>
                          <wps:cNvCnPr/>
                          <wps:spPr>
                            <a:xfrm flipV="1">
                              <a:off x="1603513" y="0"/>
                              <a:ext cx="0" cy="333872"/>
                            </a:xfrm>
                            <a:prstGeom prst="line">
                              <a:avLst/>
                            </a:prstGeom>
                            <a:ln w="3175">
                              <a:solidFill>
                                <a:schemeClr val="tx1"/>
                              </a:solidFill>
                            </a:ln>
                          </wps:spPr>
                          <wps:style>
                            <a:lnRef idx="1">
                              <a:schemeClr val="dk1"/>
                            </a:lnRef>
                            <a:fillRef idx="0">
                              <a:schemeClr val="dk1"/>
                            </a:fillRef>
                            <a:effectRef idx="0">
                              <a:schemeClr val="dk1"/>
                            </a:effectRef>
                            <a:fontRef idx="minor">
                              <a:schemeClr val="tx1"/>
                            </a:fontRef>
                          </wps:style>
                          <wps:bodyPr/>
                        </wps:wsp>
                      </wpg:grpSp>
                      <wps:wsp>
                        <wps:cNvPr id="256049496" name="مستطيل 1"/>
                        <wps:cNvSpPr/>
                        <wps:spPr>
                          <a:xfrm>
                            <a:off x="1314450" y="1964531"/>
                            <a:ext cx="1994529" cy="279686"/>
                          </a:xfrm>
                          <a:prstGeom prst="rect">
                            <a:avLst/>
                          </a:prstGeom>
                          <a:noFill/>
                          <a:ln w="6350">
                            <a:noFill/>
                          </a:ln>
                        </wps:spPr>
                        <wps:style>
                          <a:lnRef idx="2">
                            <a:schemeClr val="dk1"/>
                          </a:lnRef>
                          <a:fillRef idx="1">
                            <a:schemeClr val="lt1"/>
                          </a:fillRef>
                          <a:effectRef idx="0">
                            <a:schemeClr val="dk1"/>
                          </a:effectRef>
                          <a:fontRef idx="minor">
                            <a:schemeClr val="dk1"/>
                          </a:fontRef>
                        </wps:style>
                        <wps:txbx>
                          <w:txbxContent>
                            <w:p w14:paraId="6095A433" w14:textId="77777777" w:rsidR="00A109ED" w:rsidRPr="00A109ED" w:rsidRDefault="00A109ED" w:rsidP="00A109ED">
                              <w:pPr>
                                <w:bidi/>
                                <w:jc w:val="center"/>
                                <w:rPr>
                                  <w:rFonts w:ascii="Traditional Arabic" w:hAnsi="Traditional Arabic" w:cs="Traditional Arabic"/>
                                </w:rPr>
                              </w:pPr>
                              <w:r w:rsidRPr="00A109ED">
                                <w:rPr>
                                  <w:rFonts w:ascii="Traditional Arabic" w:hAnsi="Traditional Arabic" w:cs="Traditional Arabic"/>
                                  <w:rtl/>
                                </w:rPr>
                                <w:t>التأثير الوسيط عبر (</w:t>
                              </w:r>
                              <w:r w:rsidRPr="00A109ED">
                                <w:rPr>
                                  <w:rFonts w:ascii="Traditional Arabic" w:hAnsi="Traditional Arabic" w:cs="Traditional Arabic"/>
                                </w:rPr>
                                <w:t>H2+H3</w:t>
                              </w:r>
                              <w:r w:rsidRPr="00A109ED">
                                <w:rPr>
                                  <w:rFonts w:ascii="Traditional Arabic" w:hAnsi="Traditional Arabic" w:cs="Traditional Arabic"/>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72933565" name="مستطيل 1"/>
                        <wps:cNvSpPr/>
                        <wps:spPr>
                          <a:xfrm>
                            <a:off x="2150269" y="1743075"/>
                            <a:ext cx="353391" cy="256191"/>
                          </a:xfrm>
                          <a:prstGeom prst="rect">
                            <a:avLst/>
                          </a:prstGeom>
                          <a:solidFill>
                            <a:schemeClr val="bg1"/>
                          </a:solidFill>
                          <a:ln w="6350">
                            <a:noFill/>
                          </a:ln>
                        </wps:spPr>
                        <wps:style>
                          <a:lnRef idx="2">
                            <a:schemeClr val="dk1"/>
                          </a:lnRef>
                          <a:fillRef idx="1">
                            <a:schemeClr val="lt1"/>
                          </a:fillRef>
                          <a:effectRef idx="0">
                            <a:schemeClr val="dk1"/>
                          </a:effectRef>
                          <a:fontRef idx="minor">
                            <a:schemeClr val="dk1"/>
                          </a:fontRef>
                        </wps:style>
                        <wps:txbx>
                          <w:txbxContent>
                            <w:p w14:paraId="67C932BC" w14:textId="77777777" w:rsidR="00A109ED" w:rsidRPr="00A109ED" w:rsidRDefault="00A109ED" w:rsidP="00A109ED">
                              <w:pPr>
                                <w:bidi/>
                                <w:jc w:val="center"/>
                                <w:rPr>
                                  <w:rFonts w:ascii="Traditional Arabic" w:hAnsi="Traditional Arabic" w:cs="Traditional Arabic"/>
                                  <w:sz w:val="20"/>
                                  <w:szCs w:val="20"/>
                                </w:rPr>
                              </w:pPr>
                              <w:r w:rsidRPr="00A109ED">
                                <w:rPr>
                                  <w:rFonts w:ascii="Traditional Arabic" w:hAnsi="Traditional Arabic" w:cs="Traditional Arabic"/>
                                  <w:sz w:val="20"/>
                                  <w:szCs w:val="20"/>
                                </w:rP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9858073" name="مستطيل 1"/>
                        <wps:cNvSpPr/>
                        <wps:spPr>
                          <a:xfrm>
                            <a:off x="2078832" y="1278731"/>
                            <a:ext cx="467910" cy="256191"/>
                          </a:xfrm>
                          <a:prstGeom prst="rect">
                            <a:avLst/>
                          </a:prstGeom>
                          <a:solidFill>
                            <a:schemeClr val="bg1"/>
                          </a:solidFill>
                          <a:ln w="6350">
                            <a:noFill/>
                          </a:ln>
                        </wps:spPr>
                        <wps:style>
                          <a:lnRef idx="2">
                            <a:schemeClr val="dk1"/>
                          </a:lnRef>
                          <a:fillRef idx="1">
                            <a:schemeClr val="lt1"/>
                          </a:fillRef>
                          <a:effectRef idx="0">
                            <a:schemeClr val="dk1"/>
                          </a:effectRef>
                          <a:fontRef idx="minor">
                            <a:schemeClr val="dk1"/>
                          </a:fontRef>
                        </wps:style>
                        <wps:txbx>
                          <w:txbxContent>
                            <w:p w14:paraId="2CAC39F4" w14:textId="77777777" w:rsidR="00A109ED" w:rsidRPr="00A109ED" w:rsidRDefault="00A109ED" w:rsidP="00A109ED">
                              <w:pPr>
                                <w:bidi/>
                                <w:jc w:val="center"/>
                                <w:rPr>
                                  <w:rFonts w:ascii="Traditional Arabic" w:hAnsi="Traditional Arabic" w:cs="Traditional Arabic"/>
                                  <w:sz w:val="20"/>
                                  <w:szCs w:val="20"/>
                                </w:rPr>
                              </w:pPr>
                              <w:r w:rsidRPr="00A109ED">
                                <w:rPr>
                                  <w:rFonts w:ascii="Traditional Arabic" w:hAnsi="Traditional Arabic" w:cs="Traditional Arabic"/>
                                  <w:sz w:val="20"/>
                                  <w:szCs w:val="20"/>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72284161" name="مستطيل 1"/>
                        <wps:cNvSpPr/>
                        <wps:spPr>
                          <a:xfrm>
                            <a:off x="3128963" y="671512"/>
                            <a:ext cx="467910" cy="256191"/>
                          </a:xfrm>
                          <a:prstGeom prst="rect">
                            <a:avLst/>
                          </a:prstGeom>
                          <a:solidFill>
                            <a:schemeClr val="bg1"/>
                          </a:solidFill>
                          <a:ln w="6350">
                            <a:noFill/>
                          </a:ln>
                        </wps:spPr>
                        <wps:style>
                          <a:lnRef idx="2">
                            <a:schemeClr val="dk1"/>
                          </a:lnRef>
                          <a:fillRef idx="1">
                            <a:schemeClr val="lt1"/>
                          </a:fillRef>
                          <a:effectRef idx="0">
                            <a:schemeClr val="dk1"/>
                          </a:effectRef>
                          <a:fontRef idx="minor">
                            <a:schemeClr val="dk1"/>
                          </a:fontRef>
                        </wps:style>
                        <wps:txbx>
                          <w:txbxContent>
                            <w:p w14:paraId="66380F71" w14:textId="77777777" w:rsidR="00A109ED" w:rsidRPr="00A109ED" w:rsidRDefault="00A109ED" w:rsidP="00A109ED">
                              <w:pPr>
                                <w:bidi/>
                                <w:jc w:val="center"/>
                                <w:rPr>
                                  <w:rFonts w:ascii="Traditional Arabic" w:hAnsi="Traditional Arabic" w:cs="Traditional Arabic"/>
                                  <w:sz w:val="20"/>
                                  <w:szCs w:val="20"/>
                                </w:rPr>
                              </w:pPr>
                              <w:r w:rsidRPr="00A109ED">
                                <w:rPr>
                                  <w:rFonts w:ascii="Traditional Arabic" w:hAnsi="Traditional Arabic" w:cs="Traditional Arabic"/>
                                  <w:sz w:val="20"/>
                                  <w:szCs w:val="20"/>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95400275" name="مستطيل 1"/>
                        <wps:cNvSpPr/>
                        <wps:spPr>
                          <a:xfrm>
                            <a:off x="1000125" y="635794"/>
                            <a:ext cx="467910" cy="256191"/>
                          </a:xfrm>
                          <a:prstGeom prst="rect">
                            <a:avLst/>
                          </a:prstGeom>
                          <a:solidFill>
                            <a:schemeClr val="bg1"/>
                          </a:solidFill>
                          <a:ln w="6350">
                            <a:noFill/>
                          </a:ln>
                        </wps:spPr>
                        <wps:style>
                          <a:lnRef idx="2">
                            <a:schemeClr val="dk1"/>
                          </a:lnRef>
                          <a:fillRef idx="1">
                            <a:schemeClr val="lt1"/>
                          </a:fillRef>
                          <a:effectRef idx="0">
                            <a:schemeClr val="dk1"/>
                          </a:effectRef>
                          <a:fontRef idx="minor">
                            <a:schemeClr val="dk1"/>
                          </a:fontRef>
                        </wps:style>
                        <wps:txbx>
                          <w:txbxContent>
                            <w:p w14:paraId="0FB55F09" w14:textId="77777777" w:rsidR="00A109ED" w:rsidRPr="00A109ED" w:rsidRDefault="00A109ED" w:rsidP="00A109ED">
                              <w:pPr>
                                <w:bidi/>
                                <w:jc w:val="center"/>
                                <w:rPr>
                                  <w:rFonts w:ascii="Traditional Arabic" w:hAnsi="Traditional Arabic" w:cs="Traditional Arabic"/>
                                  <w:sz w:val="20"/>
                                  <w:szCs w:val="20"/>
                                </w:rPr>
                              </w:pPr>
                              <w:r w:rsidRPr="00A109ED">
                                <w:rPr>
                                  <w:rFonts w:ascii="Traditional Arabic" w:hAnsi="Traditional Arabic" w:cs="Traditional Arabic"/>
                                  <w:sz w:val="20"/>
                                  <w:szCs w:val="20"/>
                                </w:rP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42F679B8" id="مجموعة 17" o:spid="_x0000_s1027" style="position:absolute;left:0;text-align:left;margin-left:60.15pt;margin-top:45.2pt;width:362.95pt;height:176.7pt;z-index:251659264" coordsize="46094,224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">
                <v:rect id="مستطيل 1" o:spid="_x0000_s1028" style="position:absolute;left:11144;width:21498;height:53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" fillcolor="white [3201]" strokecolor="black [3200]" strokeweight=".5pt">
                  <v:textbox>
                    <w:txbxContent>
                      <w:p w14:paraId="7BAA01D8" w14:textId="77777777" w:rsidR="00A109ED" w:rsidRPr="00A109ED" w:rsidRDefault="00A109ED" w:rsidP="00A109ED">
                        <w:pPr>
                          <w:jc w:val="center"/>
                          <w:rPr>
                            <w:rFonts w:ascii="Traditional Arabic" w:hAnsi="Traditional Arabic" w:cs="Traditional Arabic"/>
                            <w:rtl/>
                          </w:rPr>
                        </w:pPr>
                        <w:r w:rsidRPr="00A109ED">
                          <w:rPr>
                            <w:rFonts w:ascii="Traditional Arabic" w:hAnsi="Traditional Arabic" w:cs="Traditional Arabic"/>
                            <w:rtl/>
                          </w:rPr>
                          <w:t>النضج الرقمي (متغير وسيط)</w:t>
                        </w:r>
                      </w:p>
                      <w:p w14:paraId="4415AAD1" w14:textId="77777777" w:rsidR="00A109ED" w:rsidRPr="00A109ED" w:rsidRDefault="00A109ED" w:rsidP="00A109ED">
                        <w:pPr>
                          <w:jc w:val="center"/>
                          <w:rPr>
                            <w:rFonts w:ascii="Traditional Arabic" w:hAnsi="Traditional Arabic" w:cs="Traditional Arabic"/>
                          </w:rPr>
                        </w:pPr>
                        <w:r w:rsidRPr="00A109ED">
                          <w:rPr>
                            <w:rFonts w:ascii="Traditional Arabic" w:hAnsi="Traditional Arabic" w:cs="Traditional Arabic"/>
                            <w:rtl/>
                          </w:rPr>
                          <w:t>(تكنولوجيا، ثقافة، عمليات، رؤى)</w:t>
                        </w:r>
                      </w:p>
                    </w:txbxContent>
                  </v:textbox>
                </v:rect>
                <v:rect id="مستطيل 1" o:spid="_x0000_s1029" style="position:absolute;left:26146;top:10001;width:19948;height:53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" fillcolor="white [3201]" strokecolor="black [3200]" strokeweight=".5pt">
                  <v:textbox>
                    <w:txbxContent>
                      <w:p w14:paraId="0E46DB30" w14:textId="77777777" w:rsidR="00A109ED" w:rsidRPr="00A109ED" w:rsidRDefault="00A109ED" w:rsidP="00A109ED">
                        <w:pPr>
                          <w:jc w:val="center"/>
                          <w:rPr>
                            <w:rFonts w:ascii="Traditional Arabic" w:hAnsi="Traditional Arabic" w:cs="Traditional Arabic"/>
                            <w:rtl/>
                          </w:rPr>
                        </w:pPr>
                        <w:r w:rsidRPr="00A109ED">
                          <w:rPr>
                            <w:rFonts w:ascii="Traditional Arabic" w:hAnsi="Traditional Arabic" w:cs="Traditional Arabic"/>
                            <w:rtl/>
                          </w:rPr>
                          <w:t>جودة القرار الإداري (تابع)</w:t>
                        </w:r>
                      </w:p>
                      <w:p w14:paraId="4F5369F2" w14:textId="77777777" w:rsidR="00A109ED" w:rsidRPr="00A109ED" w:rsidRDefault="00A109ED" w:rsidP="00A109ED">
                        <w:pPr>
                          <w:jc w:val="center"/>
                          <w:rPr>
                            <w:rFonts w:ascii="Traditional Arabic" w:hAnsi="Traditional Arabic" w:cs="Traditional Arabic"/>
                          </w:rPr>
                        </w:pPr>
                        <w:r w:rsidRPr="00A109ED">
                          <w:rPr>
                            <w:rFonts w:ascii="Traditional Arabic" w:hAnsi="Traditional Arabic" w:cs="Traditional Arabic"/>
                            <w:rtl/>
                          </w:rPr>
                          <w:t>(استراتيجية، حوكمة، بيانات، بنية تحتية)</w:t>
                        </w:r>
                      </w:p>
                    </w:txbxContent>
                  </v:textbox>
                </v:rect>
                <v:rect id="مستطيل 1" o:spid="_x0000_s1030" style="position:absolute;top:10001;width:19948;height:53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" fillcolor="white [3201]" strokecolor="black [3200]" strokeweight=".5pt">
                  <v:textbox>
                    <w:txbxContent>
                      <w:p w14:paraId="4E145AE1" w14:textId="77777777" w:rsidR="00A109ED" w:rsidRPr="00A109ED" w:rsidRDefault="00A109ED" w:rsidP="00A109ED">
                        <w:pPr>
                          <w:jc w:val="center"/>
                          <w:rPr>
                            <w:rFonts w:ascii="Traditional Arabic" w:hAnsi="Traditional Arabic" w:cs="Traditional Arabic"/>
                            <w:rtl/>
                          </w:rPr>
                        </w:pPr>
                        <w:r w:rsidRPr="00A109ED">
                          <w:rPr>
                            <w:rFonts w:ascii="Traditional Arabic" w:hAnsi="Traditional Arabic" w:cs="Traditional Arabic"/>
                            <w:rtl/>
                          </w:rPr>
                          <w:t>تبني الذكاء الاصطناعي (مستقل)</w:t>
                        </w:r>
                      </w:p>
                      <w:p w14:paraId="7DEF4E24" w14:textId="77777777" w:rsidR="00A109ED" w:rsidRPr="00A109ED" w:rsidRDefault="00A109ED" w:rsidP="00A109ED">
                        <w:pPr>
                          <w:jc w:val="center"/>
                          <w:rPr>
                            <w:rFonts w:ascii="Traditional Arabic" w:hAnsi="Traditional Arabic" w:cs="Traditional Arabic"/>
                          </w:rPr>
                        </w:pPr>
                        <w:r w:rsidRPr="00A109ED">
                          <w:rPr>
                            <w:rFonts w:ascii="Traditional Arabic" w:hAnsi="Traditional Arabic" w:cs="Traditional Arabic"/>
                            <w:rtl/>
                          </w:rPr>
                          <w:t>(عقلانية، توقيت، دقة، كفاءة)</w:t>
                        </w:r>
                      </w:p>
                    </w:txbxContent>
                  </v:textbox>
                </v:rect>
                <v:shapetype id="_x0000_t32" coordsize="21600,21600" o:spt="32" o:oned="t" path="m,l21600,21600e" filled="f">
                  <v:path arrowok="t" fillok="f" o:connecttype="none"/>
                  <o:lock v:ext="edit" shapetype="t"/>
                </v:shapetype>
                <v:shape id="رابط كسهم مستقيم 10" o:spid="_x0000_s1031" type="#_x0000_t32" style="position:absolute;left:19931;top:12509;width:6249;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" strokecolor="black [3040]" strokeweight=".25pt">
                  <v:stroke endarrow="block"/>
                </v:shape>
                <v:shape id="رابط كسهم مستقيم 11" o:spid="_x0000_s1032" type="#_x0000_t32" style="position:absolute;left:30710;top:5326;width:0;height:4623;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" strokecolor="black [3213]" strokeweight=".25pt">
                  <v:stroke endarrow="block"/>
                </v:shape>
                <v:shape id="رابط كسهم مستقيم 12" o:spid="_x0000_s1033" type="#_x0000_t32" style="position:absolute;left:15065;top:5357;width:0;height:4624;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" strokecolor="black [3213]" strokeweight=".25pt">
                  <v:stroke endarrow="block"/>
                </v:shape>
                <v:group id="مجموعة 15" o:spid="_x0000_s1034" style="position:absolute;left:15065;top:15255;width:16063;height:3357" coordsize="16062,33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">
                  <v:shape id="رابط كسهم مستقيم 11" o:spid="_x0000_s1035" type="#_x0000_t32" style="position:absolute;left:16;top:254;width:0;height:3103;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" strokecolor="black [3213]" strokeweight=".25pt">
                    <v:stroke endarrow="block"/>
                  </v:shape>
                  <v:line id="موصل مستقيم 13" o:spid="_x0000_s1036" style="position:absolute;visibility:visible;mso-wrap-style:square" from="0,3357" to="16062,335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" strokecolor="black [3213]" strokeweight=".25pt"/>
                  <v:line id="موصل مستقيم 14" o:spid="_x0000_s1037" style="position:absolute;flip:y;visibility:visible;mso-wrap-style:square" from="16035,0" to="16035,333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" strokecolor="black [3213]" strokeweight=".25pt"/>
                </v:group>
                <v:rect id="مستطيل 1" o:spid="_x0000_s1038" style="position:absolute;left:13144;top:19645;width:19945;height:27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" filled="f" stroked="f" strokeweight=".5pt">
                  <v:textbox>
                    <w:txbxContent>
                      <w:p w14:paraId="6095A433" w14:textId="77777777" w:rsidR="00A109ED" w:rsidRPr="00A109ED" w:rsidRDefault="00A109ED" w:rsidP="00A109ED">
                        <w:pPr>
                          <w:bidi/>
                          <w:jc w:val="center"/>
                          <w:rPr>
                            <w:rFonts w:ascii="Traditional Arabic" w:hAnsi="Traditional Arabic" w:cs="Traditional Arabic"/>
                          </w:rPr>
                        </w:pPr>
                        <w:r w:rsidRPr="00A109ED">
                          <w:rPr>
                            <w:rFonts w:ascii="Traditional Arabic" w:hAnsi="Traditional Arabic" w:cs="Traditional Arabic"/>
                            <w:rtl/>
                          </w:rPr>
                          <w:t>التأثير الوسيط عبر (</w:t>
                        </w:r>
                        <w:r w:rsidRPr="00A109ED">
                          <w:rPr>
                            <w:rFonts w:ascii="Traditional Arabic" w:hAnsi="Traditional Arabic" w:cs="Traditional Arabic"/>
                          </w:rPr>
                          <w:t>H2+H3</w:t>
                        </w:r>
                        <w:r w:rsidRPr="00A109ED">
                          <w:rPr>
                            <w:rFonts w:ascii="Traditional Arabic" w:hAnsi="Traditional Arabic" w:cs="Traditional Arabic"/>
                            <w:rtl/>
                          </w:rPr>
                          <w:t>)</w:t>
                        </w:r>
                      </w:p>
                    </w:txbxContent>
                  </v:textbox>
                </v:rect>
                <v:rect id="مستطيل 1" o:spid="_x0000_s1039" style="position:absolute;left:21502;top:17430;width:3534;height:25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" fillcolor="white [3212]" stroked="f" strokeweight=".5pt">
                  <v:textbox>
                    <w:txbxContent>
                      <w:p w14:paraId="67C932BC" w14:textId="77777777" w:rsidR="00A109ED" w:rsidRPr="00A109ED" w:rsidRDefault="00A109ED" w:rsidP="00A109ED">
                        <w:pPr>
                          <w:bidi/>
                          <w:jc w:val="center"/>
                          <w:rPr>
                            <w:rFonts w:ascii="Traditional Arabic" w:hAnsi="Traditional Arabic" w:cs="Traditional Arabic"/>
                            <w:sz w:val="20"/>
                            <w:szCs w:val="20"/>
                          </w:rPr>
                        </w:pPr>
                        <w:r w:rsidRPr="00A109ED">
                          <w:rPr>
                            <w:rFonts w:ascii="Traditional Arabic" w:hAnsi="Traditional Arabic" w:cs="Traditional Arabic"/>
                            <w:sz w:val="20"/>
                            <w:szCs w:val="20"/>
                          </w:rPr>
                          <w:t>H4</w:t>
                        </w:r>
                      </w:p>
                    </w:txbxContent>
                  </v:textbox>
                </v:rect>
                <v:rect id="مستطيل 1" o:spid="_x0000_s1040" style="position:absolute;left:20788;top:12787;width:4679;height:25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" fillcolor="white [3212]" stroked="f" strokeweight=".5pt">
                  <v:textbox>
                    <w:txbxContent>
                      <w:p w14:paraId="2CAC39F4" w14:textId="77777777" w:rsidR="00A109ED" w:rsidRPr="00A109ED" w:rsidRDefault="00A109ED" w:rsidP="00A109ED">
                        <w:pPr>
                          <w:bidi/>
                          <w:jc w:val="center"/>
                          <w:rPr>
                            <w:rFonts w:ascii="Traditional Arabic" w:hAnsi="Traditional Arabic" w:cs="Traditional Arabic"/>
                            <w:sz w:val="20"/>
                            <w:szCs w:val="20"/>
                          </w:rPr>
                        </w:pPr>
                        <w:r w:rsidRPr="00A109ED">
                          <w:rPr>
                            <w:rFonts w:ascii="Traditional Arabic" w:hAnsi="Traditional Arabic" w:cs="Traditional Arabic"/>
                            <w:sz w:val="20"/>
                            <w:szCs w:val="20"/>
                          </w:rPr>
                          <w:t>(H1)</w:t>
                        </w:r>
                      </w:p>
                    </w:txbxContent>
                  </v:textbox>
                </v:rect>
                <v:rect id="مستطيل 1" o:spid="_x0000_s1041" style="position:absolute;left:31289;top:6715;width:4679;height:25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" fillcolor="white [3212]" stroked="f" strokeweight=".5pt">
                  <v:textbox>
                    <w:txbxContent>
                      <w:p w14:paraId="66380F71" w14:textId="77777777" w:rsidR="00A109ED" w:rsidRPr="00A109ED" w:rsidRDefault="00A109ED" w:rsidP="00A109ED">
                        <w:pPr>
                          <w:bidi/>
                          <w:jc w:val="center"/>
                          <w:rPr>
                            <w:rFonts w:ascii="Traditional Arabic" w:hAnsi="Traditional Arabic" w:cs="Traditional Arabic"/>
                            <w:sz w:val="20"/>
                            <w:szCs w:val="20"/>
                          </w:rPr>
                        </w:pPr>
                        <w:r w:rsidRPr="00A109ED">
                          <w:rPr>
                            <w:rFonts w:ascii="Traditional Arabic" w:hAnsi="Traditional Arabic" w:cs="Traditional Arabic"/>
                            <w:sz w:val="20"/>
                            <w:szCs w:val="20"/>
                          </w:rPr>
                          <w:t>(H2)</w:t>
                        </w:r>
                      </w:p>
                    </w:txbxContent>
                  </v:textbox>
                </v:rect>
                <v:rect id="مستطيل 1" o:spid="_x0000_s1042" style="position:absolute;left:10001;top:6357;width:4679;height:25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" fillcolor="white [3212]" stroked="f" strokeweight=".5pt">
                  <v:textbox>
                    <w:txbxContent>
                      <w:p w14:paraId="0FB55F09" w14:textId="77777777" w:rsidR="00A109ED" w:rsidRPr="00A109ED" w:rsidRDefault="00A109ED" w:rsidP="00A109ED">
                        <w:pPr>
                          <w:bidi/>
                          <w:jc w:val="center"/>
                          <w:rPr>
                            <w:rFonts w:ascii="Traditional Arabic" w:hAnsi="Traditional Arabic" w:cs="Traditional Arabic"/>
                            <w:sz w:val="20"/>
                            <w:szCs w:val="20"/>
                          </w:rPr>
                        </w:pPr>
                        <w:r w:rsidRPr="00A109ED">
                          <w:rPr>
                            <w:rFonts w:ascii="Traditional Arabic" w:hAnsi="Traditional Arabic" w:cs="Traditional Arabic"/>
                            <w:sz w:val="20"/>
                            <w:szCs w:val="20"/>
                          </w:rPr>
                          <w:t>(H3)</w:t>
                        </w:r>
                      </w:p>
                    </w:txbxContent>
                  </v:textbox>
                </v:rect>
                <w10:wrap type="topAndBottom"/>
              </v:group>
            </w:pict>
          </mc:Fallback>
        </mc:AlternateContent>
      </w:r>
    </w:p>
    <w:p w14:paraId="023CDC17" w14:textId="51D28D29" w:rsidR="00A109ED" w:rsidRDefault="00A109ED" w:rsidP="00A109ED">
      <w:pPr>
        <w:pStyle w:val="3"/>
        <w:bidi/>
        <w:spacing w:before="0" w:after="0" w:line="360" w:lineRule="auto"/>
        <w:jc w:val="both"/>
        <w:rPr>
          <w:rFonts w:ascii="Traditional Arabic" w:hAnsi="Traditional Arabic" w:cs="Traditional Arabic"/>
          <w:rtl/>
        </w:rPr>
      </w:pPr>
    </w:p>
    <w:p w14:paraId="46AF6C55" w14:textId="40F498D8" w:rsidR="008615C2" w:rsidRPr="00A109ED" w:rsidRDefault="00000000" w:rsidP="00A109ED">
      <w:pPr>
        <w:pStyle w:val="3"/>
        <w:bidi/>
        <w:spacing w:before="0" w:after="0" w:line="360" w:lineRule="auto"/>
        <w:jc w:val="center"/>
        <w:rPr>
          <w:rFonts w:ascii="Traditional Arabic" w:hAnsi="Traditional Arabic" w:cs="Traditional Arabic"/>
          <w:b w:val="0"/>
          <w:bCs w:val="0"/>
          <w:sz w:val="24"/>
          <w:szCs w:val="24"/>
          <w:rtl/>
        </w:rPr>
      </w:pPr>
      <w:r w:rsidRPr="00A109ED">
        <w:rPr>
          <w:rFonts w:ascii="Traditional Arabic" w:hAnsi="Traditional Arabic" w:cs="Traditional Arabic"/>
          <w:b w:val="0"/>
          <w:bCs w:val="0"/>
          <w:sz w:val="24"/>
          <w:szCs w:val="24"/>
          <w:rtl/>
        </w:rPr>
        <w:t>الشكل (1-1): النموذج الهيكلي المقترح للدراسة</w:t>
      </w:r>
    </w:p>
    <w:p w14:paraId="5643CD9C" w14:textId="731BE726" w:rsidR="008615C2" w:rsidRPr="005F5C76" w:rsidRDefault="00000000" w:rsidP="00A109ED">
      <w:pPr>
        <w:pBdr>
          <w:top w:val="nil"/>
          <w:left w:val="nil"/>
          <w:bottom w:val="nil"/>
          <w:right w:val="nil"/>
          <w:between w:val="nil"/>
        </w:pBdr>
        <w:bidi/>
        <w:spacing w:line="360" w:lineRule="auto"/>
        <w:jc w:val="center"/>
        <w:rPr>
          <w:rFonts w:ascii="Traditional Arabic" w:hAnsi="Traditional Arabic" w:cs="Traditional Arabic"/>
        </w:rPr>
      </w:pPr>
      <w:r w:rsidRPr="005F5C76">
        <w:rPr>
          <w:rFonts w:ascii="Traditional Arabic" w:hAnsi="Traditional Arabic" w:cs="Traditional Arabic"/>
          <w:rtl/>
        </w:rPr>
        <w:t xml:space="preserve">المصدر: </w:t>
      </w:r>
      <w:proofErr w:type="spellStart"/>
      <w:r w:rsidRPr="005F5C76">
        <w:rPr>
          <w:rFonts w:ascii="Traditional Arabic" w:hAnsi="Traditional Arabic" w:cs="Traditional Arabic"/>
          <w:rtl/>
        </w:rPr>
        <w:t>سدايا</w:t>
      </w:r>
      <w:proofErr w:type="spellEnd"/>
      <w:r w:rsidRPr="005F5C76">
        <w:rPr>
          <w:rFonts w:ascii="Traditional Arabic" w:hAnsi="Traditional Arabic" w:cs="Traditional Arabic"/>
          <w:rtl/>
        </w:rPr>
        <w:t xml:space="preserve"> (2024)، و</w:t>
      </w:r>
      <w:r w:rsidRPr="005F5C76">
        <w:rPr>
          <w:rFonts w:ascii="Traditional Arabic" w:hAnsi="Traditional Arabic" w:cs="Traditional Arabic"/>
        </w:rPr>
        <w:t>NetHope</w:t>
      </w:r>
      <w:r w:rsidRPr="005F5C76">
        <w:rPr>
          <w:rFonts w:ascii="Traditional Arabic" w:hAnsi="Traditional Arabic" w:cs="Traditional Arabic"/>
          <w:rtl/>
        </w:rPr>
        <w:t xml:space="preserve"> (2023)، وآل عزام وابن ظفرة (2023).</w:t>
      </w:r>
    </w:p>
    <w:p w14:paraId="25B19292" w14:textId="77777777" w:rsidR="00A109ED" w:rsidRDefault="00A109ED" w:rsidP="00A109ED">
      <w:pPr>
        <w:pStyle w:val="2"/>
        <w:bidi/>
        <w:spacing w:before="0" w:after="0" w:line="360" w:lineRule="auto"/>
        <w:jc w:val="both"/>
        <w:rPr>
          <w:rFonts w:ascii="Traditional Arabic" w:hAnsi="Traditional Arabic" w:cs="Traditional Arabic"/>
          <w:sz w:val="32"/>
          <w:szCs w:val="32"/>
          <w:rtl/>
        </w:rPr>
      </w:pPr>
    </w:p>
    <w:p w14:paraId="69EE9C1C" w14:textId="6D09A2A5" w:rsidR="008615C2" w:rsidRPr="00A109ED" w:rsidRDefault="00000000" w:rsidP="00A109ED">
      <w:pPr>
        <w:pStyle w:val="2"/>
        <w:bidi/>
        <w:spacing w:before="0" w:after="0" w:line="360" w:lineRule="auto"/>
        <w:jc w:val="both"/>
        <w:rPr>
          <w:rFonts w:ascii="Traditional Arabic" w:hAnsi="Traditional Arabic" w:cs="Traditional Arabic"/>
          <w:sz w:val="32"/>
          <w:szCs w:val="32"/>
        </w:rPr>
      </w:pPr>
      <w:r w:rsidRPr="00A109ED">
        <w:rPr>
          <w:rFonts w:ascii="Traditional Arabic" w:hAnsi="Traditional Arabic" w:cs="Traditional Arabic"/>
          <w:sz w:val="32"/>
          <w:szCs w:val="32"/>
          <w:rtl/>
        </w:rPr>
        <w:t>مفاهيم الدراسة وتعريفاتها</w:t>
      </w:r>
    </w:p>
    <w:p w14:paraId="01E7CDBF"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يلتزم الباحث بتقديم المفاهيم العلمية المرتبطة بالمتغيرات، مُفرِّقاً بين المفهوم الاصطلاحي المستمد من الأدبيات، والمفهوم الإجرائي التطبيقي الذي سيخضع للقياس الكمي في هذه الدراسة:</w:t>
      </w:r>
    </w:p>
    <w:p w14:paraId="3D757F39" w14:textId="77777777" w:rsidR="00A109ED" w:rsidRDefault="00A109ED" w:rsidP="00A109ED">
      <w:pPr>
        <w:pStyle w:val="3"/>
        <w:bidi/>
        <w:spacing w:before="0" w:after="0" w:line="360" w:lineRule="auto"/>
        <w:jc w:val="both"/>
        <w:rPr>
          <w:rFonts w:ascii="Traditional Arabic" w:hAnsi="Traditional Arabic" w:cs="Traditional Arabic"/>
          <w:rtl/>
        </w:rPr>
      </w:pPr>
    </w:p>
    <w:p w14:paraId="34CCB742" w14:textId="2850C3D5" w:rsidR="008615C2" w:rsidRPr="00A109ED" w:rsidRDefault="00000000" w:rsidP="00A109ED">
      <w:pPr>
        <w:pStyle w:val="3"/>
        <w:bidi/>
        <w:spacing w:before="0" w:after="0" w:line="360" w:lineRule="auto"/>
        <w:jc w:val="both"/>
        <w:rPr>
          <w:rFonts w:ascii="Traditional Arabic" w:hAnsi="Traditional Arabic" w:cs="Traditional Arabic"/>
        </w:rPr>
      </w:pPr>
      <w:r w:rsidRPr="00A109ED">
        <w:rPr>
          <w:rFonts w:ascii="Traditional Arabic" w:hAnsi="Traditional Arabic" w:cs="Traditional Arabic"/>
          <w:rtl/>
        </w:rPr>
        <w:t>المفاهيم الاصطلاحية:</w:t>
      </w:r>
    </w:p>
    <w:p w14:paraId="2C9F3287" w14:textId="1E983585" w:rsidR="008615C2" w:rsidRPr="005F5C76" w:rsidRDefault="00000000" w:rsidP="00A109ED">
      <w:pPr>
        <w:numPr>
          <w:ilvl w:val="0"/>
          <w:numId w:val="9"/>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تبني الذكاء الاصطناعي</w:t>
      </w:r>
      <w:r w:rsidR="00725851" w:rsidRPr="005F5C76">
        <w:rPr>
          <w:rFonts w:ascii="Traditional Arabic" w:hAnsi="Traditional Arabic" w:cs="Traditional Arabic"/>
          <w:sz w:val="24"/>
          <w:szCs w:val="24"/>
          <w:rtl/>
        </w:rPr>
        <w:t xml:space="preserve"> (</w:t>
      </w:r>
      <w:r w:rsidR="00725851" w:rsidRPr="005F5C76">
        <w:rPr>
          <w:rFonts w:ascii="Traditional Arabic" w:hAnsi="Traditional Arabic" w:cs="Traditional Arabic"/>
        </w:rPr>
        <w:t>Artificial Intelligence Adoption</w:t>
      </w:r>
      <w:r w:rsidR="00725851" w:rsidRPr="005F5C76">
        <w:rPr>
          <w:rFonts w:ascii="Traditional Arabic" w:hAnsi="Traditional Arabic" w:cs="Traditional Arabic"/>
          <w:sz w:val="24"/>
          <w:szCs w:val="24"/>
          <w:rtl/>
        </w:rPr>
        <w:t>)</w:t>
      </w:r>
      <w:r w:rsidR="00C65827" w:rsidRPr="005F5C76">
        <w:rPr>
          <w:rFonts w:ascii="Traditional Arabic" w:hAnsi="Traditional Arabic" w:cs="Traditional Arabic"/>
          <w:sz w:val="24"/>
          <w:szCs w:val="24"/>
          <w:rtl/>
        </w:rPr>
        <w:t xml:space="preserve">: </w:t>
      </w:r>
      <w:r w:rsidRPr="005F5C76">
        <w:rPr>
          <w:rFonts w:ascii="Traditional Arabic" w:hAnsi="Traditional Arabic" w:cs="Traditional Arabic"/>
          <w:sz w:val="24"/>
          <w:szCs w:val="24"/>
          <w:rtl/>
        </w:rPr>
        <w:t>هو عملية دمج واستخدام التقنيات الحاسوبية المتقدمة التي تحاكي الذكاء البشري — كخوارزميات تعلّم الآلة والتعلم العميق والذكاء الاصطناعي التوليدي — وتطبيقها رسمياً داخل العمليات اليومية والاستراتيجية للمنظمة لتغيير طريقة العمل وصنع القيمة الاجتماعية (</w:t>
      </w:r>
      <w:r w:rsidRPr="005F5C76">
        <w:rPr>
          <w:rFonts w:ascii="Traditional Arabic" w:hAnsi="Traditional Arabic" w:cs="Traditional Arabic"/>
          <w:sz w:val="24"/>
          <w:szCs w:val="24"/>
        </w:rPr>
        <w:t>Fortinet</w:t>
      </w:r>
      <w:r w:rsidRPr="005F5C76">
        <w:rPr>
          <w:rFonts w:ascii="Traditional Arabic" w:hAnsi="Traditional Arabic" w:cs="Traditional Arabic"/>
          <w:sz w:val="24"/>
          <w:szCs w:val="24"/>
          <w:rtl/>
        </w:rPr>
        <w:t>, 2024).</w:t>
      </w:r>
    </w:p>
    <w:p w14:paraId="72621D76" w14:textId="3317E200" w:rsidR="008615C2" w:rsidRPr="005F5C76" w:rsidRDefault="00000000" w:rsidP="00A109ED">
      <w:pPr>
        <w:numPr>
          <w:ilvl w:val="0"/>
          <w:numId w:val="9"/>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النضج الرقمي</w:t>
      </w:r>
      <w:r w:rsidR="00725851" w:rsidRPr="005F5C76">
        <w:rPr>
          <w:rFonts w:ascii="Traditional Arabic" w:hAnsi="Traditional Arabic" w:cs="Traditional Arabic"/>
          <w:sz w:val="24"/>
          <w:szCs w:val="24"/>
          <w:rtl/>
        </w:rPr>
        <w:t xml:space="preserve"> (</w:t>
      </w:r>
      <w:r w:rsidR="00725851" w:rsidRPr="005F5C76">
        <w:rPr>
          <w:rFonts w:ascii="Traditional Arabic" w:hAnsi="Traditional Arabic" w:cs="Traditional Arabic"/>
        </w:rPr>
        <w:t>Digital Maturity</w:t>
      </w:r>
      <w:r w:rsidR="00725851" w:rsidRPr="005F5C76">
        <w:rPr>
          <w:rFonts w:ascii="Traditional Arabic" w:hAnsi="Traditional Arabic" w:cs="Traditional Arabic"/>
          <w:sz w:val="24"/>
          <w:szCs w:val="24"/>
          <w:rtl/>
        </w:rPr>
        <w:t>)</w:t>
      </w:r>
      <w:r w:rsidR="00C65827" w:rsidRPr="005F5C76">
        <w:rPr>
          <w:rFonts w:ascii="Traditional Arabic" w:hAnsi="Traditional Arabic" w:cs="Traditional Arabic"/>
          <w:sz w:val="24"/>
          <w:szCs w:val="24"/>
          <w:rtl/>
        </w:rPr>
        <w:t>: ه</w:t>
      </w:r>
      <w:r w:rsidRPr="005F5C76">
        <w:rPr>
          <w:rFonts w:ascii="Traditional Arabic" w:hAnsi="Traditional Arabic" w:cs="Traditional Arabic"/>
          <w:sz w:val="24"/>
          <w:szCs w:val="24"/>
          <w:rtl/>
        </w:rPr>
        <w:t>و مدى تطور قدرة المنظمة الشاملة واستعدادها المستمر لتهيئة هيكلها وعملياتها وثقافتها التنظيمية ومواردها البشرية للتكيف والاندماج مع البيئة التكنولوجية المتغيرة، لتحقيق أهدافها التنموية بكفاءة (</w:t>
      </w:r>
      <w:r w:rsidRPr="005F5C76">
        <w:rPr>
          <w:rFonts w:ascii="Traditional Arabic" w:hAnsi="Traditional Arabic" w:cs="Traditional Arabic"/>
          <w:sz w:val="24"/>
          <w:szCs w:val="24"/>
        </w:rPr>
        <w:t xml:space="preserve">Aslanova &amp; </w:t>
      </w:r>
      <w:proofErr w:type="spellStart"/>
      <w:r w:rsidRPr="005F5C76">
        <w:rPr>
          <w:rFonts w:ascii="Traditional Arabic" w:hAnsi="Traditional Arabic" w:cs="Traditional Arabic"/>
          <w:sz w:val="24"/>
          <w:szCs w:val="24"/>
        </w:rPr>
        <w:t>Kulichkina</w:t>
      </w:r>
      <w:proofErr w:type="spellEnd"/>
      <w:r w:rsidRPr="005F5C76">
        <w:rPr>
          <w:rFonts w:ascii="Traditional Arabic" w:hAnsi="Traditional Arabic" w:cs="Traditional Arabic"/>
          <w:sz w:val="24"/>
          <w:szCs w:val="24"/>
          <w:rtl/>
        </w:rPr>
        <w:t>, 2020).</w:t>
      </w:r>
    </w:p>
    <w:p w14:paraId="39112F74" w14:textId="71B0E6EC" w:rsidR="008615C2" w:rsidRPr="005F5C76" w:rsidRDefault="00000000" w:rsidP="00A109ED">
      <w:pPr>
        <w:numPr>
          <w:ilvl w:val="0"/>
          <w:numId w:val="9"/>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lastRenderedPageBreak/>
        <w:t>جودة القرار الإداري</w:t>
      </w:r>
      <w:r w:rsidR="00725851" w:rsidRPr="005F5C76">
        <w:rPr>
          <w:rFonts w:ascii="Traditional Arabic" w:hAnsi="Traditional Arabic" w:cs="Traditional Arabic"/>
          <w:sz w:val="24"/>
          <w:szCs w:val="24"/>
          <w:rtl/>
        </w:rPr>
        <w:t xml:space="preserve"> (</w:t>
      </w:r>
      <w:r w:rsidR="00725851" w:rsidRPr="005F5C76">
        <w:rPr>
          <w:rFonts w:ascii="Traditional Arabic" w:hAnsi="Traditional Arabic" w:cs="Traditional Arabic"/>
        </w:rPr>
        <w:t>Administrative Decision Quality</w:t>
      </w:r>
      <w:r w:rsidR="00725851" w:rsidRPr="005F5C76">
        <w:rPr>
          <w:rFonts w:ascii="Traditional Arabic" w:hAnsi="Traditional Arabic" w:cs="Traditional Arabic"/>
          <w:sz w:val="24"/>
          <w:szCs w:val="24"/>
          <w:rtl/>
        </w:rPr>
        <w:t>)</w:t>
      </w:r>
      <w:r w:rsidR="00C65827" w:rsidRPr="005F5C76">
        <w:rPr>
          <w:rFonts w:ascii="Traditional Arabic" w:hAnsi="Traditional Arabic" w:cs="Traditional Arabic"/>
          <w:sz w:val="24"/>
          <w:szCs w:val="24"/>
          <w:rtl/>
        </w:rPr>
        <w:t xml:space="preserve">: </w:t>
      </w:r>
      <w:r w:rsidRPr="005F5C76">
        <w:rPr>
          <w:rFonts w:ascii="Traditional Arabic" w:hAnsi="Traditional Arabic" w:cs="Traditional Arabic"/>
          <w:sz w:val="24"/>
          <w:szCs w:val="24"/>
          <w:rtl/>
        </w:rPr>
        <w:t xml:space="preserve">هي عملية منهجية تضمن اتخاذ قرارات مبنية على العقلانية والمنطق والبيانات الدقيقة والموثوقة، بما يُسهم في تحقيق أهداف المنظمة بأعلى كفاءة وأقل </w:t>
      </w:r>
      <w:proofErr w:type="gramStart"/>
      <w:r w:rsidRPr="005F5C76">
        <w:rPr>
          <w:rFonts w:ascii="Traditional Arabic" w:hAnsi="Traditional Arabic" w:cs="Traditional Arabic"/>
          <w:sz w:val="24"/>
          <w:szCs w:val="24"/>
          <w:rtl/>
        </w:rPr>
        <w:t>مخاطر</w:t>
      </w:r>
      <w:proofErr w:type="gramEnd"/>
      <w:r w:rsidRPr="005F5C76">
        <w:rPr>
          <w:rFonts w:ascii="Traditional Arabic" w:hAnsi="Traditional Arabic" w:cs="Traditional Arabic"/>
          <w:sz w:val="24"/>
          <w:szCs w:val="24"/>
          <w:rtl/>
        </w:rPr>
        <w:t xml:space="preserve"> وهدر مالي وزمني (</w:t>
      </w:r>
      <w:r w:rsidRPr="005F5C76">
        <w:rPr>
          <w:rFonts w:ascii="Traditional Arabic" w:hAnsi="Traditional Arabic" w:cs="Traditional Arabic"/>
          <w:sz w:val="24"/>
          <w:szCs w:val="24"/>
        </w:rPr>
        <w:t>Center for Decision Quality</w:t>
      </w:r>
      <w:r w:rsidRPr="005F5C76">
        <w:rPr>
          <w:rFonts w:ascii="Traditional Arabic" w:hAnsi="Traditional Arabic" w:cs="Traditional Arabic"/>
          <w:sz w:val="24"/>
          <w:szCs w:val="24"/>
          <w:rtl/>
        </w:rPr>
        <w:t>, 2024).</w:t>
      </w:r>
    </w:p>
    <w:p w14:paraId="5CD77928" w14:textId="77777777" w:rsidR="00A109ED" w:rsidRDefault="00A109ED" w:rsidP="00A109ED">
      <w:pPr>
        <w:pStyle w:val="3"/>
        <w:bidi/>
        <w:spacing w:before="0" w:after="0" w:line="360" w:lineRule="auto"/>
        <w:jc w:val="both"/>
        <w:rPr>
          <w:rFonts w:ascii="Traditional Arabic" w:hAnsi="Traditional Arabic" w:cs="Traditional Arabic"/>
          <w:rtl/>
        </w:rPr>
      </w:pPr>
    </w:p>
    <w:p w14:paraId="63564B15" w14:textId="5F9E7410" w:rsidR="008615C2" w:rsidRPr="00A109ED" w:rsidRDefault="00000000" w:rsidP="00A109ED">
      <w:pPr>
        <w:pStyle w:val="3"/>
        <w:bidi/>
        <w:spacing w:before="0" w:after="0" w:line="360" w:lineRule="auto"/>
        <w:jc w:val="both"/>
        <w:rPr>
          <w:rFonts w:ascii="Traditional Arabic" w:hAnsi="Traditional Arabic" w:cs="Traditional Arabic"/>
        </w:rPr>
      </w:pPr>
      <w:r w:rsidRPr="00A109ED">
        <w:rPr>
          <w:rFonts w:ascii="Traditional Arabic" w:hAnsi="Traditional Arabic" w:cs="Traditional Arabic"/>
          <w:rtl/>
        </w:rPr>
        <w:t>التعريفات الإجرائية:</w:t>
      </w:r>
    </w:p>
    <w:p w14:paraId="008B4B96" w14:textId="7F3D8E73" w:rsidR="008615C2" w:rsidRPr="005F5C76" w:rsidRDefault="00725851" w:rsidP="00A109ED">
      <w:pPr>
        <w:numPr>
          <w:ilvl w:val="0"/>
          <w:numId w:val="10"/>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تبني الذكاء الاصطناعي (</w:t>
      </w:r>
      <w:r w:rsidRPr="005F5C76">
        <w:rPr>
          <w:rFonts w:ascii="Traditional Arabic" w:hAnsi="Traditional Arabic" w:cs="Traditional Arabic"/>
        </w:rPr>
        <w:t>Artificial Intelligence Adoption</w:t>
      </w:r>
      <w:r w:rsidRPr="005F5C76">
        <w:rPr>
          <w:rFonts w:ascii="Traditional Arabic" w:hAnsi="Traditional Arabic" w:cs="Traditional Arabic"/>
          <w:sz w:val="24"/>
          <w:szCs w:val="24"/>
          <w:rtl/>
        </w:rPr>
        <w:t>)</w:t>
      </w:r>
      <w:r w:rsidRPr="005F5C76">
        <w:rPr>
          <w:rFonts w:ascii="Traditional Arabic" w:hAnsi="Traditional Arabic" w:cs="Traditional Arabic"/>
          <w:sz w:val="24"/>
          <w:szCs w:val="24"/>
          <w:rtl/>
        </w:rPr>
        <w:t xml:space="preserve"> اجرائيًا</w:t>
      </w:r>
      <w:r w:rsidRPr="005F5C76">
        <w:rPr>
          <w:rFonts w:ascii="Traditional Arabic" w:hAnsi="Traditional Arabic" w:cs="Traditional Arabic"/>
          <w:sz w:val="24"/>
          <w:szCs w:val="24"/>
          <w:rtl/>
        </w:rPr>
        <w:t>:</w:t>
      </w:r>
      <w:r w:rsidR="00000000" w:rsidRPr="005F5C76">
        <w:rPr>
          <w:rFonts w:ascii="Traditional Arabic" w:hAnsi="Traditional Arabic" w:cs="Traditional Arabic"/>
          <w:sz w:val="24"/>
          <w:szCs w:val="24"/>
          <w:rtl/>
        </w:rPr>
        <w:t xml:space="preserve"> هو التقييم الذاتي من قِبَل القيادات الإدارية لمدى تفعيل وتطبيق تطبيقات الذكاء الاصطناعي في جمعيتهم الأهلية، ويُقاس عبر الأبعاد الأربعة لإطار </w:t>
      </w:r>
      <w:proofErr w:type="spellStart"/>
      <w:r w:rsidR="00000000" w:rsidRPr="005F5C76">
        <w:rPr>
          <w:rFonts w:ascii="Traditional Arabic" w:hAnsi="Traditional Arabic" w:cs="Traditional Arabic"/>
          <w:sz w:val="24"/>
          <w:szCs w:val="24"/>
          <w:rtl/>
        </w:rPr>
        <w:t>سدايا</w:t>
      </w:r>
      <w:proofErr w:type="spellEnd"/>
      <w:r w:rsidR="00000000" w:rsidRPr="005F5C76">
        <w:rPr>
          <w:rFonts w:ascii="Traditional Arabic" w:hAnsi="Traditional Arabic" w:cs="Traditional Arabic"/>
          <w:sz w:val="24"/>
          <w:szCs w:val="24"/>
          <w:rtl/>
        </w:rPr>
        <w:t xml:space="preserve"> لعام 2024 (الاستراتيجية، الحوكمة، البيانات، البنية التحتية) باستخدام الاستبانة المُعدَّة للدراسة.</w:t>
      </w:r>
    </w:p>
    <w:p w14:paraId="7ADF5CA1" w14:textId="62F06274" w:rsidR="008615C2" w:rsidRPr="005F5C76" w:rsidRDefault="00725851" w:rsidP="00A109ED">
      <w:pPr>
        <w:numPr>
          <w:ilvl w:val="0"/>
          <w:numId w:val="10"/>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النضج الرقمي (</w:t>
      </w:r>
      <w:r w:rsidRPr="005F5C76">
        <w:rPr>
          <w:rFonts w:ascii="Traditional Arabic" w:hAnsi="Traditional Arabic" w:cs="Traditional Arabic"/>
        </w:rPr>
        <w:t>Digital Maturity</w:t>
      </w:r>
      <w:r w:rsidRPr="005F5C76">
        <w:rPr>
          <w:rFonts w:ascii="Traditional Arabic" w:hAnsi="Traditional Arabic" w:cs="Traditional Arabic"/>
          <w:sz w:val="24"/>
          <w:szCs w:val="24"/>
          <w:rtl/>
        </w:rPr>
        <w:t>)</w:t>
      </w:r>
      <w:r w:rsidRPr="005F5C76">
        <w:rPr>
          <w:rFonts w:ascii="Traditional Arabic" w:hAnsi="Traditional Arabic" w:cs="Traditional Arabic"/>
          <w:sz w:val="24"/>
          <w:szCs w:val="24"/>
          <w:rtl/>
        </w:rPr>
        <w:t xml:space="preserve"> اجرائيًا</w:t>
      </w:r>
      <w:r w:rsidRPr="005F5C76">
        <w:rPr>
          <w:rFonts w:ascii="Traditional Arabic" w:hAnsi="Traditional Arabic" w:cs="Traditional Arabic"/>
          <w:sz w:val="24"/>
          <w:szCs w:val="24"/>
          <w:rtl/>
        </w:rPr>
        <w:t>:</w:t>
      </w:r>
      <w:r w:rsidR="00000000" w:rsidRPr="005F5C76">
        <w:rPr>
          <w:rFonts w:ascii="Traditional Arabic" w:hAnsi="Traditional Arabic" w:cs="Traditional Arabic"/>
          <w:sz w:val="24"/>
          <w:szCs w:val="24"/>
          <w:rtl/>
        </w:rPr>
        <w:t xml:space="preserve"> هو المستوى التنظيمي الفعلي الذي وصلت إليه الجمعية الأهلية السعودية في رحلة تحولها الرقمي الشامل، ويُقاس بالدرجة الكلية التي يحصل عليها المستجيب في أبعاد نموذج نت هوب لعام 2023 (التكنولوجيا، الثقافة التنظيمية، العمليات، الرؤى).</w:t>
      </w:r>
    </w:p>
    <w:p w14:paraId="65F193F5" w14:textId="76EC7605" w:rsidR="008615C2" w:rsidRPr="005F5C76" w:rsidRDefault="00725851" w:rsidP="00A109ED">
      <w:pPr>
        <w:numPr>
          <w:ilvl w:val="0"/>
          <w:numId w:val="10"/>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جودة القرار الإداري (</w:t>
      </w:r>
      <w:r w:rsidRPr="005F5C76">
        <w:rPr>
          <w:rFonts w:ascii="Traditional Arabic" w:hAnsi="Traditional Arabic" w:cs="Traditional Arabic"/>
        </w:rPr>
        <w:t>Administrative Decision Quality</w:t>
      </w:r>
      <w:r w:rsidRPr="005F5C76">
        <w:rPr>
          <w:rFonts w:ascii="Traditional Arabic" w:hAnsi="Traditional Arabic" w:cs="Traditional Arabic"/>
          <w:sz w:val="24"/>
          <w:szCs w:val="24"/>
          <w:rtl/>
        </w:rPr>
        <w:t>)</w:t>
      </w:r>
      <w:r w:rsidRPr="005F5C76">
        <w:rPr>
          <w:rFonts w:ascii="Traditional Arabic" w:hAnsi="Traditional Arabic" w:cs="Traditional Arabic"/>
          <w:sz w:val="24"/>
          <w:szCs w:val="24"/>
          <w:rtl/>
        </w:rPr>
        <w:t xml:space="preserve"> اجرائيًا</w:t>
      </w:r>
      <w:r w:rsidR="00000000" w:rsidRPr="005F5C76">
        <w:rPr>
          <w:rFonts w:ascii="Traditional Arabic" w:hAnsi="Traditional Arabic" w:cs="Traditional Arabic"/>
          <w:sz w:val="24"/>
          <w:szCs w:val="24"/>
          <w:rtl/>
        </w:rPr>
        <w:t xml:space="preserve">: هي مدى كفاءة القرارات المتخذة من القيادات العليا بالجمعيات الأهلية وفق أربعة أبعاد هي (العقلانية، التوقيت، الدقة، الكفاءة)، وتُقاس إحصائياً بالدرجة التقديرية الممنوحة من قِبَل عينة الدراسة عبر مقياس </w:t>
      </w:r>
      <w:proofErr w:type="spellStart"/>
      <w:r w:rsidR="00000000" w:rsidRPr="005F5C76">
        <w:rPr>
          <w:rFonts w:ascii="Traditional Arabic" w:hAnsi="Traditional Arabic" w:cs="Traditional Arabic"/>
          <w:sz w:val="24"/>
          <w:szCs w:val="24"/>
          <w:rtl/>
        </w:rPr>
        <w:t>ليكرت</w:t>
      </w:r>
      <w:proofErr w:type="spellEnd"/>
      <w:r w:rsidR="00000000" w:rsidRPr="005F5C76">
        <w:rPr>
          <w:rFonts w:ascii="Traditional Arabic" w:hAnsi="Traditional Arabic" w:cs="Traditional Arabic"/>
          <w:sz w:val="24"/>
          <w:szCs w:val="24"/>
          <w:rtl/>
        </w:rPr>
        <w:t xml:space="preserve"> الخماسي.</w:t>
      </w:r>
    </w:p>
    <w:p w14:paraId="7D0DCC9D" w14:textId="77777777" w:rsidR="00A109ED" w:rsidRDefault="00A109ED" w:rsidP="00A109ED">
      <w:pPr>
        <w:pStyle w:val="2"/>
        <w:bidi/>
        <w:spacing w:before="0" w:after="0" w:line="360" w:lineRule="auto"/>
        <w:jc w:val="both"/>
        <w:rPr>
          <w:rFonts w:ascii="Traditional Arabic" w:hAnsi="Traditional Arabic" w:cs="Traditional Arabic"/>
          <w:sz w:val="32"/>
          <w:szCs w:val="32"/>
          <w:rtl/>
        </w:rPr>
      </w:pPr>
    </w:p>
    <w:p w14:paraId="7FC612F7" w14:textId="514FCA39" w:rsidR="008615C2" w:rsidRPr="00A109ED" w:rsidRDefault="00000000" w:rsidP="00A109ED">
      <w:pPr>
        <w:pStyle w:val="2"/>
        <w:bidi/>
        <w:spacing w:before="0" w:after="0" w:line="360" w:lineRule="auto"/>
        <w:jc w:val="both"/>
        <w:rPr>
          <w:rFonts w:ascii="Traditional Arabic" w:hAnsi="Traditional Arabic" w:cs="Traditional Arabic"/>
          <w:sz w:val="32"/>
          <w:szCs w:val="32"/>
        </w:rPr>
      </w:pPr>
      <w:r w:rsidRPr="00A109ED">
        <w:rPr>
          <w:rFonts w:ascii="Traditional Arabic" w:hAnsi="Traditional Arabic" w:cs="Traditional Arabic"/>
          <w:sz w:val="32"/>
          <w:szCs w:val="32"/>
          <w:rtl/>
        </w:rPr>
        <w:t>حدود الدراسة</w:t>
      </w:r>
    </w:p>
    <w:p w14:paraId="6CD27C52"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لتأطير النتائج وضمان دقتها وقابليتها للتعميم، يلتزم الباحث بالحدود الآتية مع تقديم مسوّغات علمية واضحة:</w:t>
      </w:r>
    </w:p>
    <w:p w14:paraId="61F859E3" w14:textId="77777777" w:rsidR="008615C2" w:rsidRPr="005F5C76" w:rsidRDefault="00000000" w:rsidP="00A109ED">
      <w:pPr>
        <w:numPr>
          <w:ilvl w:val="0"/>
          <w:numId w:val="11"/>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الحدود الموضوعية ومسوغاتها: يقتصر البحث موضوعياً على قياس تأثير (تبني الذكاء الاصطناعي) كمتغير مستقل في (جودة القرار الإداري) كمتغير تابع، واختبار الدور الوسيط لـ (النضج الرقمي) كمتغير وسيط. والمسوّغ المنهجي: رغبة الباحث في تفكيك العلاقات المركبة وتوفير نموذج هيكلي دقيق يسهم في تفسير فجوة الكفاءة التقنية دون تشتيت النموذج بمتغيرات فرعية أخرى قد تضعف القوة التفسيرية لـ </w:t>
      </w:r>
      <w:r w:rsidRPr="005F5C76">
        <w:rPr>
          <w:rFonts w:ascii="Traditional Arabic" w:hAnsi="Traditional Arabic" w:cs="Traditional Arabic"/>
          <w:sz w:val="24"/>
          <w:szCs w:val="24"/>
        </w:rPr>
        <w:t>PLS-SEM</w:t>
      </w:r>
      <w:r w:rsidRPr="005F5C76">
        <w:rPr>
          <w:rFonts w:ascii="Traditional Arabic" w:hAnsi="Traditional Arabic" w:cs="Traditional Arabic"/>
          <w:sz w:val="24"/>
          <w:szCs w:val="24"/>
          <w:rtl/>
        </w:rPr>
        <w:t>.</w:t>
      </w:r>
    </w:p>
    <w:p w14:paraId="0F9D3C4C" w14:textId="77777777" w:rsidR="008615C2" w:rsidRPr="005F5C76" w:rsidRDefault="00000000" w:rsidP="00A109ED">
      <w:pPr>
        <w:numPr>
          <w:ilvl w:val="0"/>
          <w:numId w:val="11"/>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الحدود المكانية ومسوغاتها: تقتصر الدراسة على منظمات القطاع غير الربحي بفئاتها الثلاث (الجمعيات الأهلية، والمؤسسات الأهلية، والصناديق العائلية) المسجّلة رسمياً في المملكة العربية السعودية تحت إشراف المركز الوطني لتنمية القطاع غير الربحي، والبالغ عددها بدقة 5,757 منظمة بنهاية عام 2024 وفقاً للبيانات المعتمدة للمنجزات الوطنية (المركز الوطني لتنمية القطاع غير الربحي، 2024). والمسوّغ التنظيمي: ريادة المملكة الاستثنائية </w:t>
      </w:r>
      <w:r w:rsidRPr="005F5C76">
        <w:rPr>
          <w:rFonts w:ascii="Traditional Arabic" w:hAnsi="Traditional Arabic" w:cs="Traditional Arabic"/>
          <w:sz w:val="24"/>
          <w:szCs w:val="24"/>
          <w:rtl/>
        </w:rPr>
        <w:lastRenderedPageBreak/>
        <w:t xml:space="preserve">التي حققت المرتبة الأولى عالمياً في مؤشر الاستراتيجية الحكومية للذكاء الاصطناعي لعام 2023 وفق تصنيف </w:t>
      </w:r>
      <w:r w:rsidRPr="005F5C76">
        <w:rPr>
          <w:rFonts w:ascii="Traditional Arabic" w:hAnsi="Traditional Arabic" w:cs="Traditional Arabic"/>
          <w:sz w:val="24"/>
          <w:szCs w:val="24"/>
        </w:rPr>
        <w:t>Tortoise Intelligence</w:t>
      </w:r>
      <w:r w:rsidRPr="005F5C76">
        <w:rPr>
          <w:rFonts w:ascii="Traditional Arabic" w:hAnsi="Traditional Arabic" w:cs="Traditional Arabic"/>
          <w:sz w:val="24"/>
          <w:szCs w:val="24"/>
          <w:rtl/>
        </w:rPr>
        <w:t xml:space="preserve"> (</w:t>
      </w:r>
      <w:proofErr w:type="spellStart"/>
      <w:r w:rsidRPr="005F5C76">
        <w:rPr>
          <w:rFonts w:ascii="Traditional Arabic" w:hAnsi="Traditional Arabic" w:cs="Traditional Arabic"/>
          <w:sz w:val="24"/>
          <w:szCs w:val="24"/>
          <w:rtl/>
        </w:rPr>
        <w:t>سدايا</w:t>
      </w:r>
      <w:proofErr w:type="spellEnd"/>
      <w:r w:rsidRPr="005F5C76">
        <w:rPr>
          <w:rFonts w:ascii="Traditional Arabic" w:hAnsi="Traditional Arabic" w:cs="Traditional Arabic"/>
          <w:sz w:val="24"/>
          <w:szCs w:val="24"/>
          <w:rtl/>
        </w:rPr>
        <w:t>، 2024)، مما يجعل دراسة بيئتها التنظيمية وتشريعاتها التقنية نموذجاً متميزاً جديراً بالدراسة والتعميم إقليمياً وعالمياً.</w:t>
      </w:r>
    </w:p>
    <w:p w14:paraId="1E1EF97E" w14:textId="4E5E709B" w:rsidR="008615C2" w:rsidRPr="005F5C76" w:rsidRDefault="00000000" w:rsidP="00A109ED">
      <w:pPr>
        <w:numPr>
          <w:ilvl w:val="0"/>
          <w:numId w:val="11"/>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الحدود الزمنية ومسوغاتها: تُجرى الدراسة خلال </w:t>
      </w:r>
      <w:r w:rsidR="005D69F8" w:rsidRPr="005F5C76">
        <w:rPr>
          <w:rFonts w:ascii="Traditional Arabic" w:hAnsi="Traditional Arabic" w:cs="Traditional Arabic"/>
          <w:sz w:val="24"/>
          <w:szCs w:val="24"/>
          <w:rtl/>
        </w:rPr>
        <w:t>الفترة من</w:t>
      </w:r>
      <w:r w:rsidRPr="005F5C76">
        <w:rPr>
          <w:rFonts w:ascii="Traditional Arabic" w:hAnsi="Traditional Arabic" w:cs="Traditional Arabic"/>
          <w:sz w:val="24"/>
          <w:szCs w:val="24"/>
          <w:rtl/>
        </w:rPr>
        <w:t xml:space="preserve"> (2026م – 20</w:t>
      </w:r>
      <w:r w:rsidR="005D69F8" w:rsidRPr="005F5C76">
        <w:rPr>
          <w:rFonts w:ascii="Traditional Arabic" w:hAnsi="Traditional Arabic" w:cs="Traditional Arabic"/>
          <w:sz w:val="24"/>
          <w:szCs w:val="24"/>
          <w:rtl/>
        </w:rPr>
        <w:t>29</w:t>
      </w:r>
      <w:r w:rsidRPr="005F5C76">
        <w:rPr>
          <w:rFonts w:ascii="Traditional Arabic" w:hAnsi="Traditional Arabic" w:cs="Traditional Arabic"/>
          <w:sz w:val="24"/>
          <w:szCs w:val="24"/>
          <w:rtl/>
        </w:rPr>
        <w:t xml:space="preserve">م). والمسوّغ: مواءمة الدراسة مع مرحلة النضج الكامل والبدء في التقييم الفعلي لإطار </w:t>
      </w:r>
      <w:proofErr w:type="spellStart"/>
      <w:r w:rsidRPr="005F5C76">
        <w:rPr>
          <w:rFonts w:ascii="Traditional Arabic" w:hAnsi="Traditional Arabic" w:cs="Traditional Arabic"/>
          <w:sz w:val="24"/>
          <w:szCs w:val="24"/>
          <w:rtl/>
        </w:rPr>
        <w:t>سدايا</w:t>
      </w:r>
      <w:proofErr w:type="spellEnd"/>
      <w:r w:rsidRPr="005F5C76">
        <w:rPr>
          <w:rFonts w:ascii="Traditional Arabic" w:hAnsi="Traditional Arabic" w:cs="Traditional Arabic"/>
          <w:sz w:val="24"/>
          <w:szCs w:val="24"/>
          <w:rtl/>
        </w:rPr>
        <w:t xml:space="preserve"> لتبني الذكاء الاصطناعي الصادر عن الهيئة لعام (2024</w:t>
      </w:r>
      <w:r w:rsidR="005D69F8" w:rsidRPr="005F5C76">
        <w:rPr>
          <w:rFonts w:ascii="Traditional Arabic" w:hAnsi="Traditional Arabic" w:cs="Traditional Arabic"/>
          <w:sz w:val="24"/>
          <w:szCs w:val="24"/>
          <w:rtl/>
        </w:rPr>
        <w:t>)،</w:t>
      </w:r>
      <w:r w:rsidRPr="005F5C76">
        <w:rPr>
          <w:rFonts w:ascii="Traditional Arabic" w:hAnsi="Traditional Arabic" w:cs="Traditional Arabic"/>
          <w:sz w:val="24"/>
          <w:szCs w:val="24"/>
          <w:rtl/>
        </w:rPr>
        <w:t xml:space="preserve"> والتطبيق الإلزامي لنظام حماية البيانات الشخصية (</w:t>
      </w:r>
      <w:r w:rsidRPr="005F5C76">
        <w:rPr>
          <w:rFonts w:ascii="Traditional Arabic" w:hAnsi="Traditional Arabic" w:cs="Traditional Arabic"/>
          <w:sz w:val="24"/>
          <w:szCs w:val="24"/>
        </w:rPr>
        <w:t>PDPL</w:t>
      </w:r>
      <w:r w:rsidRPr="005F5C76">
        <w:rPr>
          <w:rFonts w:ascii="Traditional Arabic" w:hAnsi="Traditional Arabic" w:cs="Traditional Arabic"/>
          <w:sz w:val="24"/>
          <w:szCs w:val="24"/>
          <w:rtl/>
        </w:rPr>
        <w:t>) بالمملكة.</w:t>
      </w:r>
    </w:p>
    <w:p w14:paraId="25560DFF" w14:textId="77777777" w:rsidR="008615C2" w:rsidRPr="005F5C76" w:rsidRDefault="00000000" w:rsidP="00A109ED">
      <w:pPr>
        <w:numPr>
          <w:ilvl w:val="0"/>
          <w:numId w:val="11"/>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الحدود البشرية ومسوغاتها: تقتصر عينة الدراسة على الكوادر التي تشغل وظائف قيادية وإشرافية وإدارية وتنفيذية عليا في منظمات القطاع غير الربحي السعودي. والمسوّغ التنظيمي: أن هذه الفئات تمثّل "صناع القرار الفعليين" المنوط بهم رسم الخطط وتخصيص الميزانيات، وهم الأقدر على تقديم تقييم موضوعي وشامل لمستويات النضج الرقمي وتحديات التغيير الثقافي داخل جمعياتهم (حكمي وآخرون، 2022).</w:t>
      </w:r>
    </w:p>
    <w:p w14:paraId="73F64E03" w14:textId="77777777" w:rsidR="00A109ED" w:rsidRDefault="00A109ED" w:rsidP="00A109ED">
      <w:pPr>
        <w:pStyle w:val="2"/>
        <w:bidi/>
        <w:spacing w:before="0" w:after="0" w:line="360" w:lineRule="auto"/>
        <w:jc w:val="both"/>
        <w:rPr>
          <w:rFonts w:ascii="Traditional Arabic" w:hAnsi="Traditional Arabic" w:cs="Traditional Arabic"/>
          <w:sz w:val="32"/>
          <w:szCs w:val="32"/>
          <w:rtl/>
        </w:rPr>
      </w:pPr>
    </w:p>
    <w:p w14:paraId="7163C474" w14:textId="156F900F" w:rsidR="008615C2" w:rsidRPr="00A109ED" w:rsidRDefault="00000000" w:rsidP="00A109ED">
      <w:pPr>
        <w:pStyle w:val="2"/>
        <w:bidi/>
        <w:spacing w:before="0" w:after="0" w:line="360" w:lineRule="auto"/>
        <w:jc w:val="both"/>
        <w:rPr>
          <w:rFonts w:ascii="Traditional Arabic" w:hAnsi="Traditional Arabic" w:cs="Traditional Arabic"/>
          <w:sz w:val="32"/>
          <w:szCs w:val="32"/>
        </w:rPr>
      </w:pPr>
      <w:r w:rsidRPr="00A109ED">
        <w:rPr>
          <w:rFonts w:ascii="Traditional Arabic" w:hAnsi="Traditional Arabic" w:cs="Traditional Arabic"/>
          <w:sz w:val="32"/>
          <w:szCs w:val="32"/>
          <w:rtl/>
        </w:rPr>
        <w:t>منهجية وإجراءات الدراسة</w:t>
      </w:r>
    </w:p>
    <w:p w14:paraId="1B7487A9"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لضمان الدقة والالتزام التام بالمعايير الأكاديمية المعتمدة لرسائل الدكتوراه، يحدد الباحث التصميم المنهجي والإجراءات المتبعة على النحو الآتي:</w:t>
      </w:r>
    </w:p>
    <w:p w14:paraId="022049C7" w14:textId="77777777" w:rsidR="00A109ED" w:rsidRDefault="00A109ED" w:rsidP="00A109ED">
      <w:pPr>
        <w:pStyle w:val="3"/>
        <w:bidi/>
        <w:spacing w:before="0" w:after="0" w:line="360" w:lineRule="auto"/>
        <w:jc w:val="both"/>
        <w:rPr>
          <w:rFonts w:ascii="Traditional Arabic" w:hAnsi="Traditional Arabic" w:cs="Traditional Arabic"/>
          <w:rtl/>
        </w:rPr>
      </w:pPr>
    </w:p>
    <w:p w14:paraId="60851910" w14:textId="4B1BBCA1" w:rsidR="008615C2" w:rsidRPr="00A109ED" w:rsidRDefault="00000000" w:rsidP="00A109ED">
      <w:pPr>
        <w:pStyle w:val="3"/>
        <w:bidi/>
        <w:spacing w:before="0" w:after="0" w:line="360" w:lineRule="auto"/>
        <w:jc w:val="both"/>
        <w:rPr>
          <w:rFonts w:ascii="Traditional Arabic" w:hAnsi="Traditional Arabic" w:cs="Traditional Arabic"/>
        </w:rPr>
      </w:pPr>
      <w:r w:rsidRPr="00A109ED">
        <w:rPr>
          <w:rFonts w:ascii="Traditional Arabic" w:hAnsi="Traditional Arabic" w:cs="Traditional Arabic"/>
          <w:rtl/>
        </w:rPr>
        <w:t>منهج الدراسة</w:t>
      </w:r>
    </w:p>
    <w:p w14:paraId="6D1F5D44"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تعتمد الدراسة على المنهج الوصفي التحليلي الارتباطي. ويتلاءم هذا المنهج مع متطلبات نمذجة المعادلات البنائية؛ حيث لا يقف عند مجرد جمع البيانات ووصف مستويات المتغيرات، بل يتجاوز ذلك لتفسير آليات التفاعل والتأثير المباشر وغير المباشر، واختبار دلالة التوسط الإحصائي للنضج الرقمي بكفاءة تنبؤية عالية.</w:t>
      </w:r>
    </w:p>
    <w:p w14:paraId="426ACFCD" w14:textId="77777777" w:rsidR="00A109ED" w:rsidRDefault="00A109ED" w:rsidP="00A109ED">
      <w:pPr>
        <w:pStyle w:val="3"/>
        <w:bidi/>
        <w:spacing w:before="0" w:after="0" w:line="360" w:lineRule="auto"/>
        <w:jc w:val="both"/>
        <w:rPr>
          <w:rFonts w:ascii="Traditional Arabic" w:hAnsi="Traditional Arabic" w:cs="Traditional Arabic"/>
          <w:rtl/>
        </w:rPr>
      </w:pPr>
    </w:p>
    <w:p w14:paraId="6749ED77" w14:textId="2BBB103D" w:rsidR="008615C2" w:rsidRPr="00A109ED" w:rsidRDefault="00000000" w:rsidP="00A109ED">
      <w:pPr>
        <w:pStyle w:val="3"/>
        <w:bidi/>
        <w:spacing w:before="0" w:after="0" w:line="360" w:lineRule="auto"/>
        <w:jc w:val="both"/>
        <w:rPr>
          <w:rFonts w:ascii="Traditional Arabic" w:hAnsi="Traditional Arabic" w:cs="Traditional Arabic"/>
        </w:rPr>
      </w:pPr>
      <w:r w:rsidRPr="00A109ED">
        <w:rPr>
          <w:rFonts w:ascii="Traditional Arabic" w:hAnsi="Traditional Arabic" w:cs="Traditional Arabic"/>
          <w:rtl/>
        </w:rPr>
        <w:t>مجتمع وعينة الدراسة</w:t>
      </w:r>
    </w:p>
    <w:p w14:paraId="1A27E080" w14:textId="77777777" w:rsidR="008615C2" w:rsidRPr="005F5C76" w:rsidRDefault="00000000" w:rsidP="00A109ED">
      <w:pPr>
        <w:numPr>
          <w:ilvl w:val="0"/>
          <w:numId w:val="12"/>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مجتمع الدراسة: يتكون مجتمع الدراسة من كافة الكوادر الشاغلين للوظائف القيادية والإشرافية والإدارية والتنفيذية في منظمات القطاع غير الربحي العاملة تحت مظلة المركز الوطني لتنمية القطاع غير الربحي في المملكة العربية السعودية، ويُصنَّف هذا القطاع إلى ثلاث فئات رئيسية: (الجمعيات الأهلية، والمؤسسات الأهلية، والصناديق العائلية). ويصل عدد هذه المنظمات المستهدفة إجمالياً إلى 5,757 منظمة بنهاية عام 2024 وفقاً للمؤشرات الرسمية (المركز الوطني لتنمية القطاع غير الربحي، 2024).</w:t>
      </w:r>
    </w:p>
    <w:p w14:paraId="06DC420E" w14:textId="40BE431D" w:rsidR="008615C2" w:rsidRPr="005F5C76" w:rsidRDefault="00000000" w:rsidP="00A109ED">
      <w:pPr>
        <w:numPr>
          <w:ilvl w:val="0"/>
          <w:numId w:val="12"/>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lastRenderedPageBreak/>
        <w:t>عينة الدراسة: سيتم تطبيق العينة العشوائية الطبقية لضمان تمثيل كافة التخصصات والأنشطة (صحية، تنموية، ثقافية، اجتماعية) ومختلف المناطق الجغرافية الـ 13 بالمملكة. ويُحدَّد حجم العينة بحد أدنى يتراوح بين (</w:t>
      </w:r>
      <w:r w:rsidR="00B92EE1" w:rsidRPr="005F5C76">
        <w:rPr>
          <w:rFonts w:ascii="Traditional Arabic" w:hAnsi="Traditional Arabic" w:cs="Traditional Arabic"/>
          <w:sz w:val="24"/>
          <w:szCs w:val="24"/>
          <w:rtl/>
        </w:rPr>
        <w:t>150</w:t>
      </w:r>
      <w:r w:rsidRPr="005F5C76">
        <w:rPr>
          <w:rFonts w:ascii="Traditional Arabic" w:hAnsi="Traditional Arabic" w:cs="Traditional Arabic"/>
          <w:sz w:val="24"/>
          <w:szCs w:val="24"/>
          <w:rtl/>
        </w:rPr>
        <w:t xml:space="preserve"> إلى </w:t>
      </w:r>
      <w:r w:rsidR="00B92EE1" w:rsidRPr="005F5C76">
        <w:rPr>
          <w:rFonts w:ascii="Traditional Arabic" w:hAnsi="Traditional Arabic" w:cs="Traditional Arabic"/>
          <w:sz w:val="24"/>
          <w:szCs w:val="24"/>
          <w:rtl/>
        </w:rPr>
        <w:t>200</w:t>
      </w:r>
      <w:r w:rsidRPr="005F5C76">
        <w:rPr>
          <w:rFonts w:ascii="Traditional Arabic" w:hAnsi="Traditional Arabic" w:cs="Traditional Arabic"/>
          <w:sz w:val="24"/>
          <w:szCs w:val="24"/>
          <w:rtl/>
        </w:rPr>
        <w:t xml:space="preserve"> مفردة) صالحة للتحليل الإحصائي، وهو ما يُوفر القوة التنبؤية الكافية للنموذج المقترح لتشبع معاملات المسار وفقاً لمعايير </w:t>
      </w:r>
      <w:r w:rsidRPr="005F5C76">
        <w:rPr>
          <w:rFonts w:ascii="Traditional Arabic" w:hAnsi="Traditional Arabic" w:cs="Traditional Arabic"/>
          <w:sz w:val="24"/>
          <w:szCs w:val="24"/>
        </w:rPr>
        <w:t>PLS-SEM (Hair et al</w:t>
      </w:r>
      <w:r w:rsidRPr="005F5C76">
        <w:rPr>
          <w:rFonts w:ascii="Traditional Arabic" w:hAnsi="Traditional Arabic" w:cs="Traditional Arabic"/>
          <w:sz w:val="24"/>
          <w:szCs w:val="24"/>
          <w:rtl/>
        </w:rPr>
        <w:t>., 2022).</w:t>
      </w:r>
    </w:p>
    <w:p w14:paraId="61D2B08C" w14:textId="77777777" w:rsidR="00A109ED" w:rsidRDefault="00A109ED" w:rsidP="00A109ED">
      <w:pPr>
        <w:pStyle w:val="3"/>
        <w:bidi/>
        <w:spacing w:before="0" w:after="0" w:line="360" w:lineRule="auto"/>
        <w:jc w:val="both"/>
        <w:rPr>
          <w:rFonts w:ascii="Traditional Arabic" w:hAnsi="Traditional Arabic" w:cs="Traditional Arabic"/>
          <w:rtl/>
        </w:rPr>
      </w:pPr>
    </w:p>
    <w:p w14:paraId="4ADEC55D" w14:textId="16B2BB93" w:rsidR="008615C2" w:rsidRPr="00A109ED" w:rsidRDefault="00000000" w:rsidP="00A109ED">
      <w:pPr>
        <w:pStyle w:val="3"/>
        <w:bidi/>
        <w:spacing w:before="0" w:after="0" w:line="360" w:lineRule="auto"/>
        <w:jc w:val="both"/>
        <w:rPr>
          <w:rFonts w:ascii="Traditional Arabic" w:hAnsi="Traditional Arabic" w:cs="Traditional Arabic"/>
        </w:rPr>
      </w:pPr>
      <w:r w:rsidRPr="00A109ED">
        <w:rPr>
          <w:rFonts w:ascii="Traditional Arabic" w:hAnsi="Traditional Arabic" w:cs="Traditional Arabic"/>
          <w:rtl/>
        </w:rPr>
        <w:t>جمع البيانات</w:t>
      </w:r>
    </w:p>
    <w:p w14:paraId="64821872" w14:textId="3DE7971C" w:rsidR="008615C2" w:rsidRPr="005F5C76" w:rsidRDefault="003C0276"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sidRPr="005F5C76">
        <w:rPr>
          <w:rFonts w:ascii="Traditional Arabic" w:hAnsi="Traditional Arabic" w:cs="Traditional Arabic"/>
          <w:sz w:val="24"/>
          <w:szCs w:val="24"/>
          <w:rtl/>
        </w:rPr>
        <w:t>مصادر جمع البيانات يتم جمع البيانات الأولية من الاستبانة</w:t>
      </w:r>
      <w:r w:rsidR="00000000" w:rsidRPr="005F5C76">
        <w:rPr>
          <w:rFonts w:ascii="Traditional Arabic" w:hAnsi="Traditional Arabic" w:cs="Traditional Arabic"/>
          <w:sz w:val="24"/>
          <w:szCs w:val="24"/>
          <w:rtl/>
        </w:rPr>
        <w:t xml:space="preserve"> الإلكترونية، تعتمد على مقياس </w:t>
      </w:r>
      <w:proofErr w:type="spellStart"/>
      <w:r w:rsidR="00000000" w:rsidRPr="005F5C76">
        <w:rPr>
          <w:rFonts w:ascii="Traditional Arabic" w:hAnsi="Traditional Arabic" w:cs="Traditional Arabic"/>
          <w:sz w:val="24"/>
          <w:szCs w:val="24"/>
          <w:rtl/>
        </w:rPr>
        <w:t>ليكرت</w:t>
      </w:r>
      <w:proofErr w:type="spellEnd"/>
      <w:r w:rsidR="00000000" w:rsidRPr="005F5C76">
        <w:rPr>
          <w:rFonts w:ascii="Traditional Arabic" w:hAnsi="Traditional Arabic" w:cs="Traditional Arabic"/>
          <w:sz w:val="24"/>
          <w:szCs w:val="24"/>
          <w:rtl/>
        </w:rPr>
        <w:t xml:space="preserve"> الخماسي لجمع الاستجابات. </w:t>
      </w:r>
    </w:p>
    <w:p w14:paraId="28C9D342" w14:textId="789CF4B8" w:rsidR="00EE36EB" w:rsidRPr="005F5C76" w:rsidRDefault="003C0276"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sidRPr="005F5C76">
        <w:rPr>
          <w:rFonts w:ascii="Traditional Arabic" w:hAnsi="Traditional Arabic" w:cs="Traditional Arabic"/>
          <w:sz w:val="24"/>
          <w:szCs w:val="24"/>
          <w:rtl/>
        </w:rPr>
        <w:t>ويتم الحصول على البيانات الثانوية من الكتب والمقالات والأبحاث العليمة العربية والأجنبية المحكمة.</w:t>
      </w:r>
    </w:p>
    <w:p w14:paraId="1E25D74C" w14:textId="77777777" w:rsidR="003C0276" w:rsidRPr="005F5C76" w:rsidRDefault="003C0276" w:rsidP="00A109ED">
      <w:pPr>
        <w:pBdr>
          <w:top w:val="nil"/>
          <w:left w:val="nil"/>
          <w:bottom w:val="nil"/>
          <w:right w:val="nil"/>
          <w:between w:val="nil"/>
        </w:pBdr>
        <w:bidi/>
        <w:spacing w:line="360" w:lineRule="auto"/>
        <w:jc w:val="both"/>
        <w:rPr>
          <w:rFonts w:ascii="Traditional Arabic" w:hAnsi="Traditional Arabic" w:cs="Traditional Arabic"/>
          <w:sz w:val="24"/>
          <w:szCs w:val="24"/>
        </w:rPr>
      </w:pPr>
    </w:p>
    <w:p w14:paraId="6DF0C838" w14:textId="59E0CC8F" w:rsidR="008615C2" w:rsidRPr="00A109ED" w:rsidRDefault="00000000" w:rsidP="00A109ED">
      <w:pPr>
        <w:pStyle w:val="3"/>
        <w:bidi/>
        <w:spacing w:before="0" w:after="0" w:line="360" w:lineRule="auto"/>
        <w:jc w:val="both"/>
        <w:rPr>
          <w:rFonts w:ascii="Traditional Arabic" w:hAnsi="Traditional Arabic" w:cs="Traditional Arabic"/>
        </w:rPr>
      </w:pPr>
      <w:r w:rsidRPr="00A109ED">
        <w:rPr>
          <w:rFonts w:ascii="Traditional Arabic" w:hAnsi="Traditional Arabic" w:cs="Traditional Arabic"/>
          <w:rtl/>
        </w:rPr>
        <w:t>الأساليب الإحصائية المقترحة</w:t>
      </w:r>
    </w:p>
    <w:p w14:paraId="493E0162"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تم تحديد الأساليب والمعالجات الإحصائية بما يتوافق مع أهداف الدراسة وفرضياتها الهيكلية، كما يوضح الجدول (1-3):</w:t>
      </w:r>
    </w:p>
    <w:p w14:paraId="6AC7DBCC" w14:textId="77777777" w:rsidR="008615C2" w:rsidRPr="00A109ED" w:rsidRDefault="00000000" w:rsidP="00A109ED">
      <w:pPr>
        <w:pStyle w:val="3"/>
        <w:bidi/>
        <w:spacing w:before="0" w:after="0" w:line="360" w:lineRule="auto"/>
        <w:jc w:val="both"/>
        <w:rPr>
          <w:rFonts w:ascii="Traditional Arabic" w:hAnsi="Traditional Arabic" w:cs="Traditional Arabic"/>
          <w:b w:val="0"/>
          <w:bCs w:val="0"/>
          <w:sz w:val="24"/>
          <w:szCs w:val="24"/>
        </w:rPr>
      </w:pPr>
      <w:r w:rsidRPr="00A109ED">
        <w:rPr>
          <w:rFonts w:ascii="Traditional Arabic" w:hAnsi="Traditional Arabic" w:cs="Traditional Arabic"/>
          <w:b w:val="0"/>
          <w:bCs w:val="0"/>
          <w:sz w:val="24"/>
          <w:szCs w:val="24"/>
          <w:rtl/>
        </w:rPr>
        <w:t>جدول (1-3): الأساليب الإحصائية المعتمدة لاختبار فرضيات الدراسة</w:t>
      </w:r>
    </w:p>
    <w:tbl>
      <w:tblPr>
        <w:tblStyle w:val="a7"/>
        <w:bidiVisual/>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00"/>
        <w:gridCol w:w="4536"/>
        <w:gridCol w:w="3124"/>
      </w:tblGrid>
      <w:tr w:rsidR="008615C2" w:rsidRPr="00A109ED" w14:paraId="2CA7718E" w14:textId="77777777" w:rsidTr="00A109ED">
        <w:trPr>
          <w:tblHeader/>
        </w:trPr>
        <w:tc>
          <w:tcPr>
            <w:tcW w:w="1700" w:type="dxa"/>
            <w:tcMar>
              <w:top w:w="0" w:type="dxa"/>
              <w:left w:w="0" w:type="dxa"/>
              <w:bottom w:w="0" w:type="dxa"/>
              <w:right w:w="0" w:type="dxa"/>
            </w:tcMar>
            <w:vAlign w:val="center"/>
          </w:tcPr>
          <w:p w14:paraId="10482117" w14:textId="77777777" w:rsidR="008615C2" w:rsidRPr="00A109ED" w:rsidRDefault="00000000" w:rsidP="00A109ED">
            <w:pPr>
              <w:pBdr>
                <w:top w:val="nil"/>
                <w:left w:val="nil"/>
                <w:bottom w:val="nil"/>
                <w:right w:val="nil"/>
                <w:between w:val="nil"/>
              </w:pBdr>
              <w:bidi/>
              <w:jc w:val="center"/>
              <w:rPr>
                <w:rFonts w:ascii="Traditional Arabic" w:hAnsi="Traditional Arabic" w:cs="Traditional Arabic"/>
                <w:sz w:val="24"/>
                <w:szCs w:val="24"/>
              </w:rPr>
            </w:pPr>
            <w:r w:rsidRPr="00A109ED">
              <w:rPr>
                <w:rFonts w:ascii="Traditional Arabic" w:hAnsi="Traditional Arabic" w:cs="Traditional Arabic"/>
                <w:sz w:val="24"/>
                <w:szCs w:val="24"/>
                <w:rtl/>
              </w:rPr>
              <w:t>البرنامج الإحصائي</w:t>
            </w:r>
          </w:p>
        </w:tc>
        <w:tc>
          <w:tcPr>
            <w:tcW w:w="4536" w:type="dxa"/>
            <w:tcMar>
              <w:top w:w="0" w:type="dxa"/>
              <w:left w:w="0" w:type="dxa"/>
              <w:bottom w:w="0" w:type="dxa"/>
              <w:right w:w="0" w:type="dxa"/>
            </w:tcMar>
            <w:vAlign w:val="center"/>
          </w:tcPr>
          <w:p w14:paraId="3A2A2C1F" w14:textId="77777777" w:rsidR="008615C2" w:rsidRPr="00A109ED" w:rsidRDefault="00000000" w:rsidP="00A109ED">
            <w:pPr>
              <w:pBdr>
                <w:top w:val="nil"/>
                <w:left w:val="nil"/>
                <w:bottom w:val="nil"/>
                <w:right w:val="nil"/>
                <w:between w:val="nil"/>
              </w:pBdr>
              <w:bidi/>
              <w:jc w:val="center"/>
              <w:rPr>
                <w:rFonts w:ascii="Traditional Arabic" w:hAnsi="Traditional Arabic" w:cs="Traditional Arabic"/>
                <w:sz w:val="24"/>
                <w:szCs w:val="24"/>
              </w:rPr>
            </w:pPr>
            <w:r w:rsidRPr="00A109ED">
              <w:rPr>
                <w:rFonts w:ascii="Traditional Arabic" w:hAnsi="Traditional Arabic" w:cs="Traditional Arabic"/>
                <w:sz w:val="24"/>
                <w:szCs w:val="24"/>
                <w:rtl/>
              </w:rPr>
              <w:t>المعالجة الإحصائية المستهدفة</w:t>
            </w:r>
          </w:p>
        </w:tc>
        <w:tc>
          <w:tcPr>
            <w:tcW w:w="3124" w:type="dxa"/>
            <w:tcMar>
              <w:top w:w="0" w:type="dxa"/>
              <w:left w:w="0" w:type="dxa"/>
              <w:bottom w:w="0" w:type="dxa"/>
              <w:right w:w="0" w:type="dxa"/>
            </w:tcMar>
            <w:vAlign w:val="center"/>
          </w:tcPr>
          <w:p w14:paraId="7EEB8703" w14:textId="77777777" w:rsidR="008615C2" w:rsidRPr="00A109ED" w:rsidRDefault="00000000" w:rsidP="00A109ED">
            <w:pPr>
              <w:pBdr>
                <w:top w:val="nil"/>
                <w:left w:val="nil"/>
                <w:bottom w:val="nil"/>
                <w:right w:val="nil"/>
                <w:between w:val="nil"/>
              </w:pBdr>
              <w:bidi/>
              <w:jc w:val="center"/>
              <w:rPr>
                <w:rFonts w:ascii="Traditional Arabic" w:hAnsi="Traditional Arabic" w:cs="Traditional Arabic"/>
                <w:sz w:val="24"/>
                <w:szCs w:val="24"/>
              </w:rPr>
            </w:pPr>
            <w:r w:rsidRPr="00A109ED">
              <w:rPr>
                <w:rFonts w:ascii="Traditional Arabic" w:hAnsi="Traditional Arabic" w:cs="Traditional Arabic"/>
                <w:sz w:val="24"/>
                <w:szCs w:val="24"/>
                <w:rtl/>
              </w:rPr>
              <w:t>الهدف العلمي والمنهجي من المعالجة</w:t>
            </w:r>
          </w:p>
        </w:tc>
      </w:tr>
      <w:tr w:rsidR="008615C2" w:rsidRPr="00A109ED" w14:paraId="0C3FE268" w14:textId="77777777" w:rsidTr="00A109ED">
        <w:tc>
          <w:tcPr>
            <w:tcW w:w="1700" w:type="dxa"/>
            <w:tcMar>
              <w:top w:w="0" w:type="dxa"/>
              <w:left w:w="0" w:type="dxa"/>
              <w:bottom w:w="0" w:type="dxa"/>
              <w:right w:w="0" w:type="dxa"/>
            </w:tcMar>
            <w:vAlign w:val="center"/>
          </w:tcPr>
          <w:p w14:paraId="2EBC2AFB" w14:textId="77777777" w:rsidR="008615C2" w:rsidRPr="00A109ED" w:rsidRDefault="00000000" w:rsidP="00A109ED">
            <w:pPr>
              <w:pBdr>
                <w:top w:val="nil"/>
                <w:left w:val="nil"/>
                <w:bottom w:val="nil"/>
                <w:right w:val="nil"/>
                <w:between w:val="nil"/>
              </w:pBdr>
              <w:bidi/>
              <w:jc w:val="center"/>
              <w:rPr>
                <w:rFonts w:ascii="Traditional Arabic" w:hAnsi="Traditional Arabic" w:cs="Traditional Arabic"/>
                <w:sz w:val="24"/>
                <w:szCs w:val="24"/>
              </w:rPr>
            </w:pPr>
            <w:r w:rsidRPr="00A109ED">
              <w:rPr>
                <w:rFonts w:ascii="Traditional Arabic" w:hAnsi="Traditional Arabic" w:cs="Traditional Arabic"/>
                <w:sz w:val="24"/>
                <w:szCs w:val="24"/>
              </w:rPr>
              <w:t>SPSS</w:t>
            </w:r>
          </w:p>
        </w:tc>
        <w:tc>
          <w:tcPr>
            <w:tcW w:w="4536" w:type="dxa"/>
            <w:tcMar>
              <w:top w:w="0" w:type="dxa"/>
              <w:left w:w="0" w:type="dxa"/>
              <w:bottom w:w="0" w:type="dxa"/>
              <w:right w:w="0" w:type="dxa"/>
            </w:tcMar>
            <w:vAlign w:val="center"/>
          </w:tcPr>
          <w:p w14:paraId="2001BE90" w14:textId="77777777" w:rsidR="00D854B7" w:rsidRPr="00A109ED" w:rsidRDefault="00000000" w:rsidP="00A109ED">
            <w:pPr>
              <w:pBdr>
                <w:top w:val="nil"/>
                <w:left w:val="nil"/>
                <w:bottom w:val="nil"/>
                <w:right w:val="nil"/>
                <w:between w:val="nil"/>
              </w:pBdr>
              <w:bidi/>
              <w:rPr>
                <w:rFonts w:ascii="Traditional Arabic" w:hAnsi="Traditional Arabic" w:cs="Traditional Arabic"/>
                <w:sz w:val="24"/>
                <w:szCs w:val="24"/>
                <w:rtl/>
              </w:rPr>
            </w:pPr>
            <w:r w:rsidRPr="00A109ED">
              <w:rPr>
                <w:rFonts w:ascii="Traditional Arabic" w:hAnsi="Traditional Arabic" w:cs="Traditional Arabic"/>
                <w:sz w:val="24"/>
                <w:szCs w:val="24"/>
                <w:rtl/>
              </w:rPr>
              <w:t>- التكرارات والنسب المئوية والمتوسطات الحسابية والانحرافات المعيارية.</w:t>
            </w:r>
          </w:p>
          <w:p w14:paraId="03C9A339" w14:textId="77467976" w:rsidR="008615C2" w:rsidRPr="00A109ED" w:rsidRDefault="00000000" w:rsidP="00A109ED">
            <w:pPr>
              <w:pBdr>
                <w:top w:val="nil"/>
                <w:left w:val="nil"/>
                <w:bottom w:val="nil"/>
                <w:right w:val="nil"/>
                <w:between w:val="nil"/>
              </w:pBdr>
              <w:bidi/>
              <w:rPr>
                <w:rFonts w:ascii="Traditional Arabic" w:hAnsi="Traditional Arabic" w:cs="Traditional Arabic"/>
                <w:sz w:val="24"/>
                <w:szCs w:val="24"/>
              </w:rPr>
            </w:pPr>
            <w:r w:rsidRPr="00A109ED">
              <w:rPr>
                <w:rFonts w:ascii="Traditional Arabic" w:hAnsi="Traditional Arabic" w:cs="Traditional Arabic"/>
                <w:sz w:val="24"/>
                <w:szCs w:val="24"/>
                <w:rtl/>
              </w:rPr>
              <w:t xml:space="preserve"> - تصفية القيم المتطرفة والشاذة عبر منهجية النطاق الربعي </w:t>
            </w:r>
            <m:oMath>
              <m:d>
                <m:dPr>
                  <m:ctrlPr>
                    <w:rPr>
                      <w:rFonts w:ascii="Cambria Math" w:hAnsi="Cambria Math" w:cs="Traditional Arabic"/>
                      <w:sz w:val="24"/>
                      <w:szCs w:val="24"/>
                    </w:rPr>
                  </m:ctrlPr>
                </m:dPr>
                <m:e>
                  <m:r>
                    <w:rPr>
                      <w:rFonts w:ascii="Cambria Math" w:hAnsi="Cambria Math" w:cs="Traditional Arabic"/>
                      <w:sz w:val="24"/>
                      <w:szCs w:val="24"/>
                    </w:rPr>
                    <m:t>IQR</m:t>
                  </m:r>
                </m:e>
              </m:d>
            </m:oMath>
            <w:r w:rsidRPr="00A109ED">
              <w:rPr>
                <w:rFonts w:ascii="Traditional Arabic" w:hAnsi="Traditional Arabic" w:cs="Traditional Arabic"/>
                <w:sz w:val="24"/>
                <w:szCs w:val="24"/>
                <w:rtl/>
              </w:rPr>
              <w:t>.</w:t>
            </w:r>
          </w:p>
        </w:tc>
        <w:tc>
          <w:tcPr>
            <w:tcW w:w="3124" w:type="dxa"/>
            <w:tcMar>
              <w:top w:w="0" w:type="dxa"/>
              <w:left w:w="0" w:type="dxa"/>
              <w:bottom w:w="0" w:type="dxa"/>
              <w:right w:w="0" w:type="dxa"/>
            </w:tcMar>
            <w:vAlign w:val="center"/>
          </w:tcPr>
          <w:p w14:paraId="6987727C" w14:textId="77777777" w:rsidR="008615C2" w:rsidRPr="00A109ED" w:rsidRDefault="00000000" w:rsidP="00A109ED">
            <w:pPr>
              <w:pBdr>
                <w:top w:val="nil"/>
                <w:left w:val="nil"/>
                <w:bottom w:val="nil"/>
                <w:right w:val="nil"/>
                <w:between w:val="nil"/>
              </w:pBdr>
              <w:bidi/>
              <w:rPr>
                <w:rFonts w:ascii="Traditional Arabic" w:hAnsi="Traditional Arabic" w:cs="Traditional Arabic"/>
                <w:sz w:val="24"/>
                <w:szCs w:val="24"/>
              </w:rPr>
            </w:pPr>
            <w:r w:rsidRPr="00A109ED">
              <w:rPr>
                <w:rFonts w:ascii="Traditional Arabic" w:hAnsi="Traditional Arabic" w:cs="Traditional Arabic"/>
                <w:sz w:val="24"/>
                <w:szCs w:val="24"/>
                <w:rtl/>
              </w:rPr>
              <w:t>- توصيف الخصائص الديموغرافية والوظيفية لعينة الدراسة وتحديد مستويات المتغيرات بدقة. - سلامة وتصفية البيانات وضمان خلو مخرجات التحليل من التشوهات.</w:t>
            </w:r>
          </w:p>
        </w:tc>
      </w:tr>
      <w:tr w:rsidR="008615C2" w:rsidRPr="00A109ED" w14:paraId="70628CE2" w14:textId="77777777" w:rsidTr="00A109ED">
        <w:tc>
          <w:tcPr>
            <w:tcW w:w="1700" w:type="dxa"/>
            <w:tcMar>
              <w:top w:w="0" w:type="dxa"/>
              <w:left w:w="0" w:type="dxa"/>
              <w:bottom w:w="0" w:type="dxa"/>
              <w:right w:w="0" w:type="dxa"/>
            </w:tcMar>
            <w:vAlign w:val="center"/>
          </w:tcPr>
          <w:p w14:paraId="09DD5DB7" w14:textId="77777777" w:rsidR="008615C2" w:rsidRPr="00A109ED" w:rsidRDefault="00000000" w:rsidP="00A109ED">
            <w:pPr>
              <w:pBdr>
                <w:top w:val="nil"/>
                <w:left w:val="nil"/>
                <w:bottom w:val="nil"/>
                <w:right w:val="nil"/>
                <w:between w:val="nil"/>
              </w:pBdr>
              <w:bidi/>
              <w:jc w:val="center"/>
              <w:rPr>
                <w:rFonts w:ascii="Traditional Arabic" w:hAnsi="Traditional Arabic" w:cs="Traditional Arabic"/>
                <w:sz w:val="24"/>
                <w:szCs w:val="24"/>
              </w:rPr>
            </w:pPr>
            <w:proofErr w:type="spellStart"/>
            <w:r w:rsidRPr="00A109ED">
              <w:rPr>
                <w:rFonts w:ascii="Traditional Arabic" w:hAnsi="Traditional Arabic" w:cs="Traditional Arabic"/>
                <w:sz w:val="24"/>
                <w:szCs w:val="24"/>
              </w:rPr>
              <w:t>SmartPLS</w:t>
            </w:r>
            <w:proofErr w:type="spellEnd"/>
            <w:r w:rsidRPr="00A109ED">
              <w:rPr>
                <w:rFonts w:ascii="Traditional Arabic" w:hAnsi="Traditional Arabic" w:cs="Traditional Arabic"/>
                <w:sz w:val="24"/>
                <w:szCs w:val="24"/>
              </w:rPr>
              <w:t xml:space="preserve"> 4</w:t>
            </w:r>
          </w:p>
        </w:tc>
        <w:tc>
          <w:tcPr>
            <w:tcW w:w="4536" w:type="dxa"/>
            <w:tcMar>
              <w:top w:w="0" w:type="dxa"/>
              <w:left w:w="0" w:type="dxa"/>
              <w:bottom w:w="0" w:type="dxa"/>
              <w:right w:w="0" w:type="dxa"/>
            </w:tcMar>
            <w:vAlign w:val="center"/>
          </w:tcPr>
          <w:p w14:paraId="3C50F316" w14:textId="780B8F26" w:rsidR="00D854B7" w:rsidRPr="00A109ED" w:rsidRDefault="00000000" w:rsidP="00A109ED">
            <w:pPr>
              <w:pBdr>
                <w:top w:val="nil"/>
                <w:left w:val="nil"/>
                <w:bottom w:val="nil"/>
                <w:right w:val="nil"/>
                <w:between w:val="nil"/>
              </w:pBdr>
              <w:bidi/>
              <w:rPr>
                <w:rFonts w:ascii="Traditional Arabic" w:eastAsia="Times New Roman" w:hAnsi="Traditional Arabic" w:cs="Traditional Arabic"/>
                <w:sz w:val="24"/>
                <w:szCs w:val="24"/>
                <w:rtl/>
              </w:rPr>
            </w:pPr>
            <w:r w:rsidRPr="00A109ED">
              <w:rPr>
                <w:rFonts w:ascii="Traditional Arabic" w:eastAsia="Times New Roman" w:hAnsi="Traditional Arabic" w:cs="Traditional Arabic"/>
                <w:sz w:val="24"/>
                <w:szCs w:val="24"/>
                <w:rtl/>
              </w:rPr>
              <w:t>- تقييم نموذج القياس (</w:t>
            </w:r>
            <w:r w:rsidRPr="00A109ED">
              <w:rPr>
                <w:rFonts w:ascii="Traditional Arabic" w:eastAsia="Times New Roman" w:hAnsi="Traditional Arabic" w:cs="Traditional Arabic"/>
                <w:sz w:val="24"/>
                <w:szCs w:val="24"/>
              </w:rPr>
              <w:t>Measurement</w:t>
            </w:r>
            <w:r w:rsidR="00D854B7" w:rsidRPr="00A109ED">
              <w:rPr>
                <w:rFonts w:ascii="Traditional Arabic" w:eastAsia="Times New Roman" w:hAnsi="Traditional Arabic" w:cs="Traditional Arabic"/>
                <w:sz w:val="24"/>
                <w:szCs w:val="24"/>
                <w:rtl/>
              </w:rPr>
              <w:t xml:space="preserve"> </w:t>
            </w:r>
            <w:r w:rsidRPr="00A109ED">
              <w:rPr>
                <w:rFonts w:ascii="Traditional Arabic" w:eastAsia="Times New Roman" w:hAnsi="Traditional Arabic" w:cs="Traditional Arabic"/>
                <w:sz w:val="24"/>
                <w:szCs w:val="24"/>
              </w:rPr>
              <w:t>Model</w:t>
            </w:r>
            <w:r w:rsidRPr="00A109ED">
              <w:rPr>
                <w:rFonts w:ascii="Traditional Arabic" w:eastAsia="Times New Roman" w:hAnsi="Traditional Arabic" w:cs="Traditional Arabic"/>
                <w:sz w:val="24"/>
                <w:szCs w:val="24"/>
                <w:rtl/>
              </w:rPr>
              <w:t xml:space="preserve">): الصدق </w:t>
            </w:r>
            <w:proofErr w:type="spellStart"/>
            <w:r w:rsidRPr="00A109ED">
              <w:rPr>
                <w:rFonts w:ascii="Traditional Arabic" w:eastAsia="Times New Roman" w:hAnsi="Traditional Arabic" w:cs="Traditional Arabic"/>
                <w:sz w:val="24"/>
                <w:szCs w:val="24"/>
                <w:rtl/>
              </w:rPr>
              <w:t>التقاربي</w:t>
            </w:r>
            <w:proofErr w:type="spellEnd"/>
            <w:r w:rsidRPr="00A109ED">
              <w:rPr>
                <w:rFonts w:ascii="Traditional Arabic" w:eastAsia="Times New Roman" w:hAnsi="Traditional Arabic" w:cs="Traditional Arabic"/>
                <w:sz w:val="24"/>
                <w:szCs w:val="24"/>
                <w:rtl/>
              </w:rPr>
              <w:t xml:space="preserve">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AVE</m:t>
                  </m:r>
                </m:e>
              </m:d>
            </m:oMath>
            <w:r w:rsidRPr="00A109ED">
              <w:rPr>
                <w:rFonts w:ascii="Traditional Arabic" w:eastAsia="Times New Roman" w:hAnsi="Traditional Arabic" w:cs="Traditional Arabic"/>
                <w:sz w:val="24"/>
                <w:szCs w:val="24"/>
                <w:rtl/>
              </w:rPr>
              <w:t xml:space="preserve">, والصدق التمييزي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HTMT</m:t>
                  </m:r>
                </m:e>
              </m:d>
            </m:oMath>
            <w:r w:rsidRPr="00A109ED">
              <w:rPr>
                <w:rFonts w:ascii="Traditional Arabic" w:eastAsia="Times New Roman" w:hAnsi="Traditional Arabic" w:cs="Traditional Arabic"/>
                <w:sz w:val="24"/>
                <w:szCs w:val="24"/>
                <w:rtl/>
              </w:rPr>
              <w:t xml:space="preserve">, والثبات المركب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CR</m:t>
                  </m:r>
                </m:e>
              </m:d>
            </m:oMath>
            <w:r w:rsidRPr="00A109ED">
              <w:rPr>
                <w:rFonts w:ascii="Traditional Arabic" w:eastAsia="Times New Roman" w:hAnsi="Traditional Arabic" w:cs="Traditional Arabic"/>
                <w:sz w:val="24"/>
                <w:szCs w:val="24"/>
                <w:rtl/>
              </w:rPr>
              <w:t xml:space="preserve">, وألفا كرونباخ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α</m:t>
                  </m:r>
                </m:e>
              </m:d>
            </m:oMath>
            <w:r w:rsidRPr="00A109ED">
              <w:rPr>
                <w:rFonts w:ascii="Traditional Arabic" w:eastAsia="Times New Roman" w:hAnsi="Traditional Arabic" w:cs="Traditional Arabic"/>
                <w:sz w:val="24"/>
                <w:szCs w:val="24"/>
                <w:rtl/>
              </w:rPr>
              <w:t>.</w:t>
            </w:r>
          </w:p>
          <w:p w14:paraId="0C60F639" w14:textId="306BC09A" w:rsidR="008615C2" w:rsidRPr="00A109ED" w:rsidRDefault="00000000" w:rsidP="00A109ED">
            <w:pPr>
              <w:pBdr>
                <w:top w:val="nil"/>
                <w:left w:val="nil"/>
                <w:bottom w:val="nil"/>
                <w:right w:val="nil"/>
                <w:between w:val="nil"/>
              </w:pBdr>
              <w:bidi/>
              <w:rPr>
                <w:rFonts w:ascii="Traditional Arabic" w:eastAsia="Times New Roman" w:hAnsi="Traditional Arabic" w:cs="Traditional Arabic"/>
                <w:sz w:val="24"/>
                <w:szCs w:val="24"/>
              </w:rPr>
            </w:pPr>
            <w:r w:rsidRPr="00A109ED">
              <w:rPr>
                <w:rFonts w:ascii="Traditional Arabic" w:eastAsia="Times New Roman" w:hAnsi="Traditional Arabic" w:cs="Traditional Arabic"/>
                <w:sz w:val="24"/>
                <w:szCs w:val="24"/>
                <w:rtl/>
              </w:rPr>
              <w:t xml:space="preserve"> - تقييم النموذج الهيكلي (</w:t>
            </w:r>
            <w:r w:rsidRPr="00A109ED">
              <w:rPr>
                <w:rFonts w:ascii="Traditional Arabic" w:eastAsia="Times New Roman" w:hAnsi="Traditional Arabic" w:cs="Traditional Arabic"/>
                <w:sz w:val="24"/>
                <w:szCs w:val="24"/>
              </w:rPr>
              <w:t>Structural\</w:t>
            </w:r>
            <w:proofErr w:type="gramStart"/>
            <w:r w:rsidRPr="00A109ED">
              <w:rPr>
                <w:rFonts w:ascii="Traditional Arabic" w:eastAsia="Times New Roman" w:hAnsi="Traditional Arabic" w:cs="Traditional Arabic"/>
                <w:sz w:val="24"/>
                <w:szCs w:val="24"/>
              </w:rPr>
              <w:t>text{ }</w:t>
            </w:r>
            <w:proofErr w:type="gramEnd"/>
            <w:r w:rsidRPr="00A109ED">
              <w:rPr>
                <w:rFonts w:ascii="Traditional Arabic" w:eastAsia="Times New Roman" w:hAnsi="Traditional Arabic" w:cs="Traditional Arabic"/>
                <w:sz w:val="24"/>
                <w:szCs w:val="24"/>
              </w:rPr>
              <w:t>Model</w:t>
            </w:r>
            <w:r w:rsidRPr="00A109ED">
              <w:rPr>
                <w:rFonts w:ascii="Traditional Arabic" w:eastAsia="Times New Roman" w:hAnsi="Traditional Arabic" w:cs="Traditional Arabic"/>
                <w:sz w:val="24"/>
                <w:szCs w:val="24"/>
                <w:rtl/>
              </w:rPr>
              <w:t xml:space="preserve">): اختبار معاملات المسار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β</m:t>
                  </m:r>
                </m:e>
              </m:d>
            </m:oMath>
            <w:r w:rsidRPr="00A109ED">
              <w:rPr>
                <w:rFonts w:ascii="Traditional Arabic" w:eastAsia="Times New Roman" w:hAnsi="Traditional Arabic" w:cs="Traditional Arabic"/>
                <w:sz w:val="24"/>
                <w:szCs w:val="24"/>
                <w:rtl/>
              </w:rPr>
              <w:t xml:space="preserve"> وقيمة </w:t>
            </w:r>
            <w:r w:rsidRPr="00A109ED">
              <w:rPr>
                <w:rFonts w:ascii="Traditional Arabic" w:eastAsia="Times New Roman" w:hAnsi="Traditional Arabic" w:cs="Traditional Arabic"/>
                <w:sz w:val="24"/>
                <w:szCs w:val="24"/>
              </w:rPr>
              <w:t>T</w:t>
            </w:r>
            <w:r w:rsidR="00D854B7" w:rsidRPr="00A109ED">
              <w:rPr>
                <w:rFonts w:ascii="Traditional Arabic" w:eastAsia="Times New Roman" w:hAnsi="Traditional Arabic" w:cs="Traditional Arabic"/>
                <w:sz w:val="24"/>
                <w:szCs w:val="24"/>
              </w:rPr>
              <w:t xml:space="preserve"> </w:t>
            </w:r>
            <w:r w:rsidRPr="00A109ED">
              <w:rPr>
                <w:rFonts w:ascii="Traditional Arabic" w:eastAsia="Times New Roman" w:hAnsi="Traditional Arabic" w:cs="Traditional Arabic"/>
                <w:sz w:val="24"/>
                <w:szCs w:val="24"/>
              </w:rPr>
              <w:t>-value</w:t>
            </w:r>
            <w:r w:rsidRPr="00A109ED">
              <w:rPr>
                <w:rFonts w:ascii="Traditional Arabic" w:eastAsia="Times New Roman" w:hAnsi="Traditional Arabic" w:cs="Traditional Arabic"/>
                <w:sz w:val="24"/>
                <w:szCs w:val="24"/>
                <w:rtl/>
              </w:rPr>
              <w:t xml:space="preserve"> وقيمة </w:t>
            </w:r>
            <w:r w:rsidRPr="00A109ED">
              <w:rPr>
                <w:rFonts w:ascii="Traditional Arabic" w:eastAsia="Times New Roman" w:hAnsi="Traditional Arabic" w:cs="Traditional Arabic"/>
                <w:sz w:val="24"/>
                <w:szCs w:val="24"/>
              </w:rPr>
              <w:t>P</w:t>
            </w:r>
            <w:r w:rsidR="00D854B7" w:rsidRPr="00A109ED">
              <w:rPr>
                <w:rFonts w:ascii="Traditional Arabic" w:eastAsia="Times New Roman" w:hAnsi="Traditional Arabic" w:cs="Traditional Arabic"/>
                <w:sz w:val="24"/>
                <w:szCs w:val="24"/>
              </w:rPr>
              <w:t xml:space="preserve"> </w:t>
            </w:r>
            <w:r w:rsidRPr="00A109ED">
              <w:rPr>
                <w:rFonts w:ascii="Traditional Arabic" w:eastAsia="Times New Roman" w:hAnsi="Traditional Arabic" w:cs="Traditional Arabic"/>
                <w:sz w:val="24"/>
                <w:szCs w:val="24"/>
              </w:rPr>
              <w:t>-</w:t>
            </w:r>
            <w:proofErr w:type="gramStart"/>
            <w:r w:rsidRPr="00A109ED">
              <w:rPr>
                <w:rFonts w:ascii="Traditional Arabic" w:eastAsia="Times New Roman" w:hAnsi="Traditional Arabic" w:cs="Traditional Arabic"/>
                <w:sz w:val="24"/>
                <w:szCs w:val="24"/>
              </w:rPr>
              <w:t>value</w:t>
            </w:r>
            <w:r w:rsidR="00D854B7" w:rsidRPr="00A109ED">
              <w:rPr>
                <w:rFonts w:ascii="Traditional Arabic" w:eastAsia="Times New Roman" w:hAnsi="Traditional Arabic" w:cs="Traditional Arabic"/>
                <w:sz w:val="24"/>
                <w:szCs w:val="24"/>
                <w:rtl/>
              </w:rPr>
              <w:t xml:space="preserve"> </w:t>
            </w:r>
            <w:r w:rsidRPr="00A109ED">
              <w:rPr>
                <w:rFonts w:ascii="Traditional Arabic" w:eastAsia="Times New Roman" w:hAnsi="Traditional Arabic" w:cs="Traditional Arabic"/>
                <w:sz w:val="24"/>
                <w:szCs w:val="24"/>
              </w:rPr>
              <w:t>.</w:t>
            </w:r>
            <w:proofErr w:type="gramEnd"/>
          </w:p>
        </w:tc>
        <w:tc>
          <w:tcPr>
            <w:tcW w:w="3124" w:type="dxa"/>
            <w:tcMar>
              <w:top w:w="0" w:type="dxa"/>
              <w:left w:w="0" w:type="dxa"/>
              <w:bottom w:w="0" w:type="dxa"/>
              <w:right w:w="0" w:type="dxa"/>
            </w:tcMar>
            <w:vAlign w:val="center"/>
          </w:tcPr>
          <w:p w14:paraId="4110BDF7" w14:textId="77777777" w:rsidR="00D854B7" w:rsidRPr="00A109ED" w:rsidRDefault="00000000" w:rsidP="00A109ED">
            <w:pPr>
              <w:pBdr>
                <w:top w:val="nil"/>
                <w:left w:val="nil"/>
                <w:bottom w:val="nil"/>
                <w:right w:val="nil"/>
                <w:between w:val="nil"/>
              </w:pBdr>
              <w:bidi/>
              <w:rPr>
                <w:rFonts w:ascii="Traditional Arabic" w:eastAsia="Times New Roman" w:hAnsi="Traditional Arabic" w:cs="Traditional Arabic"/>
                <w:sz w:val="24"/>
                <w:szCs w:val="24"/>
                <w:rtl/>
              </w:rPr>
            </w:pPr>
            <w:r w:rsidRPr="00A109ED">
              <w:rPr>
                <w:rFonts w:ascii="Traditional Arabic" w:eastAsia="Times New Roman" w:hAnsi="Traditional Arabic" w:cs="Traditional Arabic"/>
                <w:sz w:val="24"/>
                <w:szCs w:val="24"/>
                <w:rtl/>
              </w:rPr>
              <w:t xml:space="preserve">- التحقق من صدق وموثوقية وثبات مقاييس المتغيرات وصلاحية الفقرات الممثلة لكل بعد تنظيمي. </w:t>
            </w:r>
          </w:p>
          <w:p w14:paraId="7ED299C8" w14:textId="6C8DC8EB" w:rsidR="008615C2" w:rsidRPr="00A109ED" w:rsidRDefault="00000000" w:rsidP="00A109ED">
            <w:pPr>
              <w:pBdr>
                <w:top w:val="nil"/>
                <w:left w:val="nil"/>
                <w:bottom w:val="nil"/>
                <w:right w:val="nil"/>
                <w:between w:val="nil"/>
              </w:pBdr>
              <w:bidi/>
              <w:rPr>
                <w:rFonts w:ascii="Traditional Arabic" w:eastAsia="Times New Roman" w:hAnsi="Traditional Arabic" w:cs="Traditional Arabic"/>
                <w:sz w:val="24"/>
                <w:szCs w:val="24"/>
              </w:rPr>
            </w:pPr>
            <w:r w:rsidRPr="00A109ED">
              <w:rPr>
                <w:rFonts w:ascii="Traditional Arabic" w:eastAsia="Times New Roman" w:hAnsi="Traditional Arabic" w:cs="Traditional Arabic"/>
                <w:sz w:val="24"/>
                <w:szCs w:val="24"/>
                <w:rtl/>
              </w:rPr>
              <w:t xml:space="preserve">- اختبار الفرضيات المباشرة </w:t>
            </w:r>
            <m:oMath>
              <m:d>
                <m:dPr>
                  <m:ctrlPr>
                    <w:rPr>
                      <w:rFonts w:ascii="Cambria Math" w:eastAsia="Times New Roman" w:hAnsi="Cambria Math" w:cs="Traditional Arabic"/>
                      <w:sz w:val="24"/>
                      <w:szCs w:val="24"/>
                    </w:rPr>
                  </m:ctrlPr>
                </m:dPr>
                <m:e>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e>
                    <m:sub>
                      <m:r>
                        <m:rPr>
                          <m:sty m:val="p"/>
                        </m:rPr>
                        <w:rPr>
                          <w:rFonts w:ascii="Cambria Math" w:eastAsia="Times New Roman" w:hAnsi="Cambria Math" w:cs="Traditional Arabic"/>
                          <w:sz w:val="24"/>
                          <w:szCs w:val="24"/>
                        </w:rPr>
                        <m:t>1</m:t>
                      </m:r>
                    </m:sub>
                  </m:sSub>
                  <m:r>
                    <m:rPr>
                      <m:sty m:val="p"/>
                    </m:rPr>
                    <w:rPr>
                      <w:rFonts w:ascii="Cambria Math" w:eastAsia="Times New Roman" w:hAnsi="Cambria Math" w:cs="Traditional Arabic"/>
                      <w:sz w:val="24"/>
                      <w:szCs w:val="24"/>
                    </w:rPr>
                    <m:t xml:space="preserve">, </m:t>
                  </m:r>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e>
                    <m:sub>
                      <m:r>
                        <m:rPr>
                          <m:sty m:val="p"/>
                        </m:rPr>
                        <w:rPr>
                          <w:rFonts w:ascii="Cambria Math" w:eastAsia="Times New Roman" w:hAnsi="Cambria Math" w:cs="Traditional Arabic"/>
                          <w:sz w:val="24"/>
                          <w:szCs w:val="24"/>
                        </w:rPr>
                        <m:t>2</m:t>
                      </m:r>
                    </m:sub>
                  </m:sSub>
                  <m:r>
                    <m:rPr>
                      <m:sty m:val="p"/>
                    </m:rPr>
                    <w:rPr>
                      <w:rFonts w:ascii="Cambria Math" w:eastAsia="Times New Roman" w:hAnsi="Cambria Math" w:cs="Traditional Arabic"/>
                      <w:sz w:val="24"/>
                      <w:szCs w:val="24"/>
                    </w:rPr>
                    <m:t xml:space="preserve">, </m:t>
                  </m:r>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e>
                    <m:sub>
                      <m:r>
                        <m:rPr>
                          <m:sty m:val="p"/>
                        </m:rPr>
                        <w:rPr>
                          <w:rFonts w:ascii="Cambria Math" w:eastAsia="Times New Roman" w:hAnsi="Cambria Math" w:cs="Traditional Arabic"/>
                          <w:sz w:val="24"/>
                          <w:szCs w:val="24"/>
                          <w:rtl/>
                        </w:rPr>
                        <m:t>3</m:t>
                      </m:r>
                    </m:sub>
                  </m:sSub>
                </m:e>
              </m:d>
            </m:oMath>
            <w:r w:rsidRPr="00A109ED">
              <w:rPr>
                <w:rFonts w:ascii="Traditional Arabic" w:eastAsia="Times New Roman" w:hAnsi="Traditional Arabic" w:cs="Traditional Arabic"/>
                <w:sz w:val="24"/>
                <w:szCs w:val="24"/>
                <w:rtl/>
              </w:rPr>
              <w:t xml:space="preserve"> والتحقق من معنوية روابط التأثير المباشرة بين المتغيرات الثلاثة.</w:t>
            </w:r>
          </w:p>
        </w:tc>
      </w:tr>
      <w:tr w:rsidR="008615C2" w:rsidRPr="00A109ED" w14:paraId="69791D66" w14:textId="77777777" w:rsidTr="00A109ED">
        <w:tc>
          <w:tcPr>
            <w:tcW w:w="1700" w:type="dxa"/>
            <w:tcMar>
              <w:top w:w="0" w:type="dxa"/>
              <w:left w:w="0" w:type="dxa"/>
              <w:bottom w:w="0" w:type="dxa"/>
              <w:right w:w="0" w:type="dxa"/>
            </w:tcMar>
            <w:vAlign w:val="center"/>
          </w:tcPr>
          <w:p w14:paraId="0FC3A447" w14:textId="77777777" w:rsidR="008615C2" w:rsidRPr="00A109ED" w:rsidRDefault="00000000" w:rsidP="00A109ED">
            <w:pPr>
              <w:pBdr>
                <w:top w:val="nil"/>
                <w:left w:val="nil"/>
                <w:bottom w:val="nil"/>
                <w:right w:val="nil"/>
                <w:between w:val="nil"/>
              </w:pBdr>
              <w:bidi/>
              <w:jc w:val="center"/>
              <w:rPr>
                <w:rFonts w:ascii="Traditional Arabic" w:hAnsi="Traditional Arabic" w:cs="Traditional Arabic"/>
                <w:sz w:val="24"/>
                <w:szCs w:val="24"/>
              </w:rPr>
            </w:pPr>
            <w:proofErr w:type="spellStart"/>
            <w:r w:rsidRPr="00A109ED">
              <w:rPr>
                <w:rFonts w:ascii="Traditional Arabic" w:hAnsi="Traditional Arabic" w:cs="Traditional Arabic"/>
                <w:sz w:val="24"/>
                <w:szCs w:val="24"/>
              </w:rPr>
              <w:t>SmartPLS</w:t>
            </w:r>
            <w:proofErr w:type="spellEnd"/>
            <w:r w:rsidRPr="00A109ED">
              <w:rPr>
                <w:rFonts w:ascii="Traditional Arabic" w:hAnsi="Traditional Arabic" w:cs="Traditional Arabic"/>
                <w:sz w:val="24"/>
                <w:szCs w:val="24"/>
              </w:rPr>
              <w:t xml:space="preserve"> 4 (Bootstrapping)</w:t>
            </w:r>
          </w:p>
        </w:tc>
        <w:tc>
          <w:tcPr>
            <w:tcW w:w="4536" w:type="dxa"/>
            <w:tcMar>
              <w:top w:w="0" w:type="dxa"/>
              <w:left w:w="0" w:type="dxa"/>
              <w:bottom w:w="0" w:type="dxa"/>
              <w:right w:w="0" w:type="dxa"/>
            </w:tcMar>
            <w:vAlign w:val="center"/>
          </w:tcPr>
          <w:p w14:paraId="5822DC0E" w14:textId="460A88CF" w:rsidR="00D854B7" w:rsidRPr="00A109ED" w:rsidRDefault="00000000" w:rsidP="00A109ED">
            <w:pPr>
              <w:pBdr>
                <w:top w:val="nil"/>
                <w:left w:val="nil"/>
                <w:bottom w:val="nil"/>
                <w:right w:val="nil"/>
                <w:between w:val="nil"/>
              </w:pBdr>
              <w:bidi/>
              <w:rPr>
                <w:rFonts w:ascii="Traditional Arabic" w:hAnsi="Traditional Arabic" w:cs="Traditional Arabic"/>
                <w:sz w:val="24"/>
                <w:szCs w:val="24"/>
                <w:rtl/>
              </w:rPr>
            </w:pPr>
            <w:r w:rsidRPr="00A109ED">
              <w:rPr>
                <w:rFonts w:ascii="Traditional Arabic" w:hAnsi="Traditional Arabic" w:cs="Traditional Arabic"/>
                <w:sz w:val="24"/>
                <w:szCs w:val="24"/>
                <w:rtl/>
              </w:rPr>
              <w:t>- تحليل التوسط الإحصائي (</w:t>
            </w:r>
            <w:r w:rsidRPr="00A109ED">
              <w:rPr>
                <w:rFonts w:ascii="Traditional Arabic" w:hAnsi="Traditional Arabic" w:cs="Traditional Arabic"/>
                <w:sz w:val="24"/>
                <w:szCs w:val="24"/>
              </w:rPr>
              <w:t>Mediation</w:t>
            </w:r>
            <w:r w:rsidR="00D854B7" w:rsidRPr="00A109ED">
              <w:rPr>
                <w:rFonts w:ascii="Traditional Arabic" w:hAnsi="Traditional Arabic" w:cs="Traditional Arabic"/>
                <w:sz w:val="24"/>
                <w:szCs w:val="24"/>
                <w:rtl/>
              </w:rPr>
              <w:t xml:space="preserve"> </w:t>
            </w:r>
            <w:r w:rsidRPr="00A109ED">
              <w:rPr>
                <w:rFonts w:ascii="Traditional Arabic" w:hAnsi="Traditional Arabic" w:cs="Traditional Arabic"/>
                <w:sz w:val="24"/>
                <w:szCs w:val="24"/>
              </w:rPr>
              <w:t>Analysis</w:t>
            </w:r>
            <w:r w:rsidRPr="00A109ED">
              <w:rPr>
                <w:rFonts w:ascii="Traditional Arabic" w:hAnsi="Traditional Arabic" w:cs="Traditional Arabic"/>
                <w:sz w:val="24"/>
                <w:szCs w:val="24"/>
                <w:rtl/>
              </w:rPr>
              <w:t>) والتحقق من معنوية الأثر غير المباشر الكلي والجزئي.</w:t>
            </w:r>
          </w:p>
          <w:p w14:paraId="5F81FA1A" w14:textId="175152D6" w:rsidR="008615C2" w:rsidRPr="00A109ED" w:rsidRDefault="00000000" w:rsidP="00A109ED">
            <w:pPr>
              <w:pBdr>
                <w:top w:val="nil"/>
                <w:left w:val="nil"/>
                <w:bottom w:val="nil"/>
                <w:right w:val="nil"/>
                <w:between w:val="nil"/>
              </w:pBdr>
              <w:bidi/>
              <w:rPr>
                <w:rFonts w:ascii="Traditional Arabic" w:hAnsi="Traditional Arabic" w:cs="Traditional Arabic"/>
                <w:sz w:val="24"/>
                <w:szCs w:val="24"/>
              </w:rPr>
            </w:pPr>
            <w:r w:rsidRPr="00A109ED">
              <w:rPr>
                <w:rFonts w:ascii="Traditional Arabic" w:hAnsi="Traditional Arabic" w:cs="Traditional Arabic"/>
                <w:sz w:val="24"/>
                <w:szCs w:val="24"/>
                <w:rtl/>
              </w:rPr>
              <w:t xml:space="preserve"> - حساب قيمة ومؤشر </w:t>
            </w:r>
            <m:oMath>
              <m:d>
                <m:dPr>
                  <m:ctrlPr>
                    <w:rPr>
                      <w:rFonts w:ascii="Cambria Math" w:hAnsi="Cambria Math" w:cs="Traditional Arabic"/>
                      <w:sz w:val="24"/>
                      <w:szCs w:val="24"/>
                    </w:rPr>
                  </m:ctrlPr>
                </m:dPr>
                <m:e>
                  <m:r>
                    <w:rPr>
                      <w:rFonts w:ascii="Cambria Math" w:hAnsi="Cambria Math" w:cs="Traditional Arabic"/>
                      <w:sz w:val="24"/>
                      <w:szCs w:val="24"/>
                    </w:rPr>
                    <m:t>VAF</m:t>
                  </m:r>
                </m:e>
              </m:d>
            </m:oMath>
            <w:r w:rsidRPr="00A109ED">
              <w:rPr>
                <w:rFonts w:ascii="Traditional Arabic" w:hAnsi="Traditional Arabic" w:cs="Traditional Arabic"/>
                <w:sz w:val="24"/>
                <w:szCs w:val="24"/>
                <w:rtl/>
              </w:rPr>
              <w:t xml:space="preserve"> لتصنيف طبيعة التوسط.</w:t>
            </w:r>
          </w:p>
        </w:tc>
        <w:tc>
          <w:tcPr>
            <w:tcW w:w="3124" w:type="dxa"/>
            <w:tcMar>
              <w:top w:w="0" w:type="dxa"/>
              <w:left w:w="0" w:type="dxa"/>
              <w:bottom w:w="0" w:type="dxa"/>
              <w:right w:w="0" w:type="dxa"/>
            </w:tcMar>
            <w:vAlign w:val="center"/>
          </w:tcPr>
          <w:p w14:paraId="1864AE22" w14:textId="4AACEC23" w:rsidR="008615C2" w:rsidRPr="00A109ED" w:rsidRDefault="00000000" w:rsidP="00A109ED">
            <w:pPr>
              <w:pBdr>
                <w:top w:val="nil"/>
                <w:left w:val="nil"/>
                <w:bottom w:val="nil"/>
                <w:right w:val="nil"/>
                <w:between w:val="nil"/>
              </w:pBdr>
              <w:bidi/>
              <w:rPr>
                <w:rFonts w:ascii="Traditional Arabic" w:eastAsia="Times New Roman" w:hAnsi="Traditional Arabic" w:cs="Traditional Arabic"/>
                <w:sz w:val="24"/>
                <w:szCs w:val="24"/>
              </w:rPr>
            </w:pPr>
            <w:r w:rsidRPr="00A109ED">
              <w:rPr>
                <w:rFonts w:ascii="Traditional Arabic" w:eastAsia="Times New Roman" w:hAnsi="Traditional Arabic" w:cs="Traditional Arabic"/>
                <w:sz w:val="24"/>
                <w:szCs w:val="24"/>
                <w:rtl/>
              </w:rPr>
              <w:t xml:space="preserve">- الكشف عن طبيعة توسط النضج الرقمي (جزئي أم كلي كسيناريوهات بديلة) وتحديد قدرته التفسيرية للعلاقة بين المتغيرات </w:t>
            </w:r>
            <m:oMath>
              <m:d>
                <m:dPr>
                  <m:ctrlPr>
                    <w:rPr>
                      <w:rFonts w:ascii="Cambria Math" w:eastAsia="Times New Roman" w:hAnsi="Cambria Math" w:cs="Traditional Arabic"/>
                      <w:sz w:val="24"/>
                      <w:szCs w:val="24"/>
                    </w:rPr>
                  </m:ctrlPr>
                </m:dPr>
                <m:e>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e>
                    <m:sub>
                      <m:r>
                        <m:rPr>
                          <m:sty m:val="p"/>
                        </m:rPr>
                        <w:rPr>
                          <w:rFonts w:ascii="Cambria Math" w:eastAsia="Times New Roman" w:hAnsi="Cambria Math" w:cs="Traditional Arabic"/>
                          <w:sz w:val="24"/>
                          <w:szCs w:val="24"/>
                          <w:rtl/>
                        </w:rPr>
                        <m:t>4</m:t>
                      </m:r>
                    </m:sub>
                  </m:sSub>
                </m:e>
              </m:d>
            </m:oMath>
            <w:r w:rsidRPr="00A109ED">
              <w:rPr>
                <w:rFonts w:ascii="Traditional Arabic" w:eastAsia="Times New Roman" w:hAnsi="Traditional Arabic" w:cs="Traditional Arabic"/>
                <w:sz w:val="24"/>
                <w:szCs w:val="24"/>
                <w:rtl/>
              </w:rPr>
              <w:t>.</w:t>
            </w:r>
          </w:p>
        </w:tc>
      </w:tr>
    </w:tbl>
    <w:p w14:paraId="3D975F74" w14:textId="77777777" w:rsidR="00A109ED" w:rsidRDefault="00A109ED" w:rsidP="00A109ED">
      <w:pPr>
        <w:pStyle w:val="2"/>
        <w:bidi/>
        <w:spacing w:before="0" w:after="0" w:line="360" w:lineRule="auto"/>
        <w:jc w:val="both"/>
        <w:rPr>
          <w:rFonts w:ascii="Traditional Arabic" w:hAnsi="Traditional Arabic" w:cs="Traditional Arabic"/>
          <w:sz w:val="32"/>
          <w:szCs w:val="32"/>
          <w:rtl/>
        </w:rPr>
      </w:pPr>
    </w:p>
    <w:p w14:paraId="5A27F611" w14:textId="4874A2D3" w:rsidR="008615C2" w:rsidRPr="00A109ED" w:rsidRDefault="00000000" w:rsidP="00A109ED">
      <w:pPr>
        <w:pStyle w:val="2"/>
        <w:bidi/>
        <w:spacing w:before="0" w:after="0" w:line="360" w:lineRule="auto"/>
        <w:jc w:val="both"/>
        <w:rPr>
          <w:rFonts w:ascii="Traditional Arabic" w:hAnsi="Traditional Arabic" w:cs="Traditional Arabic"/>
          <w:sz w:val="32"/>
          <w:szCs w:val="32"/>
        </w:rPr>
      </w:pPr>
      <w:r w:rsidRPr="00A109ED">
        <w:rPr>
          <w:rFonts w:ascii="Traditional Arabic" w:hAnsi="Traditional Arabic" w:cs="Traditional Arabic"/>
          <w:sz w:val="32"/>
          <w:szCs w:val="32"/>
          <w:rtl/>
        </w:rPr>
        <w:t xml:space="preserve">الأدبيات والدراسات السابقة </w:t>
      </w:r>
    </w:p>
    <w:p w14:paraId="4A17CE34" w14:textId="1428472A"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lastRenderedPageBreak/>
        <w:t>تم تقسيم الأدبيات والدراسات السابقة ومراجعتها بشكل منهجي ناقد ومقسمة على ثلاثة محاور رئيسية:</w:t>
      </w:r>
    </w:p>
    <w:p w14:paraId="7122E6E3" w14:textId="77777777" w:rsidR="00A109ED" w:rsidRDefault="00A109ED" w:rsidP="00A109ED">
      <w:pPr>
        <w:pStyle w:val="3"/>
        <w:bidi/>
        <w:spacing w:before="0" w:after="0" w:line="360" w:lineRule="auto"/>
        <w:jc w:val="both"/>
        <w:rPr>
          <w:rFonts w:ascii="Traditional Arabic" w:hAnsi="Traditional Arabic" w:cs="Traditional Arabic"/>
          <w:rtl/>
        </w:rPr>
      </w:pPr>
    </w:p>
    <w:p w14:paraId="0E4E8D8A" w14:textId="7335C712" w:rsidR="008615C2" w:rsidRPr="00A109ED" w:rsidRDefault="00000000" w:rsidP="00A109ED">
      <w:pPr>
        <w:pStyle w:val="3"/>
        <w:bidi/>
        <w:spacing w:before="0" w:after="0" w:line="360" w:lineRule="auto"/>
        <w:jc w:val="both"/>
        <w:rPr>
          <w:rFonts w:ascii="Traditional Arabic" w:hAnsi="Traditional Arabic" w:cs="Traditional Arabic"/>
        </w:rPr>
      </w:pPr>
      <w:r w:rsidRPr="00A109ED">
        <w:rPr>
          <w:rFonts w:ascii="Traditional Arabic" w:hAnsi="Traditional Arabic" w:cs="Traditional Arabic"/>
          <w:rtl/>
        </w:rPr>
        <w:t>المحور الأول: تبني الذكاء الاصطناعي وجودة القرارات الإدارية</w:t>
      </w:r>
    </w:p>
    <w:p w14:paraId="7698A924"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ركزت مجموعة من الدراسات والبحوث التجريبية المعاصرة على فحص العلاقة التأثيرية المباشرة لتبني تقنيات الذكاء الاصطناعي على مخرجات وصنع وجودة القرارات الإدارية والاستراتيجية في الكيانات والمنظمات المعاصرة.</w:t>
      </w:r>
    </w:p>
    <w:p w14:paraId="599DCB41"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وفي السياق المحلي السعودي، استهدفت دراسة آل عزام وابن ظفرة (2023) قياس أثر تطبيق تقنيات الذكاء الاصطناعي على جودة اتخاذ القرارات الإدارية في إمارة منطقة عسير. واعتمدت الدراسة المنهج الوصفي التحليلي وطبقت الاستبانة على عينة من الكوادر القيادية؛ وتوصلت النتائج إلى وجود تأثير إيجابي مباشر وقوي لتطبيقات الذكاء الاصطناعي في تحسين سرعة اتخاذ القرارات الإدارية ودقتها </w:t>
      </w:r>
      <w:proofErr w:type="spellStart"/>
      <w:r w:rsidRPr="005F5C76">
        <w:rPr>
          <w:rFonts w:ascii="Traditional Arabic" w:hAnsi="Traditional Arabic" w:cs="Traditional Arabic"/>
          <w:sz w:val="24"/>
          <w:szCs w:val="24"/>
          <w:rtl/>
        </w:rPr>
        <w:t>وعقلانيتها</w:t>
      </w:r>
      <w:proofErr w:type="spellEnd"/>
      <w:r w:rsidRPr="005F5C76">
        <w:rPr>
          <w:rFonts w:ascii="Traditional Arabic" w:hAnsi="Traditional Arabic" w:cs="Traditional Arabic"/>
          <w:sz w:val="24"/>
          <w:szCs w:val="24"/>
          <w:rtl/>
        </w:rPr>
        <w:t>، وخلصت بالتأكيد على أن دمج هذه الأدوات يقلل التحيزات البشرية ويختصر زمن معالجة المعاملات الخدمية في الإدارة الإقليمية والمحلية بشكل ملموس.</w:t>
      </w:r>
    </w:p>
    <w:p w14:paraId="158B5C26"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وفي قطاع الأعمال والاتصالات السعودي، بحثت دراسة المشاري والشريف (2024) تطبيقات الذكاء الاصطناعي في اتخاذ القرار الإداري بالتطبيق الميداني على شركة الاتصالات السعودية (</w:t>
      </w:r>
      <w:r w:rsidRPr="005F5C76">
        <w:rPr>
          <w:rFonts w:ascii="Traditional Arabic" w:hAnsi="Traditional Arabic" w:cs="Traditional Arabic"/>
          <w:sz w:val="24"/>
          <w:szCs w:val="24"/>
        </w:rPr>
        <w:t>STC</w:t>
      </w:r>
      <w:r w:rsidRPr="005F5C76">
        <w:rPr>
          <w:rFonts w:ascii="Traditional Arabic" w:hAnsi="Traditional Arabic" w:cs="Traditional Arabic"/>
          <w:sz w:val="24"/>
          <w:szCs w:val="24"/>
          <w:rtl/>
        </w:rPr>
        <w:t>). وكشفت مخرجات التحليل الإحصائي عن وجود ارتباط ذي دلالة إحصائية عالية بين كفاءة تبني الأنظمة الذكية وجودة القرار الإداري والاستراتيجي للشركة، وبشكل خاص في قدرة الخوارزميات على التنبؤ باتجاهات السوق وتحليل كميات البيانات الكبرى لدعم عقلانية الخيارات المتاحة للمديرين ورسم مسارات الاستجابة السريعة للمستجدات التنافسية.</w:t>
      </w:r>
    </w:p>
    <w:p w14:paraId="1E5AE7FC"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أما دراسة الرقيبة (2024)، فقد انصبت على استكشاف دور أدوات الذكاء الاصطناعي في تحسين كفاءة العمليات الإدارية وصنع القرار. وبينت نتائج الدراسة أن دمج الخوارزميات الذكية يسهم بفاعلية في رفع جودة الأداء المؤسسي وتقليل الهدر التنظيمي وتقليص التكاليف الزمنية والتشغيلية بنسب واضحة، إلا أن هذا الأثر الإيجابي يرتبط ارتباطاً وثيقاً بمدى جودة البيانات المدخلة وتكامل النظم التقنية والبنية الرقمية القائمة في المنظمة.</w:t>
      </w:r>
    </w:p>
    <w:p w14:paraId="208281A5"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وفي سياق نمذجة ميكانيكية التحول، استهدفت دراسة </w:t>
      </w:r>
      <w:r w:rsidRPr="005F5C76">
        <w:rPr>
          <w:rFonts w:ascii="Traditional Arabic" w:hAnsi="Traditional Arabic" w:cs="Traditional Arabic"/>
          <w:sz w:val="24"/>
          <w:szCs w:val="24"/>
        </w:rPr>
        <w:t>Zayed et al. (2024)</w:t>
      </w:r>
      <w:r w:rsidRPr="005F5C76">
        <w:rPr>
          <w:rFonts w:ascii="Traditional Arabic" w:hAnsi="Traditional Arabic" w:cs="Traditional Arabic"/>
          <w:sz w:val="24"/>
          <w:szCs w:val="24"/>
          <w:rtl/>
        </w:rPr>
        <w:t xml:space="preserve"> تقييم أثر إدماج تقنيات الذكاء الاصطناعي ضمن نظم المعلومات المحاسبية والإدارية (</w:t>
      </w:r>
      <w:r w:rsidRPr="005F5C76">
        <w:rPr>
          <w:rFonts w:ascii="Traditional Arabic" w:hAnsi="Traditional Arabic" w:cs="Traditional Arabic"/>
          <w:sz w:val="24"/>
          <w:szCs w:val="24"/>
        </w:rPr>
        <w:t>AIS</w:t>
      </w:r>
      <w:r w:rsidRPr="005F5C76">
        <w:rPr>
          <w:rFonts w:ascii="Traditional Arabic" w:hAnsi="Traditional Arabic" w:cs="Traditional Arabic"/>
          <w:sz w:val="24"/>
          <w:szCs w:val="24"/>
          <w:rtl/>
        </w:rPr>
        <w:t>) في منظمات الأعمال السعودية. واعتمدت الدراسة نمذجة المعادلات البنائية بالاعتماد على عينة قوامها 340 من المهنيين؛ وتوصلت النتائج إلى أن دمج الذكاء الاصطناعي يحسن كفاءة الأداء المالي والتشغيلي ويعزز القدرة على صنع قرارات دقيقة وخالية من الأخطاء. وأثبتت نتائج نمذجة المعادلات البنائية أن "القدرة على اتخاذ القرار" تلعب دوراً وسيطاً هاماً يفسر آليات توليد القيمة المترتبة على الاستثمار التقني الفعال للذكاء الاصطناعي.</w:t>
      </w:r>
    </w:p>
    <w:p w14:paraId="49B45B47"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وتدعيماً للمصداقية العلمية في القطاع العام الحكومي، بحثت دراسة </w:t>
      </w:r>
      <w:proofErr w:type="spellStart"/>
      <w:r w:rsidRPr="005F5C76">
        <w:rPr>
          <w:rFonts w:ascii="Traditional Arabic" w:hAnsi="Traditional Arabic" w:cs="Traditional Arabic"/>
          <w:sz w:val="24"/>
          <w:szCs w:val="24"/>
        </w:rPr>
        <w:t>Alharkan</w:t>
      </w:r>
      <w:proofErr w:type="spellEnd"/>
      <w:r w:rsidRPr="005F5C76">
        <w:rPr>
          <w:rFonts w:ascii="Traditional Arabic" w:hAnsi="Traditional Arabic" w:cs="Traditional Arabic"/>
          <w:sz w:val="24"/>
          <w:szCs w:val="24"/>
        </w:rPr>
        <w:t xml:space="preserve"> &amp; </w:t>
      </w:r>
      <w:proofErr w:type="spellStart"/>
      <w:r w:rsidRPr="005F5C76">
        <w:rPr>
          <w:rFonts w:ascii="Traditional Arabic" w:hAnsi="Traditional Arabic" w:cs="Traditional Arabic"/>
          <w:sz w:val="24"/>
          <w:szCs w:val="24"/>
        </w:rPr>
        <w:t>AlGhamdi</w:t>
      </w:r>
      <w:proofErr w:type="spellEnd"/>
      <w:r w:rsidRPr="005F5C76">
        <w:rPr>
          <w:rFonts w:ascii="Traditional Arabic" w:hAnsi="Traditional Arabic" w:cs="Traditional Arabic"/>
          <w:sz w:val="24"/>
          <w:szCs w:val="24"/>
        </w:rPr>
        <w:t xml:space="preserve"> (2024)</w:t>
      </w:r>
      <w:r w:rsidRPr="005F5C76">
        <w:rPr>
          <w:rFonts w:ascii="Traditional Arabic" w:hAnsi="Traditional Arabic" w:cs="Traditional Arabic"/>
          <w:sz w:val="24"/>
          <w:szCs w:val="24"/>
          <w:rtl/>
        </w:rPr>
        <w:t xml:space="preserve"> كيفية تأثير تبني الذكاء الاصطناعي على جودة القرارات الاستراتيجية في المنظمات الحكومية السعودية. وأكدت النتائج أن جودة القرارات الاستراتيجية ترتبط مباشرة بمدى نضج وحوكمة قواعد البيانات داخل بيئة العمل؛ حيث يمثل توفر قواعد بيانات موحدة وجودة معالجة البيانات الضخمة الركيزة الأساسية لتمكين الخوارزميات من توفير رؤى تنبؤية موثوقة وعقلانية لصناع القرار والحد من القرارات الحدسية المرتجلة.</w:t>
      </w:r>
    </w:p>
    <w:p w14:paraId="4D8D37C1" w14:textId="77777777" w:rsidR="009422C8" w:rsidRPr="005F5C76" w:rsidRDefault="009422C8" w:rsidP="00A109ED">
      <w:pPr>
        <w:pStyle w:val="3"/>
        <w:bidi/>
        <w:spacing w:before="0" w:after="0" w:line="360" w:lineRule="auto"/>
        <w:jc w:val="both"/>
        <w:rPr>
          <w:rFonts w:ascii="Traditional Arabic" w:hAnsi="Traditional Arabic" w:cs="Traditional Arabic"/>
          <w:b w:val="0"/>
          <w:bCs w:val="0"/>
          <w:rtl/>
        </w:rPr>
      </w:pPr>
    </w:p>
    <w:p w14:paraId="271E7F72" w14:textId="4B105B59" w:rsidR="008615C2" w:rsidRPr="00A109ED" w:rsidRDefault="00000000" w:rsidP="00A109ED">
      <w:pPr>
        <w:pStyle w:val="3"/>
        <w:bidi/>
        <w:spacing w:before="0" w:after="0" w:line="360" w:lineRule="auto"/>
        <w:jc w:val="both"/>
        <w:rPr>
          <w:rFonts w:ascii="Traditional Arabic" w:hAnsi="Traditional Arabic" w:cs="Traditional Arabic"/>
        </w:rPr>
      </w:pPr>
      <w:r w:rsidRPr="00A109ED">
        <w:rPr>
          <w:rFonts w:ascii="Traditional Arabic" w:hAnsi="Traditional Arabic" w:cs="Traditional Arabic"/>
          <w:rtl/>
        </w:rPr>
        <w:t>المحور الثاني: النضج الرقمي والتحول التنظيمي</w:t>
      </w:r>
    </w:p>
    <w:p w14:paraId="580C0B49"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يتناول هذا المحور استعراض وتحليل الدراسات التي ركزت على فحص معالم النضج الرقمي، وكيفية مساهمته كقدرة تنظيمية وهيكلية شاملة في قيادة التحول الإداري وتحسين الكفاءة في المنظمات الخدمية والأهلية.</w:t>
      </w:r>
    </w:p>
    <w:p w14:paraId="6119C550"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وفي سياق منظمات القطاع الثالث السعودي، بحثت دراسة حكمي وآخرون (2022) دور الأتمتة وتطبيقات التحول الرقمي في تسريع العمليات التشغيلية بالجمعيات الأهلية في المملكة العربية السعودية. واعتمد الباحثون على منهجية كمية وطبقوا الاستبانة على عينة من قيادات العمل الخيري؛ وتوصلت النتائج إلى أن تطبيق النظم المؤتمتة وحلول تخطيط الموارد السحابية (</w:t>
      </w:r>
      <w:r w:rsidRPr="005F5C76">
        <w:rPr>
          <w:rFonts w:ascii="Traditional Arabic" w:hAnsi="Traditional Arabic" w:cs="Traditional Arabic"/>
          <w:sz w:val="24"/>
          <w:szCs w:val="24"/>
        </w:rPr>
        <w:t>ERP</w:t>
      </w:r>
      <w:r w:rsidRPr="005F5C76">
        <w:rPr>
          <w:rFonts w:ascii="Traditional Arabic" w:hAnsi="Traditional Arabic" w:cs="Traditional Arabic"/>
          <w:sz w:val="24"/>
          <w:szCs w:val="24"/>
          <w:rtl/>
        </w:rPr>
        <w:t>) يسهم في تسريع إنهاء معاملات المستفيدين، وحوكمة الموارد المالية، وتقليص التكاليف التشغيلية والإدارية بشكل لافت، شريطة توفير برامج التدريب المتخصصة للكوادر ومكافحة مقاومة التغيير التنظيمي لبناء ثقافة رقمية منفتحة ومرنة.</w:t>
      </w:r>
    </w:p>
    <w:p w14:paraId="34B36714"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وعلى الصعيد الدولي في قياس الكفاءة التنظيمية للمنظمات الخدمية، استهدفت دراسة </w:t>
      </w:r>
      <w:r w:rsidRPr="005F5C76">
        <w:rPr>
          <w:rFonts w:ascii="Traditional Arabic" w:hAnsi="Traditional Arabic" w:cs="Traditional Arabic"/>
          <w:sz w:val="24"/>
          <w:szCs w:val="24"/>
        </w:rPr>
        <w:t>Tubis (2023)</w:t>
      </w:r>
      <w:r w:rsidRPr="005F5C76">
        <w:rPr>
          <w:rFonts w:ascii="Traditional Arabic" w:hAnsi="Traditional Arabic" w:cs="Traditional Arabic"/>
          <w:sz w:val="24"/>
          <w:szCs w:val="24"/>
          <w:rtl/>
        </w:rPr>
        <w:t xml:space="preserve"> بناء نموذج منهجي متكامل لتقييم النضج الرقمي للمؤسسات عبر بعدين رئيسيين: البعد التنظيمي البشري، والبعد العملياتي الإجرائي. وكشفت نتائج الدراسة الميدانية أن المستويات العليا للنضج الرقمي لا ترتبط بمدى حداثة التقنية المتاحة بقدر ارتباطها بجاهزية المكون البشري، وتبني ثقافة تنظيمية تدعم الابتكار والتعلم المستمر، ووجود حوكمة مرنة قادرة على دمج الحلول التقنية في العمل اليومي وسير الإجراءات.</w:t>
      </w:r>
    </w:p>
    <w:p w14:paraId="61863C03"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أما دراسة </w:t>
      </w:r>
      <w:r w:rsidRPr="005F5C76">
        <w:rPr>
          <w:rFonts w:ascii="Traditional Arabic" w:hAnsi="Traditional Arabic" w:cs="Traditional Arabic"/>
          <w:sz w:val="24"/>
          <w:szCs w:val="24"/>
        </w:rPr>
        <w:t xml:space="preserve">Aslanova &amp; </w:t>
      </w:r>
      <w:proofErr w:type="spellStart"/>
      <w:r w:rsidRPr="005F5C76">
        <w:rPr>
          <w:rFonts w:ascii="Traditional Arabic" w:hAnsi="Traditional Arabic" w:cs="Traditional Arabic"/>
          <w:sz w:val="24"/>
          <w:szCs w:val="24"/>
        </w:rPr>
        <w:t>Kulichkina</w:t>
      </w:r>
      <w:proofErr w:type="spellEnd"/>
      <w:r w:rsidRPr="005F5C76">
        <w:rPr>
          <w:rFonts w:ascii="Traditional Arabic" w:hAnsi="Traditional Arabic" w:cs="Traditional Arabic"/>
          <w:sz w:val="24"/>
          <w:szCs w:val="24"/>
        </w:rPr>
        <w:t xml:space="preserve"> (2020)</w:t>
      </w:r>
      <w:r w:rsidRPr="005F5C76">
        <w:rPr>
          <w:rFonts w:ascii="Traditional Arabic" w:hAnsi="Traditional Arabic" w:cs="Traditional Arabic"/>
          <w:sz w:val="24"/>
          <w:szCs w:val="24"/>
          <w:rtl/>
        </w:rPr>
        <w:t xml:space="preserve">، فقد سعت لتطوير وتأصيل مفهوم النضج الرقمي ونمذجته إدارياً. وخلصت النتائج إلى أن نضج المنظمات رقمياً يمثل رحلة تكيف تنظيمي مستمرة تتطلب إعادة هندسة العمليات التقليدية بالكامل وتطوير كفاءات الموارد البشرية لضمان الاستخدام المسؤول والذاتي للأدوات الرقمية. واتفقت معها دراسة </w:t>
      </w:r>
      <w:proofErr w:type="spellStart"/>
      <w:r w:rsidRPr="005F5C76">
        <w:rPr>
          <w:rFonts w:ascii="Traditional Arabic" w:hAnsi="Traditional Arabic" w:cs="Traditional Arabic"/>
          <w:sz w:val="24"/>
          <w:szCs w:val="24"/>
        </w:rPr>
        <w:t>Kozanoglu</w:t>
      </w:r>
      <w:proofErr w:type="spellEnd"/>
      <w:r w:rsidRPr="005F5C76">
        <w:rPr>
          <w:rFonts w:ascii="Traditional Arabic" w:hAnsi="Traditional Arabic" w:cs="Traditional Arabic"/>
          <w:sz w:val="24"/>
          <w:szCs w:val="24"/>
        </w:rPr>
        <w:t xml:space="preserve"> &amp; Abedin (2023)</w:t>
      </w:r>
      <w:r w:rsidRPr="005F5C76">
        <w:rPr>
          <w:rFonts w:ascii="Traditional Arabic" w:hAnsi="Traditional Arabic" w:cs="Traditional Arabic"/>
          <w:sz w:val="24"/>
          <w:szCs w:val="24"/>
          <w:rtl/>
        </w:rPr>
        <w:t xml:space="preserve"> التي أكدت أن النضج الرقمي ليس حالة ساكنة للموارد التقنية، بل هو حالة تفاعلية مرنة تتشكل من خلال المواءمة المستمرة والذكية بين البنى التحتية للتكنولوجيا، والمهارات والقدرات المعرفية للكوادر البشرية، والاستراتيجية الإدارية الشاملة للمؤسسة.</w:t>
      </w:r>
    </w:p>
    <w:p w14:paraId="75B91F72"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وفي سياق العلاقة مع الأثر والمخرجات الاجتماعية، استكشفت دراسة </w:t>
      </w:r>
      <w:r w:rsidRPr="005F5C76">
        <w:rPr>
          <w:rFonts w:ascii="Traditional Arabic" w:hAnsi="Traditional Arabic" w:cs="Traditional Arabic"/>
          <w:sz w:val="24"/>
          <w:szCs w:val="24"/>
        </w:rPr>
        <w:t>(The digital paradox in social innovation, 2024)</w:t>
      </w:r>
      <w:r w:rsidRPr="005F5C76">
        <w:rPr>
          <w:rFonts w:ascii="Traditional Arabic" w:hAnsi="Traditional Arabic" w:cs="Traditional Arabic"/>
          <w:sz w:val="24"/>
          <w:szCs w:val="24"/>
          <w:rtl/>
        </w:rPr>
        <w:t xml:space="preserve"> العلاقة التفاعلية والتأثيرية للنضج الرقمي على توليد الابتكارات ذات الأثر والمنفعة الاجتماعية بالتطبيق على عينة واسعة من المؤسسات والمنظمات الخدمية. وأثبتت نتائج التحليلات الإحصائية المتقدمة أن النضج الرقمي يتمتع بأثر مباشر إيجابي ودال معنوياً في تمكين منظمات الخدمة من ابتكار حلول مرنة ونوعية لمعالجة المشكلات الاجتماعية العميقة وتحقيق الرفاه للمستفيدين، مما يرسخ النضج الرقمي كقدرة تنظيمية استراتيجية لتحقيق القيمة والأثر الاجتماعي المستدام.</w:t>
      </w:r>
    </w:p>
    <w:p w14:paraId="59F7AF3E" w14:textId="77777777" w:rsidR="009422C8" w:rsidRPr="005F5C76" w:rsidRDefault="009422C8" w:rsidP="00A109ED">
      <w:pPr>
        <w:pStyle w:val="3"/>
        <w:bidi/>
        <w:spacing w:before="0" w:after="0" w:line="360" w:lineRule="auto"/>
        <w:jc w:val="both"/>
        <w:rPr>
          <w:rFonts w:ascii="Traditional Arabic" w:hAnsi="Traditional Arabic" w:cs="Traditional Arabic"/>
          <w:b w:val="0"/>
          <w:bCs w:val="0"/>
          <w:rtl/>
        </w:rPr>
      </w:pPr>
    </w:p>
    <w:p w14:paraId="59F848E1" w14:textId="3DA0B976" w:rsidR="008615C2" w:rsidRPr="00A109ED" w:rsidRDefault="00000000" w:rsidP="00A109ED">
      <w:pPr>
        <w:pStyle w:val="3"/>
        <w:bidi/>
        <w:spacing w:before="0" w:after="0" w:line="360" w:lineRule="auto"/>
        <w:jc w:val="both"/>
        <w:rPr>
          <w:rFonts w:ascii="Traditional Arabic" w:hAnsi="Traditional Arabic" w:cs="Traditional Arabic"/>
        </w:rPr>
      </w:pPr>
      <w:r w:rsidRPr="00A109ED">
        <w:rPr>
          <w:rFonts w:ascii="Traditional Arabic" w:hAnsi="Traditional Arabic" w:cs="Traditional Arabic"/>
          <w:rtl/>
        </w:rPr>
        <w:t>المحور الثالث: الدور الوسيط للنضج الرقمي في علاقة التبني التقني بالأداء وصنع القرار</w:t>
      </w:r>
    </w:p>
    <w:p w14:paraId="2510D24E" w14:textId="77777777" w:rsidR="008615C2" w:rsidRPr="00A109ED"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A109ED">
        <w:rPr>
          <w:rFonts w:ascii="Traditional Arabic" w:hAnsi="Traditional Arabic" w:cs="Traditional Arabic"/>
          <w:sz w:val="24"/>
          <w:szCs w:val="24"/>
          <w:rtl/>
        </w:rPr>
        <w:lastRenderedPageBreak/>
        <w:t>يتناول هذا المحور استعراض الدراسات النادرة التي بحثت العلاقات الهيكلية المركبة واختبرت الدور الوسيط أو التفاعلي للنضج الرقمي والقدرات الملازمة له في تفسير أثر التبني التكنولوجي والذكاء الاصطناعي على جودة القرارات والأداء المؤسسي.</w:t>
      </w:r>
    </w:p>
    <w:p w14:paraId="1160C9C3" w14:textId="77777777" w:rsidR="008615C2" w:rsidRPr="00A109ED"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A109ED">
        <w:rPr>
          <w:rFonts w:ascii="Traditional Arabic" w:hAnsi="Traditional Arabic" w:cs="Traditional Arabic"/>
          <w:sz w:val="24"/>
          <w:szCs w:val="24"/>
          <w:rtl/>
        </w:rPr>
        <w:t xml:space="preserve">وفي سياق قطاع الأعمال الدولي، بحثت دراسة </w:t>
      </w:r>
      <w:proofErr w:type="spellStart"/>
      <w:r w:rsidRPr="00A109ED">
        <w:rPr>
          <w:rFonts w:ascii="Traditional Arabic" w:hAnsi="Traditional Arabic" w:cs="Traditional Arabic"/>
          <w:sz w:val="24"/>
          <w:szCs w:val="24"/>
        </w:rPr>
        <w:t>Nijhum</w:t>
      </w:r>
      <w:proofErr w:type="spellEnd"/>
      <w:r w:rsidRPr="00A109ED">
        <w:rPr>
          <w:rFonts w:ascii="Traditional Arabic" w:hAnsi="Traditional Arabic" w:cs="Traditional Arabic"/>
          <w:sz w:val="24"/>
          <w:szCs w:val="24"/>
        </w:rPr>
        <w:t xml:space="preserve"> (2025)</w:t>
      </w:r>
      <w:r w:rsidRPr="00A109ED">
        <w:rPr>
          <w:rFonts w:ascii="Traditional Arabic" w:hAnsi="Traditional Arabic" w:cs="Traditional Arabic"/>
          <w:sz w:val="24"/>
          <w:szCs w:val="24"/>
          <w:rtl/>
        </w:rPr>
        <w:t xml:space="preserve"> أثر نماذج التحول الرقمي الموجهة بالذكاء الاصطناعي في تحسين كفاءة الاتصالات التنظيمية وجودة القرارات الإدارية. وطبقت الدراسة أسلوب النمذجة الهيكلية؛ وتوصلت النتائج إلى أن دمج تقنيات الذكاء الاصطناعي يرفع جودة القرارات الإدارية والتشغيلية بشكل ملحوظ، إلا أن الأثر الأقوى والأكثر استقراراً في النموذج الهيكلي يتشكل من خلال الدور الوسيط والتفاعلي للنضج الرقمي؛ حيث يمثل النضج الرقمي المحرك الأساسي الذي يعزز ويعدل مسار هذه العلاقة بقوة، ويضمن كفاءة توظيف وتحليل البيانات الضخمة لمنع القرارات المشتتة.</w:t>
      </w:r>
    </w:p>
    <w:p w14:paraId="492905FF" w14:textId="77777777" w:rsidR="008615C2" w:rsidRPr="00A109ED"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A109ED">
        <w:rPr>
          <w:rFonts w:ascii="Traditional Arabic" w:hAnsi="Traditional Arabic" w:cs="Traditional Arabic"/>
          <w:sz w:val="24"/>
          <w:szCs w:val="24"/>
          <w:rtl/>
        </w:rPr>
        <w:t xml:space="preserve">وفي سياق أحدث الدراسات الصادرة بالقطاع الخدمي والعام، استهدفت دراسة </w:t>
      </w:r>
      <w:r w:rsidRPr="00A109ED">
        <w:rPr>
          <w:rFonts w:ascii="Traditional Arabic" w:hAnsi="Traditional Arabic" w:cs="Traditional Arabic"/>
          <w:sz w:val="24"/>
          <w:szCs w:val="24"/>
        </w:rPr>
        <w:t>Thordsen &amp; Bick (2025)</w:t>
      </w:r>
      <w:r w:rsidRPr="00A109ED">
        <w:rPr>
          <w:rFonts w:ascii="Traditional Arabic" w:hAnsi="Traditional Arabic" w:cs="Traditional Arabic"/>
          <w:sz w:val="24"/>
          <w:szCs w:val="24"/>
          <w:rtl/>
        </w:rPr>
        <w:t xml:space="preserve"> الصادرة في المجلة الدولية لإدارة القطاع العام (</w:t>
      </w:r>
      <w:r w:rsidRPr="00A109ED">
        <w:rPr>
          <w:rFonts w:ascii="Traditional Arabic" w:hAnsi="Traditional Arabic" w:cs="Traditional Arabic"/>
          <w:sz w:val="24"/>
          <w:szCs w:val="24"/>
        </w:rPr>
        <w:t>IJPSM)</w:t>
      </w:r>
      <w:r w:rsidRPr="00A109ED">
        <w:rPr>
          <w:rFonts w:ascii="Traditional Arabic" w:hAnsi="Traditional Arabic" w:cs="Traditional Arabic"/>
          <w:sz w:val="24"/>
          <w:szCs w:val="24"/>
          <w:rtl/>
        </w:rPr>
        <w:t xml:space="preserve"> قياس طبيعة التفاعل والعلاقات البنائية بين النضج الرقمي، والقدرات الديناميكية، والأداء في المنظمات العامة. واعتمدت الدراسة على أسلوب نمذجة المعادلات البنائية بالمسارات الصغرى الجزئية (</w:t>
      </w:r>
      <w:r w:rsidRPr="00A109ED">
        <w:rPr>
          <w:rFonts w:ascii="Traditional Arabic" w:hAnsi="Traditional Arabic" w:cs="Traditional Arabic"/>
          <w:sz w:val="24"/>
          <w:szCs w:val="24"/>
        </w:rPr>
        <w:t>PLS-SEM</w:t>
      </w:r>
      <w:r w:rsidRPr="00A109ED">
        <w:rPr>
          <w:rFonts w:ascii="Traditional Arabic" w:hAnsi="Traditional Arabic" w:cs="Traditional Arabic"/>
          <w:sz w:val="24"/>
          <w:szCs w:val="24"/>
          <w:rtl/>
        </w:rPr>
        <w:t>)؛ وأظهرت نتائج التحليل وجود ارتباط هيكلي وثيق وتأثير مباشر بالغ القوة بين مستويات النضج الرقمي وبناء القدرات الديناميكية للمنظمات (الاستشعار، الاغتنام، إعادة التشكيل)، وأكدت النتائج أن سعي المنظمات الخدمية لتحقيق أداء عالي الالتزام والجودة في بيئاتها يتطلب تفعيل هذه المقومات كحلقة وصل وسيطة ومستمرة للتكيف مع التحولات الرقمية المتسارعة وتجاوز البيروقراطية التقليدية.</w:t>
      </w:r>
    </w:p>
    <w:p w14:paraId="45D7DE67" w14:textId="77777777" w:rsidR="008615C2" w:rsidRPr="00A109ED"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A109ED">
        <w:rPr>
          <w:rFonts w:ascii="Traditional Arabic" w:hAnsi="Traditional Arabic" w:cs="Traditional Arabic"/>
          <w:sz w:val="24"/>
          <w:szCs w:val="24"/>
          <w:rtl/>
        </w:rPr>
        <w:t xml:space="preserve">ودعماً للقرارات الاستراتيجية في البيئات الخدمية العامة، استكشفت دراسة </w:t>
      </w:r>
      <w:r w:rsidRPr="00A109ED">
        <w:rPr>
          <w:rFonts w:ascii="Traditional Arabic" w:hAnsi="Traditional Arabic" w:cs="Traditional Arabic"/>
          <w:sz w:val="24"/>
          <w:szCs w:val="24"/>
        </w:rPr>
        <w:t>(Digital maturity and knowledge assets, 2025)</w:t>
      </w:r>
      <w:r w:rsidRPr="00A109ED">
        <w:rPr>
          <w:rFonts w:ascii="Traditional Arabic" w:hAnsi="Traditional Arabic" w:cs="Traditional Arabic"/>
          <w:sz w:val="24"/>
          <w:szCs w:val="24"/>
          <w:rtl/>
        </w:rPr>
        <w:t xml:space="preserve"> دور النضج الرقمي والأصول المعرفية كمنطلقات وموجهات أساسية لتطوير الأداء المؤسسي وصنع القرار بالقطاع العام والخدمي. وأكدت نتائج التحليل الهيكلي وجود أثر وساطة قوي وذو دلالة إحصائية؛ حيث تبين أن التحول الرقمي والتأسيس التكنولوجي يثمر عن مخرجات أداء عالية الجودة وقرارات متميزة بالدقة والكفاءة فقط عندما يمر عبر الممر الوسيط للنضج الرقمي المتمثل في حوكمة تدفقات البيانات، ومشاركة المعرفة والوصول السهل للمعلومات من قبل صناع القرار.</w:t>
      </w:r>
    </w:p>
    <w:p w14:paraId="057BFC4C" w14:textId="1069EEC2" w:rsidR="008615C2" w:rsidRPr="00A109ED"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A109ED">
        <w:rPr>
          <w:rFonts w:ascii="Traditional Arabic" w:hAnsi="Traditional Arabic" w:cs="Traditional Arabic"/>
          <w:sz w:val="24"/>
          <w:szCs w:val="24"/>
          <w:rtl/>
        </w:rPr>
        <w:t xml:space="preserve">وتعزيزاً للمصداقية الميدانية والتطبيقية في بيئة المملكة العربية السعودية المعاصرة لعام 2025، يوثق تقرير مؤشر نضج الذكاء الاصطناعي الصادر عن </w:t>
      </w:r>
      <w:r w:rsidR="00C65827" w:rsidRPr="00A109ED">
        <w:rPr>
          <w:rFonts w:ascii="Traditional Arabic" w:hAnsi="Traditional Arabic" w:cs="Traditional Arabic"/>
          <w:sz w:val="24"/>
          <w:szCs w:val="24"/>
        </w:rPr>
        <w:t>PWC</w:t>
      </w:r>
      <w:r w:rsidRPr="00A109ED">
        <w:rPr>
          <w:rFonts w:ascii="Traditional Arabic" w:hAnsi="Traditional Arabic" w:cs="Traditional Arabic"/>
          <w:sz w:val="24"/>
          <w:szCs w:val="24"/>
        </w:rPr>
        <w:t xml:space="preserve"> (2025)</w:t>
      </w:r>
      <w:r w:rsidRPr="00A109ED">
        <w:rPr>
          <w:rFonts w:ascii="Traditional Arabic" w:hAnsi="Traditional Arabic" w:cs="Traditional Arabic"/>
          <w:sz w:val="24"/>
          <w:szCs w:val="24"/>
          <w:rtl/>
        </w:rPr>
        <w:t xml:space="preserve"> بالتطبيق على الكيانات والمؤسسات السعودية أن تسارع الاستثمارات التقنية في خوارزميات الذكاء الاصطناعي بالمملكة يحقق عوائد استثنائية ونوعية تفوق المتوسطات العالمية في الكفاءة التشغيلية والمرونة وصنع القيمة. وأشار التقرير الميداني إلى أن هذه النتائج المتميزة ترتبط بامتلاك تلك المؤسسات لـ "قواعد نضج رقمي متينة وحوكمة مسؤولة للبيانات"؛ حيث تبين إحصائياً أن المنظمات التي صممت مسارات عمل واضحة </w:t>
      </w:r>
      <w:proofErr w:type="spellStart"/>
      <w:r w:rsidRPr="00A109ED">
        <w:rPr>
          <w:rFonts w:ascii="Traditional Arabic" w:hAnsi="Traditional Arabic" w:cs="Traditional Arabic"/>
          <w:sz w:val="24"/>
          <w:szCs w:val="24"/>
          <w:rtl/>
        </w:rPr>
        <w:t>وأتمتت</w:t>
      </w:r>
      <w:proofErr w:type="spellEnd"/>
      <w:r w:rsidRPr="00A109ED">
        <w:rPr>
          <w:rFonts w:ascii="Traditional Arabic" w:hAnsi="Traditional Arabic" w:cs="Traditional Arabic"/>
          <w:sz w:val="24"/>
          <w:szCs w:val="24"/>
          <w:rtl/>
        </w:rPr>
        <w:t xml:space="preserve"> عملياتها بمرونة (أي التي حققت مستويات عالية من النضج الرقمي) كانت الأقدر على ترجمة وتبسيط أدوات الذكاء الاصطناعي لإنتاج قرارات إدارية وتشغيلية بالغة الدقة ومطابقة للأهداف الاستراتيجية لرؤية المملكة 2030.</w:t>
      </w:r>
    </w:p>
    <w:p w14:paraId="2480E47A" w14:textId="77777777" w:rsidR="00A109ED" w:rsidRDefault="00A109ED" w:rsidP="00A109ED">
      <w:pPr>
        <w:pStyle w:val="2"/>
        <w:bidi/>
        <w:spacing w:before="0" w:after="0" w:line="360" w:lineRule="auto"/>
        <w:jc w:val="both"/>
        <w:rPr>
          <w:rFonts w:ascii="Traditional Arabic" w:hAnsi="Traditional Arabic" w:cs="Traditional Arabic"/>
          <w:sz w:val="32"/>
          <w:szCs w:val="32"/>
          <w:rtl/>
        </w:rPr>
      </w:pPr>
    </w:p>
    <w:p w14:paraId="008AB226" w14:textId="63007B23" w:rsidR="008615C2" w:rsidRPr="00A109ED" w:rsidRDefault="00000000" w:rsidP="00A109ED">
      <w:pPr>
        <w:pStyle w:val="2"/>
        <w:bidi/>
        <w:spacing w:before="0" w:after="0" w:line="360" w:lineRule="auto"/>
        <w:jc w:val="both"/>
        <w:rPr>
          <w:rFonts w:ascii="Traditional Arabic" w:hAnsi="Traditional Arabic" w:cs="Traditional Arabic"/>
          <w:sz w:val="32"/>
          <w:szCs w:val="32"/>
        </w:rPr>
      </w:pPr>
      <w:r w:rsidRPr="00A109ED">
        <w:rPr>
          <w:rFonts w:ascii="Traditional Arabic" w:hAnsi="Traditional Arabic" w:cs="Traditional Arabic"/>
          <w:sz w:val="32"/>
          <w:szCs w:val="32"/>
          <w:rtl/>
        </w:rPr>
        <w:lastRenderedPageBreak/>
        <w:t>التعليق على الدراسات السابقة وتحديد الفجوة البحثية</w:t>
      </w:r>
    </w:p>
    <w:p w14:paraId="63E11AAB" w14:textId="1D2498DD" w:rsidR="008615C2" w:rsidRPr="00A109ED" w:rsidRDefault="00000000" w:rsidP="00A109ED">
      <w:pPr>
        <w:pStyle w:val="3"/>
        <w:bidi/>
        <w:spacing w:before="0" w:after="0" w:line="360" w:lineRule="auto"/>
        <w:jc w:val="both"/>
        <w:rPr>
          <w:rFonts w:ascii="Traditional Arabic" w:hAnsi="Traditional Arabic" w:cs="Traditional Arabic"/>
        </w:rPr>
      </w:pPr>
      <w:r w:rsidRPr="00A109ED">
        <w:rPr>
          <w:rFonts w:ascii="Traditional Arabic" w:hAnsi="Traditional Arabic" w:cs="Traditional Arabic"/>
          <w:rtl/>
        </w:rPr>
        <w:t>معالم الاتفاق والاختلاف مع الأدبيات السابقة:</w:t>
      </w:r>
    </w:p>
    <w:p w14:paraId="4DC8FB2C" w14:textId="5B86906B" w:rsidR="008615C2" w:rsidRPr="005F5C76" w:rsidRDefault="00000000" w:rsidP="00A109ED">
      <w:pPr>
        <w:numPr>
          <w:ilvl w:val="0"/>
          <w:numId w:val="16"/>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 xml:space="preserve">أوجه الاتفاق: تتفق غالبية الدراسات والبحوث المرجعية المستعرضة (آل عزام وابن ظفرة، 2023؛ المشاري والشريف، 2024؛ </w:t>
      </w:r>
      <w:proofErr w:type="spellStart"/>
      <w:r w:rsidRPr="005F5C76">
        <w:rPr>
          <w:rFonts w:ascii="Traditional Arabic" w:hAnsi="Traditional Arabic" w:cs="Traditional Arabic"/>
          <w:sz w:val="24"/>
          <w:szCs w:val="24"/>
        </w:rPr>
        <w:t>Nijhum</w:t>
      </w:r>
      <w:proofErr w:type="spellEnd"/>
      <w:r w:rsidRPr="005F5C76">
        <w:rPr>
          <w:rFonts w:ascii="Traditional Arabic" w:hAnsi="Traditional Arabic" w:cs="Traditional Arabic"/>
          <w:sz w:val="24"/>
          <w:szCs w:val="24"/>
          <w:rtl/>
        </w:rPr>
        <w:t>, 2025) على الأهمية البالغة والمحورية لتبني حلول الذكاء الاصطناعي والتحول الرقمي في تطوير الهياكل الإدارية ورفع جودة القرارات والحد من القرارات الفردية القائمة على التخمين. كما تُجمع الأدبيات (</w:t>
      </w:r>
      <w:r w:rsidRPr="005F5C76">
        <w:rPr>
          <w:rFonts w:ascii="Traditional Arabic" w:hAnsi="Traditional Arabic" w:cs="Traditional Arabic"/>
          <w:sz w:val="24"/>
          <w:szCs w:val="24"/>
        </w:rPr>
        <w:t xml:space="preserve">Aslanova &amp; </w:t>
      </w:r>
      <w:proofErr w:type="spellStart"/>
      <w:r w:rsidRPr="005F5C76">
        <w:rPr>
          <w:rFonts w:ascii="Traditional Arabic" w:hAnsi="Traditional Arabic" w:cs="Traditional Arabic"/>
          <w:sz w:val="24"/>
          <w:szCs w:val="24"/>
        </w:rPr>
        <w:t>Kulichkina</w:t>
      </w:r>
      <w:proofErr w:type="spellEnd"/>
      <w:r w:rsidRPr="005F5C76">
        <w:rPr>
          <w:rFonts w:ascii="Traditional Arabic" w:hAnsi="Traditional Arabic" w:cs="Traditional Arabic"/>
          <w:sz w:val="24"/>
          <w:szCs w:val="24"/>
        </w:rPr>
        <w:t>, 2020; Thordsen &amp; Bick</w:t>
      </w:r>
      <w:r w:rsidRPr="005F5C76">
        <w:rPr>
          <w:rFonts w:ascii="Traditional Arabic" w:hAnsi="Traditional Arabic" w:cs="Traditional Arabic"/>
          <w:sz w:val="24"/>
          <w:szCs w:val="24"/>
          <w:rtl/>
        </w:rPr>
        <w:t>, 2025) على أن نجاح التحول الرقمي لا يرتبط بحيازة الأداة التقنية ذاتها، بل بامتلاك المنظمة لبنية تنظيمية ناضجة وثقافة مرنة تدعم مرونة الكوادر البشرية وتكيفها المستمر.</w:t>
      </w:r>
    </w:p>
    <w:p w14:paraId="32589F40" w14:textId="133C89B4" w:rsidR="008615C2" w:rsidRPr="005F5C76" w:rsidRDefault="00000000" w:rsidP="00A109ED">
      <w:pPr>
        <w:numPr>
          <w:ilvl w:val="0"/>
          <w:numId w:val="16"/>
        </w:num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أوجه الاختلاف: تختلف الدراسة الحالية عن بعض الأدبيات السابقة في طبيعة "بيئة التطبيق والسياق"؛ حيث انصبت غالبية الدراسات المرجعية على قياس الأثر في قطاع الأعمال الربحي لتعظيم العائد المالي (</w:t>
      </w:r>
      <w:proofErr w:type="spellStart"/>
      <w:r w:rsidRPr="005F5C76">
        <w:rPr>
          <w:rFonts w:ascii="Traditional Arabic" w:hAnsi="Traditional Arabic" w:cs="Traditional Arabic"/>
          <w:sz w:val="24"/>
          <w:szCs w:val="24"/>
        </w:rPr>
        <w:t>Nijhum</w:t>
      </w:r>
      <w:proofErr w:type="spellEnd"/>
      <w:r w:rsidRPr="005F5C76">
        <w:rPr>
          <w:rFonts w:ascii="Traditional Arabic" w:hAnsi="Traditional Arabic" w:cs="Traditional Arabic"/>
          <w:sz w:val="24"/>
          <w:szCs w:val="24"/>
          <w:rtl/>
        </w:rPr>
        <w:t>, 2025) أو القطاع الصحي الطبي (مكرمي وآخرون، 2023)، في حين تركز هذه الدراسة حصرياً على بيئة القطاع غير الربحي (القطاع الثالث) السعودي بخصوصيته المالية والتنموية الفريدة. كما تختلف المنهجية المتبعة؛ إذ ركزت دراسات عديدة على التوصيف النظري والوصفي لظاهرة النضج الرقمي (</w:t>
      </w:r>
      <w:r w:rsidRPr="005F5C76">
        <w:rPr>
          <w:rFonts w:ascii="Traditional Arabic" w:hAnsi="Traditional Arabic" w:cs="Traditional Arabic"/>
          <w:sz w:val="24"/>
          <w:szCs w:val="24"/>
        </w:rPr>
        <w:t>Tubis</w:t>
      </w:r>
      <w:r w:rsidRPr="005F5C76">
        <w:rPr>
          <w:rFonts w:ascii="Traditional Arabic" w:hAnsi="Traditional Arabic" w:cs="Traditional Arabic"/>
          <w:sz w:val="24"/>
          <w:szCs w:val="24"/>
          <w:rtl/>
        </w:rPr>
        <w:t>, 2023)، بينما تنتهج الدراسة الحالية نموذجاً هيكلياً كمياً متقدماً (</w:t>
      </w:r>
      <w:r w:rsidRPr="005F5C76">
        <w:rPr>
          <w:rFonts w:ascii="Traditional Arabic" w:hAnsi="Traditional Arabic" w:cs="Traditional Arabic"/>
          <w:sz w:val="24"/>
          <w:szCs w:val="24"/>
        </w:rPr>
        <w:t>PLS-SEM</w:t>
      </w:r>
      <w:r w:rsidRPr="005F5C76">
        <w:rPr>
          <w:rFonts w:ascii="Traditional Arabic" w:hAnsi="Traditional Arabic" w:cs="Traditional Arabic"/>
          <w:sz w:val="24"/>
          <w:szCs w:val="24"/>
          <w:rtl/>
        </w:rPr>
        <w:t>) يختبر علاقات المسار والتأثير غير المباشر.</w:t>
      </w:r>
    </w:p>
    <w:p w14:paraId="0162BB2B" w14:textId="77777777" w:rsidR="00A109ED" w:rsidRDefault="00A109ED" w:rsidP="00A109ED">
      <w:pPr>
        <w:pStyle w:val="3"/>
        <w:bidi/>
        <w:spacing w:before="0" w:after="0" w:line="360" w:lineRule="auto"/>
        <w:jc w:val="both"/>
        <w:rPr>
          <w:rFonts w:ascii="Traditional Arabic" w:hAnsi="Traditional Arabic" w:cs="Traditional Arabic"/>
          <w:rtl/>
        </w:rPr>
      </w:pPr>
    </w:p>
    <w:p w14:paraId="0CE2330B" w14:textId="7FC9F256" w:rsidR="008615C2" w:rsidRPr="00A109ED" w:rsidRDefault="00000000" w:rsidP="00A109ED">
      <w:pPr>
        <w:pStyle w:val="3"/>
        <w:bidi/>
        <w:spacing w:before="0" w:after="0" w:line="360" w:lineRule="auto"/>
        <w:jc w:val="both"/>
        <w:rPr>
          <w:rFonts w:ascii="Traditional Arabic" w:hAnsi="Traditional Arabic" w:cs="Traditional Arabic"/>
        </w:rPr>
      </w:pPr>
      <w:r w:rsidRPr="00A109ED">
        <w:rPr>
          <w:rFonts w:ascii="Traditional Arabic" w:hAnsi="Traditional Arabic" w:cs="Traditional Arabic"/>
          <w:rtl/>
        </w:rPr>
        <w:t>الفجوة البحثية المحددة ومساهمة الدراسة الحالية:</w:t>
      </w:r>
    </w:p>
    <w:p w14:paraId="5CCCE9D6"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sidRPr="005F5C76">
        <w:rPr>
          <w:rFonts w:ascii="Traditional Arabic" w:hAnsi="Traditional Arabic" w:cs="Traditional Arabic"/>
          <w:sz w:val="24"/>
          <w:szCs w:val="24"/>
          <w:rtl/>
        </w:rPr>
        <w:t>تتبلور الفجوة البحثية والمعرفية التي تسعى الدراسة الحالية لسدها وتحديد معالم إسهامها العلمي من خلال فجوتين رئيستين:</w:t>
      </w:r>
    </w:p>
    <w:p w14:paraId="3C33A377" w14:textId="63733DED" w:rsidR="008615C2" w:rsidRPr="005F5C76" w:rsidRDefault="00000000" w:rsidP="00A109ED">
      <w:pPr>
        <w:numPr>
          <w:ilvl w:val="0"/>
          <w:numId w:val="17"/>
        </w:numPr>
        <w:pBdr>
          <w:top w:val="nil"/>
          <w:left w:val="nil"/>
          <w:bottom w:val="nil"/>
          <w:right w:val="nil"/>
          <w:between w:val="nil"/>
        </w:pBdr>
        <w:bidi/>
        <w:spacing w:line="360" w:lineRule="auto"/>
        <w:jc w:val="both"/>
        <w:rPr>
          <w:rFonts w:ascii="Traditional Arabic" w:hAnsi="Traditional Arabic" w:cs="Traditional Arabic"/>
        </w:rPr>
      </w:pPr>
      <w:r w:rsidRPr="005F5C76">
        <w:rPr>
          <w:rFonts w:ascii="Traditional Arabic" w:hAnsi="Traditional Arabic" w:cs="Traditional Arabic"/>
          <w:sz w:val="24"/>
          <w:szCs w:val="24"/>
          <w:rtl/>
        </w:rPr>
        <w:t>الفجوة السياقية والمكانية</w:t>
      </w:r>
      <w:r w:rsidR="00C65827" w:rsidRPr="005F5C76">
        <w:rPr>
          <w:rFonts w:ascii="Traditional Arabic" w:hAnsi="Traditional Arabic" w:cs="Traditional Arabic"/>
          <w:sz w:val="24"/>
          <w:szCs w:val="24"/>
          <w:rtl/>
        </w:rPr>
        <w:t>: على</w:t>
      </w:r>
      <w:r w:rsidRPr="005F5C76">
        <w:rPr>
          <w:rFonts w:ascii="Traditional Arabic" w:hAnsi="Traditional Arabic" w:cs="Traditional Arabic"/>
          <w:sz w:val="24"/>
          <w:szCs w:val="24"/>
          <w:rtl/>
        </w:rPr>
        <w:t xml:space="preserve"> الرغم من الطفرة التنظيمية الكبرى التي يمر بها القطاع غير الربحي في المملكة العربية السعودية تحت إشراف المركز الوطني لتنمية القطاع غير الربحي لعام </w:t>
      </w:r>
      <w:r w:rsidR="00A109ED" w:rsidRPr="005F5C76">
        <w:rPr>
          <w:rFonts w:ascii="Traditional Arabic" w:hAnsi="Traditional Arabic" w:cs="Traditional Arabic" w:hint="cs"/>
          <w:sz w:val="24"/>
          <w:szCs w:val="24"/>
          <w:rtl/>
        </w:rPr>
        <w:t>2024،</w:t>
      </w:r>
      <w:r w:rsidRPr="005F5C76">
        <w:rPr>
          <w:rFonts w:ascii="Traditional Arabic" w:hAnsi="Traditional Arabic" w:cs="Traditional Arabic"/>
          <w:sz w:val="24"/>
          <w:szCs w:val="24"/>
          <w:rtl/>
        </w:rPr>
        <w:t xml:space="preserve"> وسعيه الحثيث لمواءمة أعمال الكيانات الأهلية مع رؤية 2030، إلا أنه تندر -في حدود علم الباحث- الدراسات الميدانية الرصينة التي تختبر تأثير الذكاء الاصطناعي وحوكمة البيانات في جودة القرار الإداري داخل هذا القطاع، لاسيما في ظل الالتزامات الصارمة لنظام حماية البيانات الشخصية (</w:t>
      </w:r>
      <w:r w:rsidRPr="005F5C76">
        <w:rPr>
          <w:rFonts w:ascii="Traditional Arabic" w:hAnsi="Traditional Arabic" w:cs="Traditional Arabic"/>
          <w:sz w:val="24"/>
          <w:szCs w:val="24"/>
        </w:rPr>
        <w:t>PDPL</w:t>
      </w:r>
      <w:r w:rsidRPr="005F5C76">
        <w:rPr>
          <w:rFonts w:ascii="Traditional Arabic" w:hAnsi="Traditional Arabic" w:cs="Traditional Arabic"/>
          <w:sz w:val="24"/>
          <w:szCs w:val="24"/>
          <w:rtl/>
        </w:rPr>
        <w:t xml:space="preserve">) الجديد الصادر عن </w:t>
      </w:r>
      <w:proofErr w:type="spellStart"/>
      <w:r w:rsidRPr="005F5C76">
        <w:rPr>
          <w:rFonts w:ascii="Traditional Arabic" w:hAnsi="Traditional Arabic" w:cs="Traditional Arabic"/>
          <w:sz w:val="24"/>
          <w:szCs w:val="24"/>
          <w:rtl/>
        </w:rPr>
        <w:t>سدايا</w:t>
      </w:r>
      <w:proofErr w:type="spellEnd"/>
      <w:r w:rsidRPr="005F5C76">
        <w:rPr>
          <w:rFonts w:ascii="Traditional Arabic" w:hAnsi="Traditional Arabic" w:cs="Traditional Arabic"/>
          <w:sz w:val="24"/>
          <w:szCs w:val="24"/>
          <w:rtl/>
        </w:rPr>
        <w:t>. وتأتي هذه الدراسة لتكون استجابة علمية وعملية رائدة تسد هذا النقص وتدعم كفاءة الكيانات غير الربحية السعودية (الجمعيات والمؤسسات الأهلية والصناديق العائلية).</w:t>
      </w:r>
    </w:p>
    <w:p w14:paraId="413B8E97" w14:textId="147B76F7" w:rsidR="003C0276" w:rsidRPr="00A109ED" w:rsidRDefault="00000000" w:rsidP="00A109ED">
      <w:pPr>
        <w:numPr>
          <w:ilvl w:val="0"/>
          <w:numId w:val="17"/>
        </w:numPr>
        <w:pBdr>
          <w:top w:val="nil"/>
          <w:left w:val="nil"/>
          <w:bottom w:val="nil"/>
          <w:right w:val="nil"/>
          <w:between w:val="nil"/>
        </w:pBdr>
        <w:bidi/>
        <w:spacing w:line="360" w:lineRule="auto"/>
        <w:jc w:val="both"/>
        <w:rPr>
          <w:rFonts w:ascii="Traditional Arabic" w:hAnsi="Traditional Arabic" w:cs="Traditional Arabic"/>
          <w:sz w:val="24"/>
          <w:szCs w:val="24"/>
          <w:rtl/>
        </w:rPr>
      </w:pPr>
      <w:r w:rsidRPr="00A109ED">
        <w:rPr>
          <w:rFonts w:ascii="Traditional Arabic" w:hAnsi="Traditional Arabic" w:cs="Traditional Arabic"/>
          <w:sz w:val="24"/>
          <w:szCs w:val="24"/>
          <w:rtl/>
        </w:rPr>
        <w:t>الفجوة المفهومية والهيكلية</w:t>
      </w:r>
      <w:r w:rsidR="00C65827" w:rsidRPr="00A109ED">
        <w:rPr>
          <w:rFonts w:ascii="Traditional Arabic" w:hAnsi="Traditional Arabic" w:cs="Traditional Arabic"/>
          <w:sz w:val="24"/>
          <w:szCs w:val="24"/>
          <w:rtl/>
        </w:rPr>
        <w:t>:</w:t>
      </w:r>
      <w:r w:rsidRPr="00A109ED">
        <w:rPr>
          <w:rFonts w:ascii="Traditional Arabic" w:hAnsi="Traditional Arabic" w:cs="Traditional Arabic"/>
          <w:sz w:val="24"/>
          <w:szCs w:val="24"/>
          <w:rtl/>
        </w:rPr>
        <w:t xml:space="preserve"> ركزت الدراسات السابقة في مجملها على قياس العلاقات الثنائية المباشرة (تأثير الذكاء الاصطناعي على جودة القرار، أو أثر التحول الرقمي في الأداء) دون فحص العلاقات التفاعلية والوسيطة. وتتميز الدراسة الحالية بتقديم نموذج هيكلي متكامل يختبر "النضج الرقمي" كمتغير وسيط ومفسر حقيقي للممر غير المباشر الذي يربط بين تبني الذكاء الاصطناعي وجودة القرارات الإدارية، وهو مسار نمذجة هيكلية متقدم </w:t>
      </w:r>
      <w:r w:rsidRPr="00A109ED">
        <w:rPr>
          <w:rFonts w:ascii="Traditional Arabic" w:hAnsi="Traditional Arabic" w:cs="Traditional Arabic"/>
          <w:sz w:val="24"/>
          <w:szCs w:val="24"/>
          <w:rtl/>
        </w:rPr>
        <w:lastRenderedPageBreak/>
        <w:t>يوفر رؤية تنظيمية عميقة لصناع القرار لم تلتفت إليها الأدبيات السابقة بهذا الشمول والعمق الإحصائي.</w:t>
      </w:r>
    </w:p>
    <w:sectPr w:rsidR="003C0276" w:rsidRPr="00A109ED" w:rsidSect="00725851">
      <w:pgSz w:w="12240" w:h="15840"/>
      <w:pgMar w:top="1440" w:right="1440" w:bottom="1440" w:left="1440"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3DB579" w14:textId="77777777" w:rsidR="0015089E" w:rsidRDefault="0015089E" w:rsidP="00A109ED">
      <w:r>
        <w:separator/>
      </w:r>
    </w:p>
  </w:endnote>
  <w:endnote w:type="continuationSeparator" w:id="0">
    <w:p w14:paraId="080D40EA" w14:textId="77777777" w:rsidR="0015089E" w:rsidRDefault="0015089E" w:rsidP="00A10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BD6DE8D5-6725-7742-A1E7-1A4B9912B145}"/>
    <w:embedBold r:id="rId2" w:fontKey="{B79F653C-53C5-9742-A66D-DA6986119586}"/>
    <w:embedItalic r:id="rId3" w:fontKey="{C5A97D63-B470-9141-8AE3-4AEC08CBAC38}"/>
    <w:embedBoldItalic r:id="rId4" w:fontKey="{38601A76-7A39-634C-93F9-4D1F6BF4480E}"/>
  </w:font>
  <w:font w:name="Times New Roman">
    <w:panose1 w:val="02020603050405020304"/>
    <w:charset w:val="00"/>
    <w:family w:val="roman"/>
    <w:pitch w:val="variable"/>
    <w:sig w:usb0="E0002EFF" w:usb1="C000785B" w:usb2="00000009" w:usb3="00000000" w:csb0="000001FF" w:csb1="00000000"/>
    <w:embedRegular r:id="rId5" w:fontKey="{F9802B7C-59E2-9440-B322-664775ABA421}"/>
    <w:embedBold r:id="rId6" w:fontKey="{55239CDE-FB09-644C-A554-3EA923C98238}"/>
    <w:embedItalic r:id="rId7" w:fontKey="{3D950824-8E32-0140-9237-1D325750F592}"/>
  </w:font>
  <w:font w:name="Georgia">
    <w:panose1 w:val="02040502050405020303"/>
    <w:charset w:val="00"/>
    <w:family w:val="roman"/>
    <w:pitch w:val="variable"/>
    <w:sig w:usb0="00000287" w:usb1="00000000" w:usb2="00000000" w:usb3="00000000" w:csb0="0000009F" w:csb1="00000000"/>
    <w:embedItalic r:id="rId8" w:fontKey="{06E48AC1-42E7-5B4A-88B6-9DFBC69875F2}"/>
  </w:font>
  <w:font w:name="Calibri">
    <w:panose1 w:val="020F0502020204030204"/>
    <w:charset w:val="00"/>
    <w:family w:val="swiss"/>
    <w:pitch w:val="variable"/>
    <w:sig w:usb0="E4002EFF" w:usb1="C000247B" w:usb2="00000009" w:usb3="00000000" w:csb0="000001FF" w:csb1="00000000"/>
    <w:embedRegular r:id="rId9" w:fontKey="{7BBFF4FD-4B0D-7245-85BB-501B704046DB}"/>
    <w:embedBold r:id="rId10" w:fontKey="{D0D27DE0-A90C-234B-959A-9C396822DE7A}"/>
  </w:font>
  <w:font w:name="Google Sans">
    <w:altName w:val="Calibri"/>
    <w:panose1 w:val="020B0604020202020204"/>
    <w:charset w:val="00"/>
    <w:family w:val="auto"/>
    <w:pitch w:val="default"/>
  </w:font>
  <w:font w:name="Traditional Arabic">
    <w:panose1 w:val="02020603050405020304"/>
    <w:charset w:val="00"/>
    <w:family w:val="roman"/>
    <w:pitch w:val="variable"/>
    <w:sig w:usb0="00002003" w:usb1="80000000" w:usb2="00000008" w:usb3="00000000" w:csb0="00000041" w:csb1="00000000"/>
    <w:embedRegular r:id="rId13" w:fontKey="{E00EC806-F89F-AC43-BF40-7AB180C27AB9}"/>
    <w:embedBold r:id="rId14" w:fontKey="{FA610E2A-7BFC-AD4C-9A37-0CF9103CFBB2}"/>
    <w:embedItalic r:id="rId15" w:fontKey="{1F5FC2D2-BCC4-6C43-8C6F-6105200ECFF2}"/>
    <w:embedBoldItalic r:id="rId16" w:fontKey="{E047D185-5E9E-284A-AE9E-458803D465CA}"/>
  </w:font>
  <w:font w:name="Cambria Math">
    <w:panose1 w:val="02040503050406030204"/>
    <w:charset w:val="00"/>
    <w:family w:val="roman"/>
    <w:pitch w:val="variable"/>
    <w:sig w:usb0="E00002FF" w:usb1="420024FF" w:usb2="00000000" w:usb3="00000000" w:csb0="0000019F" w:csb1="00000000"/>
    <w:embedRegular r:id="rId17" w:fontKey="{75AB6342-E7D9-EE48-AC0B-1FA03092F3BB}"/>
    <w:embedBold r:id="rId18" w:fontKey="{E16CFC05-5786-B540-851B-8DA1B45E4A5B}"/>
    <w:embedItalic r:id="rId19" w:fontKey="{936D040F-2074-E845-AF82-5C1E5C6299B8}"/>
    <w:embedBoldItalic r:id="rId20" w:fontKey="{C281C6C8-2F89-7345-86BB-9401CCC79F12}"/>
  </w:font>
  <w:font w:name="Cambria">
    <w:panose1 w:val="02040503050406030204"/>
    <w:charset w:val="00"/>
    <w:family w:val="roman"/>
    <w:pitch w:val="variable"/>
    <w:sig w:usb0="E00002FF" w:usb1="400004FF" w:usb2="00000000" w:usb3="00000000" w:csb0="0000019F" w:csb1="00000000"/>
    <w:embedRegular r:id="rId21" w:fontKey="{669349D0-1BA6-004A-B796-8410C56F49D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2D2296" w14:textId="77777777" w:rsidR="0015089E" w:rsidRDefault="0015089E" w:rsidP="00A109ED">
      <w:r>
        <w:separator/>
      </w:r>
    </w:p>
  </w:footnote>
  <w:footnote w:type="continuationSeparator" w:id="0">
    <w:p w14:paraId="6F807E15" w14:textId="77777777" w:rsidR="0015089E" w:rsidRDefault="0015089E" w:rsidP="00A109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1D543C"/>
    <w:multiLevelType w:val="multilevel"/>
    <w:tmpl w:val="B830AC1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F6E13C8"/>
    <w:multiLevelType w:val="multilevel"/>
    <w:tmpl w:val="41FE0DA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0FB6714D"/>
    <w:multiLevelType w:val="multilevel"/>
    <w:tmpl w:val="AB14911C"/>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14C9263D"/>
    <w:multiLevelType w:val="multilevel"/>
    <w:tmpl w:val="55CCF55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24B579B7"/>
    <w:multiLevelType w:val="multilevel"/>
    <w:tmpl w:val="5D7AAACC"/>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379B6B93"/>
    <w:multiLevelType w:val="multilevel"/>
    <w:tmpl w:val="45AA0BCA"/>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41F34E41"/>
    <w:multiLevelType w:val="multilevel"/>
    <w:tmpl w:val="907EC94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422E2812"/>
    <w:multiLevelType w:val="multilevel"/>
    <w:tmpl w:val="CF00D328"/>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46852BAB"/>
    <w:multiLevelType w:val="multilevel"/>
    <w:tmpl w:val="CFC43CE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542267F8"/>
    <w:multiLevelType w:val="multilevel"/>
    <w:tmpl w:val="33C69E3A"/>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579704B4"/>
    <w:multiLevelType w:val="multilevel"/>
    <w:tmpl w:val="22A6850C"/>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5F2E2330"/>
    <w:multiLevelType w:val="multilevel"/>
    <w:tmpl w:val="46BADF14"/>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63FE4D8D"/>
    <w:multiLevelType w:val="multilevel"/>
    <w:tmpl w:val="D080344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642238F8"/>
    <w:multiLevelType w:val="multilevel"/>
    <w:tmpl w:val="6EFC3E1E"/>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 w15:restartNumberingAfterBreak="0">
    <w:nsid w:val="73DE5FA7"/>
    <w:multiLevelType w:val="multilevel"/>
    <w:tmpl w:val="9D2ACB00"/>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7D1E4860"/>
    <w:multiLevelType w:val="multilevel"/>
    <w:tmpl w:val="7BA60C3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 w15:restartNumberingAfterBreak="0">
    <w:nsid w:val="7FB5244C"/>
    <w:multiLevelType w:val="multilevel"/>
    <w:tmpl w:val="673E3400"/>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644652559">
    <w:abstractNumId w:val="9"/>
  </w:num>
  <w:num w:numId="2" w16cid:durableId="943850280">
    <w:abstractNumId w:val="11"/>
  </w:num>
  <w:num w:numId="3" w16cid:durableId="2033409073">
    <w:abstractNumId w:val="13"/>
  </w:num>
  <w:num w:numId="4" w16cid:durableId="1288050403">
    <w:abstractNumId w:val="4"/>
  </w:num>
  <w:num w:numId="5" w16cid:durableId="267086335">
    <w:abstractNumId w:val="7"/>
  </w:num>
  <w:num w:numId="6" w16cid:durableId="966742899">
    <w:abstractNumId w:val="0"/>
  </w:num>
  <w:num w:numId="7" w16cid:durableId="1639874097">
    <w:abstractNumId w:val="3"/>
  </w:num>
  <w:num w:numId="8" w16cid:durableId="503208916">
    <w:abstractNumId w:val="2"/>
  </w:num>
  <w:num w:numId="9" w16cid:durableId="1704091124">
    <w:abstractNumId w:val="15"/>
  </w:num>
  <w:num w:numId="10" w16cid:durableId="1245917439">
    <w:abstractNumId w:val="14"/>
  </w:num>
  <w:num w:numId="11" w16cid:durableId="1240217203">
    <w:abstractNumId w:val="1"/>
  </w:num>
  <w:num w:numId="12" w16cid:durableId="1039626378">
    <w:abstractNumId w:val="6"/>
  </w:num>
  <w:num w:numId="13" w16cid:durableId="855457661">
    <w:abstractNumId w:val="8"/>
  </w:num>
  <w:num w:numId="14" w16cid:durableId="1500076201">
    <w:abstractNumId w:val="16"/>
  </w:num>
  <w:num w:numId="15" w16cid:durableId="1754161671">
    <w:abstractNumId w:val="12"/>
  </w:num>
  <w:num w:numId="16" w16cid:durableId="1479882869">
    <w:abstractNumId w:val="10"/>
  </w:num>
  <w:num w:numId="17" w16cid:durableId="1745225181">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5C2"/>
    <w:rsid w:val="000312A6"/>
    <w:rsid w:val="0009135A"/>
    <w:rsid w:val="0015089E"/>
    <w:rsid w:val="0017262D"/>
    <w:rsid w:val="001C4C67"/>
    <w:rsid w:val="002445DF"/>
    <w:rsid w:val="002769E6"/>
    <w:rsid w:val="002F1437"/>
    <w:rsid w:val="00304438"/>
    <w:rsid w:val="00306013"/>
    <w:rsid w:val="00345FF5"/>
    <w:rsid w:val="003C0276"/>
    <w:rsid w:val="003E6A6A"/>
    <w:rsid w:val="005552C7"/>
    <w:rsid w:val="005D69F8"/>
    <w:rsid w:val="005E26AA"/>
    <w:rsid w:val="005F5C76"/>
    <w:rsid w:val="00643AE1"/>
    <w:rsid w:val="006D2ACA"/>
    <w:rsid w:val="00725851"/>
    <w:rsid w:val="00745CEA"/>
    <w:rsid w:val="008048E3"/>
    <w:rsid w:val="008615C2"/>
    <w:rsid w:val="009022D6"/>
    <w:rsid w:val="009422C8"/>
    <w:rsid w:val="00965DAC"/>
    <w:rsid w:val="00997F91"/>
    <w:rsid w:val="00A109ED"/>
    <w:rsid w:val="00A73B82"/>
    <w:rsid w:val="00AF67FF"/>
    <w:rsid w:val="00B25B81"/>
    <w:rsid w:val="00B92EE1"/>
    <w:rsid w:val="00C24057"/>
    <w:rsid w:val="00C65827"/>
    <w:rsid w:val="00C65A15"/>
    <w:rsid w:val="00D02E54"/>
    <w:rsid w:val="00D406E9"/>
    <w:rsid w:val="00D854B7"/>
    <w:rsid w:val="00EE36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95399"/>
  <w15:docId w15:val="{EA684D89-493E-E545-B7A2-EC074925F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pBdr>
        <w:top w:val="nil"/>
        <w:left w:val="nil"/>
        <w:bottom w:val="nil"/>
        <w:right w:val="nil"/>
        <w:between w:val="nil"/>
      </w:pBdr>
      <w:spacing w:before="240" w:after="240"/>
      <w:outlineLvl w:val="0"/>
    </w:pPr>
    <w:rPr>
      <w:b/>
      <w:bCs/>
      <w:sz w:val="48"/>
      <w:szCs w:val="48"/>
    </w:rPr>
  </w:style>
  <w:style w:type="paragraph" w:styleId="2">
    <w:name w:val="heading 2"/>
    <w:basedOn w:val="a"/>
    <w:next w:val="a"/>
    <w:uiPriority w:val="9"/>
    <w:unhideWhenUsed/>
    <w:qFormat/>
    <w:pPr>
      <w:pBdr>
        <w:top w:val="nil"/>
        <w:left w:val="nil"/>
        <w:bottom w:val="nil"/>
        <w:right w:val="nil"/>
        <w:between w:val="nil"/>
      </w:pBdr>
      <w:spacing w:before="225" w:after="225"/>
      <w:outlineLvl w:val="1"/>
    </w:pPr>
    <w:rPr>
      <w:b/>
      <w:bCs/>
      <w:sz w:val="36"/>
      <w:szCs w:val="36"/>
    </w:rPr>
  </w:style>
  <w:style w:type="paragraph" w:styleId="3">
    <w:name w:val="heading 3"/>
    <w:basedOn w:val="a"/>
    <w:next w:val="a"/>
    <w:uiPriority w:val="9"/>
    <w:unhideWhenUsed/>
    <w:qFormat/>
    <w:pPr>
      <w:pBdr>
        <w:top w:val="nil"/>
        <w:left w:val="nil"/>
        <w:bottom w:val="nil"/>
        <w:right w:val="nil"/>
        <w:between w:val="nil"/>
      </w:pBdr>
      <w:spacing w:before="240" w:after="240"/>
      <w:outlineLvl w:val="2"/>
    </w:pPr>
    <w:rPr>
      <w:b/>
      <w:bCs/>
      <w:sz w:val="28"/>
      <w:szCs w:val="28"/>
    </w:rPr>
  </w:style>
  <w:style w:type="paragraph" w:styleId="4">
    <w:name w:val="heading 4"/>
    <w:basedOn w:val="a"/>
    <w:next w:val="a"/>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5">
    <w:name w:val="heading 5"/>
    <w:basedOn w:val="a"/>
    <w:next w:val="a"/>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6">
    <w:name w:val="heading 6"/>
    <w:basedOn w:val="a"/>
    <w:next w:val="a"/>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character" w:styleId="a8">
    <w:name w:val="Placeholder Text"/>
    <w:basedOn w:val="a0"/>
    <w:uiPriority w:val="99"/>
    <w:semiHidden/>
    <w:rsid w:val="00D02E54"/>
    <w:rPr>
      <w:color w:val="666666"/>
    </w:rPr>
  </w:style>
  <w:style w:type="paragraph" w:styleId="a9">
    <w:name w:val="List Paragraph"/>
    <w:basedOn w:val="a"/>
    <w:uiPriority w:val="34"/>
    <w:qFormat/>
    <w:rsid w:val="0017262D"/>
    <w:pPr>
      <w:ind w:left="720"/>
      <w:contextualSpacing/>
    </w:pPr>
  </w:style>
  <w:style w:type="paragraph" w:styleId="aa">
    <w:name w:val="header"/>
    <w:basedOn w:val="a"/>
    <w:link w:val="Char"/>
    <w:uiPriority w:val="99"/>
    <w:unhideWhenUsed/>
    <w:rsid w:val="00A109ED"/>
    <w:pPr>
      <w:tabs>
        <w:tab w:val="center" w:pos="4153"/>
        <w:tab w:val="right" w:pos="8306"/>
      </w:tabs>
    </w:pPr>
  </w:style>
  <w:style w:type="character" w:customStyle="1" w:styleId="Char">
    <w:name w:val="رأس الصفحة Char"/>
    <w:basedOn w:val="a0"/>
    <w:link w:val="aa"/>
    <w:uiPriority w:val="99"/>
    <w:rsid w:val="00A109ED"/>
  </w:style>
  <w:style w:type="paragraph" w:styleId="ab">
    <w:name w:val="footer"/>
    <w:basedOn w:val="a"/>
    <w:link w:val="Char0"/>
    <w:uiPriority w:val="99"/>
    <w:unhideWhenUsed/>
    <w:rsid w:val="00A109ED"/>
    <w:pPr>
      <w:tabs>
        <w:tab w:val="center" w:pos="4153"/>
        <w:tab w:val="right" w:pos="8306"/>
      </w:tabs>
    </w:pPr>
  </w:style>
  <w:style w:type="character" w:customStyle="1" w:styleId="Char0">
    <w:name w:val="تذييل الصفحة Char"/>
    <w:basedOn w:val="a0"/>
    <w:link w:val="ab"/>
    <w:uiPriority w:val="99"/>
    <w:rsid w:val="00A109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281C4-D7A6-E048-B2E6-4457723E1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4687</Words>
  <Characters>26722</Characters>
  <Application>Microsoft Office Word</Application>
  <DocSecurity>0</DocSecurity>
  <Lines>222</Lines>
  <Paragraphs>62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zamil_family</cp:lastModifiedBy>
  <cp:revision>2</cp:revision>
  <dcterms:created xsi:type="dcterms:W3CDTF">2026-07-10T16:56:00Z</dcterms:created>
  <dcterms:modified xsi:type="dcterms:W3CDTF">2026-07-10T16:56:00Z</dcterms:modified>
</cp:coreProperties>
</file>