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6C309" w14:textId="77777777" w:rsidR="00640DDA" w:rsidRDefault="00640DDA">
      <w:pPr>
        <w:spacing w:after="80" w:line="312" w:lineRule="auto"/>
        <w:jc w:val="center"/>
        <w:rPr>
          <w:b/>
          <w:sz w:val="28"/>
        </w:rPr>
      </w:pPr>
    </w:p>
    <w:p w14:paraId="7A01F6B6" w14:textId="77777777" w:rsidR="00640DDA" w:rsidRDefault="00640DDA">
      <w:pPr>
        <w:spacing w:after="80" w:line="312" w:lineRule="auto"/>
        <w:jc w:val="center"/>
        <w:rPr>
          <w:b/>
          <w:sz w:val="28"/>
        </w:rPr>
      </w:pPr>
    </w:p>
    <w:p w14:paraId="37F0F605" w14:textId="77777777" w:rsidR="00640DDA" w:rsidRDefault="00640DDA">
      <w:pPr>
        <w:spacing w:after="80" w:line="312" w:lineRule="auto"/>
        <w:jc w:val="center"/>
        <w:rPr>
          <w:b/>
          <w:sz w:val="28"/>
        </w:rPr>
      </w:pPr>
    </w:p>
    <w:p w14:paraId="511448C3" w14:textId="77777777" w:rsidR="00640DDA" w:rsidRDefault="00640DDA">
      <w:pPr>
        <w:spacing w:after="80" w:line="312" w:lineRule="auto"/>
        <w:jc w:val="center"/>
        <w:rPr>
          <w:b/>
          <w:sz w:val="28"/>
        </w:rPr>
      </w:pPr>
    </w:p>
    <w:p w14:paraId="066CCCEC" w14:textId="321B0179" w:rsidR="00B63129" w:rsidRDefault="001C3E90">
      <w:pPr>
        <w:spacing w:after="80" w:line="312" w:lineRule="auto"/>
        <w:jc w:val="center"/>
      </w:pPr>
      <w:r>
        <w:rPr>
          <w:b/>
          <w:sz w:val="28"/>
        </w:rPr>
        <w:t>From Oil to Health: Evaluating the Socio-Economic Impact of</w:t>
      </w:r>
    </w:p>
    <w:p w14:paraId="16FE33F5" w14:textId="77777777" w:rsidR="00B63129" w:rsidRDefault="001C3E90">
      <w:pPr>
        <w:spacing w:after="80" w:line="312" w:lineRule="auto"/>
        <w:jc w:val="center"/>
      </w:pPr>
      <w:r>
        <w:rPr>
          <w:b/>
          <w:sz w:val="28"/>
        </w:rPr>
        <w:t>Vision 2030 on the Saudi Healthcare System</w:t>
      </w:r>
    </w:p>
    <w:p w14:paraId="311BF6A7" w14:textId="77777777" w:rsidR="00B63129" w:rsidRDefault="00B63129">
      <w:pPr>
        <w:spacing w:after="80" w:line="312" w:lineRule="auto"/>
        <w:jc w:val="center"/>
      </w:pPr>
    </w:p>
    <w:p w14:paraId="18D2246F" w14:textId="77777777" w:rsidR="00B63129" w:rsidRDefault="001C3E90">
      <w:pPr>
        <w:spacing w:after="80" w:line="312" w:lineRule="auto"/>
        <w:jc w:val="center"/>
      </w:pPr>
      <w:r>
        <w:rPr>
          <w:sz w:val="26"/>
        </w:rPr>
        <w:t>Chapters 1 and 2: Introduction, Theoretical Framework, and Literature Review</w:t>
      </w:r>
    </w:p>
    <w:p w14:paraId="5053A8FE" w14:textId="77777777" w:rsidR="00B63129" w:rsidRDefault="00B63129">
      <w:pPr>
        <w:spacing w:after="80" w:line="312" w:lineRule="auto"/>
        <w:jc w:val="center"/>
      </w:pPr>
    </w:p>
    <w:p w14:paraId="0432392A" w14:textId="77777777" w:rsidR="00640DDA" w:rsidRDefault="00640DDA">
      <w:pPr>
        <w:spacing w:after="80" w:line="312" w:lineRule="auto"/>
        <w:jc w:val="center"/>
      </w:pPr>
    </w:p>
    <w:p w14:paraId="2A8336BF" w14:textId="77777777" w:rsidR="00640DDA" w:rsidRDefault="00640DDA">
      <w:pPr>
        <w:spacing w:after="80" w:line="312" w:lineRule="auto"/>
        <w:jc w:val="center"/>
      </w:pPr>
    </w:p>
    <w:p w14:paraId="263D1494" w14:textId="77777777" w:rsidR="00640DDA" w:rsidRDefault="00640DDA">
      <w:pPr>
        <w:spacing w:after="80" w:line="312" w:lineRule="auto"/>
        <w:jc w:val="center"/>
      </w:pPr>
    </w:p>
    <w:p w14:paraId="30F429C3" w14:textId="77777777" w:rsidR="00640DDA" w:rsidRDefault="00640DDA">
      <w:pPr>
        <w:spacing w:after="80" w:line="312" w:lineRule="auto"/>
        <w:jc w:val="center"/>
      </w:pPr>
    </w:p>
    <w:p w14:paraId="7E853D5E" w14:textId="77777777" w:rsidR="00640DDA" w:rsidRDefault="00640DDA">
      <w:pPr>
        <w:spacing w:after="80" w:line="312" w:lineRule="auto"/>
        <w:jc w:val="center"/>
      </w:pPr>
    </w:p>
    <w:p w14:paraId="2DDE93D8" w14:textId="77777777" w:rsidR="00640DDA" w:rsidRDefault="00640DDA">
      <w:pPr>
        <w:spacing w:after="80" w:line="312" w:lineRule="auto"/>
        <w:jc w:val="center"/>
      </w:pPr>
    </w:p>
    <w:p w14:paraId="32A5DC50" w14:textId="77777777" w:rsidR="00640DDA" w:rsidRDefault="00640DDA">
      <w:pPr>
        <w:spacing w:after="80" w:line="312" w:lineRule="auto"/>
        <w:jc w:val="center"/>
      </w:pPr>
    </w:p>
    <w:p w14:paraId="7EF80594" w14:textId="77777777" w:rsidR="00640DDA" w:rsidRDefault="00640DDA">
      <w:pPr>
        <w:spacing w:after="80" w:line="312" w:lineRule="auto"/>
        <w:jc w:val="center"/>
      </w:pPr>
    </w:p>
    <w:p w14:paraId="351D3866" w14:textId="77777777" w:rsidR="00640DDA" w:rsidRDefault="00640DDA">
      <w:pPr>
        <w:spacing w:after="80" w:line="312" w:lineRule="auto"/>
        <w:jc w:val="center"/>
      </w:pPr>
    </w:p>
    <w:p w14:paraId="2E8322F6" w14:textId="77777777" w:rsidR="00640DDA" w:rsidRDefault="00640DDA">
      <w:pPr>
        <w:spacing w:after="80" w:line="312" w:lineRule="auto"/>
        <w:jc w:val="center"/>
      </w:pPr>
    </w:p>
    <w:p w14:paraId="0EA063F9" w14:textId="77777777" w:rsidR="00640DDA" w:rsidRDefault="00640DDA">
      <w:pPr>
        <w:spacing w:after="80" w:line="312" w:lineRule="auto"/>
        <w:jc w:val="center"/>
      </w:pPr>
    </w:p>
    <w:p w14:paraId="2E814A14" w14:textId="77777777" w:rsidR="00640DDA" w:rsidRDefault="00640DDA">
      <w:pPr>
        <w:spacing w:after="80" w:line="312" w:lineRule="auto"/>
        <w:jc w:val="center"/>
      </w:pPr>
    </w:p>
    <w:p w14:paraId="75C39CC6" w14:textId="77777777" w:rsidR="00640DDA" w:rsidRDefault="00640DDA">
      <w:pPr>
        <w:spacing w:after="80" w:line="312" w:lineRule="auto"/>
        <w:jc w:val="center"/>
      </w:pPr>
    </w:p>
    <w:p w14:paraId="3486FD94" w14:textId="77777777" w:rsidR="00B63129" w:rsidRDefault="001C3E90">
      <w:pPr>
        <w:spacing w:after="80" w:line="312" w:lineRule="auto"/>
        <w:jc w:val="center"/>
      </w:pPr>
      <w:r>
        <w:t>Abrar Awad Omar Al-Nakhbi</w:t>
      </w:r>
    </w:p>
    <w:p w14:paraId="39BAE06C" w14:textId="77777777" w:rsidR="00B63129" w:rsidRDefault="001C3E90">
      <w:pPr>
        <w:spacing w:after="80" w:line="312" w:lineRule="auto"/>
        <w:jc w:val="center"/>
      </w:pPr>
      <w:r>
        <w:t>Department of Healthcare Administration</w:t>
      </w:r>
    </w:p>
    <w:p w14:paraId="514057EA" w14:textId="77777777" w:rsidR="00B63129" w:rsidRDefault="001C3E90">
      <w:pPr>
        <w:spacing w:after="80" w:line="312" w:lineRule="auto"/>
        <w:jc w:val="center"/>
      </w:pPr>
      <w:r>
        <w:t>Midocean University</w:t>
      </w:r>
    </w:p>
    <w:p w14:paraId="2C798D31" w14:textId="77777777" w:rsidR="00B63129" w:rsidRDefault="001C3E90">
      <w:pPr>
        <w:spacing w:after="80" w:line="312" w:lineRule="auto"/>
        <w:jc w:val="center"/>
      </w:pPr>
      <w:r>
        <w:t>Supervisors: Dr. Al-Faisal Abdulhamid and Dr. Fayez Jarrad</w:t>
      </w:r>
    </w:p>
    <w:p w14:paraId="4E2A5AD4" w14:textId="77777777" w:rsidR="00B63129" w:rsidRDefault="001C3E90">
      <w:pPr>
        <w:spacing w:after="80" w:line="312" w:lineRule="auto"/>
        <w:jc w:val="center"/>
      </w:pPr>
      <w:r>
        <w:t>Academic Year 2026</w:t>
      </w:r>
    </w:p>
    <w:p w14:paraId="49EB628A" w14:textId="77777777" w:rsidR="00B63129" w:rsidRDefault="001C3E90">
      <w:r>
        <w:br w:type="page"/>
      </w:r>
    </w:p>
    <w:p w14:paraId="663014B5" w14:textId="77777777" w:rsidR="00B63129" w:rsidRDefault="001C3E90">
      <w:pPr>
        <w:pStyle w:val="Heading1"/>
      </w:pPr>
      <w:r>
        <w:lastRenderedPageBreak/>
        <w:t>Chapter 1: Introduction and Theoretical Framework</w:t>
      </w:r>
    </w:p>
    <w:p w14:paraId="5D975605" w14:textId="77777777" w:rsidR="00B63129" w:rsidRDefault="001C3E90">
      <w:pPr>
        <w:pStyle w:val="Heading2"/>
      </w:pPr>
      <w:r>
        <w:t>1.1 Background and Context</w:t>
      </w:r>
    </w:p>
    <w:p w14:paraId="11CBD7BC" w14:textId="77777777" w:rsidR="00B63129" w:rsidRDefault="001C3E90">
      <w:r>
        <w:t>Saudi Arabia's modern state emerged on a fiscal foundation that political economists call the rentier model: a government funded primarily by external revenue (oil), rather than domestic taxation, and which in turn distributes that revenue to citizens through free or heavily subsidized public services (Beblawi &amp; Luciani, 1987). Healthcare was one of the clearest expressions of that arrangement. From the 1970s onward, the Ministry of Health (MOH) built out a national network of hospitals and primary care cen</w:t>
      </w:r>
      <w:r>
        <w:t>ters, funded them from the state budget, staffed them largely with expatriate physicians, and offered care to citizens at no direct cost. The results were real: infant mortality fell sharply, and the infectious diseases that had once been endemic to the Peninsula were brought under control (Walston, Al-Harbi, &amp; Al-Omar, 2008).</w:t>
      </w:r>
    </w:p>
    <w:p w14:paraId="541FF993" w14:textId="77777777" w:rsidR="00B63129" w:rsidRDefault="001C3E90">
      <w:r>
        <w:t>That model has run into two structural limits. The first is fiscal: oil price volatility and the global shift toward renewable energy make a health budget financed almost entirely by hydrocarbon rents an increasingly unstable proposition. The second is epidemiological. As the population has grown and life expectancy has risen, the disease burden has shifted from infectious to chronic and lifestyle-related conditions such as diabetes, cardiovascular disease, and obesity, which are expensive to manage over de</w:t>
      </w:r>
      <w:r>
        <w:t>cades rather than treat once (Walston et al., 2008). A system built to expand access rapidly was not built to manage this kind of long-run cost curve.</w:t>
      </w:r>
    </w:p>
    <w:p w14:paraId="69B651AB" w14:textId="77777777" w:rsidR="00B63129" w:rsidRDefault="001C3E90">
      <w:r>
        <w:t xml:space="preserve">Vision 2030, launched in April 2016, is the Saudi government's response to both pressures at once. Its stated aim is to diversify the economy away from oil dependency and toward a private-sector-driven model, and healthcare sits inside that broader strategy in a dual role: as a social service that must remain accessible, and as a sector the government wants to convert into a source of private investment, employment, and non-oil GDP growth (Vision 2030, </w:t>
      </w:r>
      <w:r>
        <w:lastRenderedPageBreak/>
        <w:t>2016). The operational vehicle for this shift in health is the Health Sector Transformation Program (HSTP), one of the Vision Realization Programs, first launched in 2021 with a five-year horizon, i.e., to 2026 (Ministry of Health, 2024a; see Table 1.1 for the full timeline). Under HSTP, the MOH's role is meant to narrow from funder-provider-regulator to regulator alone. Day-to-day operation of public hospitals and clinics has been transferred to a new entity, the Health Holding Company (HHC), established b</w:t>
      </w:r>
      <w:r>
        <w:t>y royal decree in 2022, which in turn oversees regional Health Clusters structured as autonomous regional operating entities rather than line departments of a ministry, described in the literature as resembling accountable-care-style organizations though without the specific shared-savings and attribution mechanics of the US Medicare model that term originally denotes (Chowdhury, Mok, &amp; Leenen, 2021). Financing is being reorganized around mandatory cooperative health insurance, administered by the Council o</w:t>
      </w:r>
      <w:r>
        <w:t>f Health Insurance (CHI, previously known as the Council of Cooperative Health Insurance, or CCHI, the name still used in earlier data series and by data compilers tracking the scheme under its original name), which describes its own regulatory role and market-structure data in its most recent annual report (Council of Health Insurance, 2023), and around public-private partnerships intended to bring in capital the state budget would otherwise have to supply directly.</w:t>
      </w:r>
    </w:p>
    <w:p w14:paraId="12680216" w14:textId="77777777" w:rsidR="00B63129" w:rsidRDefault="001C3E90">
      <w:r>
        <w:t>The "Vibrant Society" pillar of Vision 2030 sets a concrete target for this transformation: raising average life expectancy from 74 to 80 years. That target is not pursued through hospital construction alone. It rests partly on digital tools, namely the Sehaty and Nafis platforms, which give citizens direct access to appointments, records, and teleconsultation, and partly on a broader push toward preventive care and individual responsibility for health outcomes, a departure from a system built around curati</w:t>
      </w:r>
      <w:r>
        <w:t>ve, in-person treatment.</w:t>
      </w:r>
    </w:p>
    <w:p w14:paraId="3B24CE39" w14:textId="77777777" w:rsidR="00B63129" w:rsidRDefault="001C3E90">
      <w:r>
        <w:rPr>
          <w:b/>
        </w:rPr>
        <w:t>Table 1.1: Vision 2030 Healthcare Reform Timeline</w:t>
      </w:r>
    </w:p>
    <w:tbl>
      <w:tblPr>
        <w:tblStyle w:val="LightGrid-Accent1"/>
        <w:tblW w:w="0" w:type="auto"/>
        <w:jc w:val="center"/>
        <w:tblLook w:val="04A0" w:firstRow="1" w:lastRow="0" w:firstColumn="1" w:lastColumn="0" w:noHBand="0" w:noVBand="1"/>
      </w:tblPr>
      <w:tblGrid>
        <w:gridCol w:w="4513"/>
        <w:gridCol w:w="4513"/>
      </w:tblGrid>
      <w:tr w:rsidR="00B63129" w14:paraId="3E45631C" w14:textId="77777777" w:rsidTr="00B631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0E083E72" w14:textId="77777777" w:rsidR="00B63129" w:rsidRDefault="001C3E90">
            <w:pPr>
              <w:spacing w:line="240" w:lineRule="auto"/>
            </w:pPr>
            <w:r>
              <w:rPr>
                <w:sz w:val="20"/>
              </w:rPr>
              <w:t>Year</w:t>
            </w:r>
          </w:p>
        </w:tc>
        <w:tc>
          <w:tcPr>
            <w:tcW w:w="4513" w:type="dxa"/>
          </w:tcPr>
          <w:p w14:paraId="6D5057CE" w14:textId="77777777" w:rsidR="00B63129" w:rsidRDefault="001C3E90">
            <w:pPr>
              <w:spacing w:line="240" w:lineRule="auto"/>
              <w:cnfStyle w:val="100000000000" w:firstRow="1" w:lastRow="0" w:firstColumn="0" w:lastColumn="0" w:oddVBand="0" w:evenVBand="0" w:oddHBand="0" w:evenHBand="0" w:firstRowFirstColumn="0" w:firstRowLastColumn="0" w:lastRowFirstColumn="0" w:lastRowLastColumn="0"/>
            </w:pPr>
            <w:r>
              <w:rPr>
                <w:sz w:val="20"/>
              </w:rPr>
              <w:t>Milestone</w:t>
            </w:r>
          </w:p>
        </w:tc>
      </w:tr>
      <w:tr w:rsidR="00B63129" w14:paraId="602CF9A3"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06F80AF5" w14:textId="77777777" w:rsidR="00B63129" w:rsidRDefault="001C3E90">
            <w:pPr>
              <w:spacing w:line="240" w:lineRule="auto"/>
            </w:pPr>
            <w:r>
              <w:rPr>
                <w:sz w:val="20"/>
              </w:rPr>
              <w:t>2016</w:t>
            </w:r>
          </w:p>
        </w:tc>
        <w:tc>
          <w:tcPr>
            <w:tcW w:w="4513" w:type="dxa"/>
          </w:tcPr>
          <w:p w14:paraId="74C90E0D"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Vision 2030 launched (Vision 2030, 2016)</w:t>
            </w:r>
          </w:p>
        </w:tc>
      </w:tr>
      <w:tr w:rsidR="00B63129" w14:paraId="2AD510C2"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3871D83A" w14:textId="77777777" w:rsidR="00B63129" w:rsidRDefault="001C3E90">
            <w:pPr>
              <w:spacing w:line="240" w:lineRule="auto"/>
            </w:pPr>
            <w:r>
              <w:rPr>
                <w:sz w:val="20"/>
              </w:rPr>
              <w:lastRenderedPageBreak/>
              <w:t>2017</w:t>
            </w:r>
          </w:p>
        </w:tc>
        <w:tc>
          <w:tcPr>
            <w:tcW w:w="4513" w:type="dxa"/>
          </w:tcPr>
          <w:p w14:paraId="02810623"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Monthly dependent levy on expatriate workers' families begins phasing in, SR100 per dependent rising to SR400 by 2020 (Arab News, 2016)</w:t>
            </w:r>
          </w:p>
        </w:tc>
      </w:tr>
      <w:tr w:rsidR="00B63129" w14:paraId="5DEA1315"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4AF0A41E" w14:textId="77777777" w:rsidR="00B63129" w:rsidRDefault="001C3E90">
            <w:pPr>
              <w:spacing w:line="240" w:lineRule="auto"/>
            </w:pPr>
            <w:r>
              <w:rPr>
                <w:sz w:val="20"/>
              </w:rPr>
              <w:t>2018</w:t>
            </w:r>
          </w:p>
        </w:tc>
        <w:tc>
          <w:tcPr>
            <w:tcW w:w="4513" w:type="dxa"/>
          </w:tcPr>
          <w:p w14:paraId="0CD4E1E0"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Value-added tax (VAT) introduced at 5%</w:t>
            </w:r>
          </w:p>
        </w:tc>
      </w:tr>
      <w:tr w:rsidR="00B63129" w14:paraId="326FA392"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77EAFC1E" w14:textId="77777777" w:rsidR="00B63129" w:rsidRDefault="001C3E90">
            <w:pPr>
              <w:spacing w:line="240" w:lineRule="auto"/>
            </w:pPr>
            <w:r>
              <w:rPr>
                <w:sz w:val="20"/>
              </w:rPr>
              <w:t>2020</w:t>
            </w:r>
          </w:p>
        </w:tc>
        <w:tc>
          <w:tcPr>
            <w:tcW w:w="4513" w:type="dxa"/>
          </w:tcPr>
          <w:p w14:paraId="0CD715E5"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VAT tripled to 15%; COVID-19 pandemic disrupts healthcare utilization worldwide</w:t>
            </w:r>
          </w:p>
        </w:tc>
      </w:tr>
      <w:tr w:rsidR="00B63129" w14:paraId="3F614A56"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7FE2E669" w14:textId="77777777" w:rsidR="00B63129" w:rsidRDefault="001C3E90">
            <w:pPr>
              <w:spacing w:line="240" w:lineRule="auto"/>
            </w:pPr>
            <w:r>
              <w:rPr>
                <w:sz w:val="20"/>
              </w:rPr>
              <w:t>2021</w:t>
            </w:r>
          </w:p>
        </w:tc>
        <w:tc>
          <w:tcPr>
            <w:tcW w:w="4513" w:type="dxa"/>
          </w:tcPr>
          <w:p w14:paraId="3EAE4A33"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Health Sector Transformation Program (HSTP) launched with a stated five-year horizon (i.e., to 2026)</w:t>
            </w:r>
          </w:p>
        </w:tc>
      </w:tr>
      <w:tr w:rsidR="00B63129" w14:paraId="323371D3"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126DADD8" w14:textId="77777777" w:rsidR="00B63129" w:rsidRDefault="001C3E90">
            <w:pPr>
              <w:spacing w:line="240" w:lineRule="auto"/>
            </w:pPr>
            <w:r>
              <w:rPr>
                <w:sz w:val="20"/>
              </w:rPr>
              <w:t>2022</w:t>
            </w:r>
          </w:p>
        </w:tc>
        <w:tc>
          <w:tcPr>
            <w:tcW w:w="4513" w:type="dxa"/>
          </w:tcPr>
          <w:p w14:paraId="14B300D4"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Health Holding Company (HHC) established by royal decree; regional Health Clusters begin operating under HHC oversight</w:t>
            </w:r>
          </w:p>
        </w:tc>
      </w:tr>
      <w:tr w:rsidR="00B63129" w14:paraId="19A32404"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7AA276F4" w14:textId="77777777" w:rsidR="00B63129" w:rsidRDefault="001C3E90">
            <w:pPr>
              <w:spacing w:line="240" w:lineRule="auto"/>
            </w:pPr>
            <w:r>
              <w:rPr>
                <w:sz w:val="20"/>
              </w:rPr>
              <w:t>2023</w:t>
            </w:r>
          </w:p>
        </w:tc>
        <w:tc>
          <w:tcPr>
            <w:tcW w:w="4513" w:type="dxa"/>
          </w:tcPr>
          <w:p w14:paraId="45BA5D89"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HSTP Annual Report published (Vision 2030 Delivery Unit, 2023); Council of Ministers Decision No. 85/2023 transfers insurance-sector oversight functions from CHI/SAMA toward the newly established Insurance Authority</w:t>
            </w:r>
          </w:p>
        </w:tc>
      </w:tr>
      <w:tr w:rsidR="00B63129" w14:paraId="1BFF5ECE"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22A97FBA" w14:textId="77777777" w:rsidR="00B63129" w:rsidRDefault="001C3E90">
            <w:pPr>
              <w:spacing w:line="240" w:lineRule="auto"/>
            </w:pPr>
            <w:r>
              <w:rPr>
                <w:sz w:val="20"/>
              </w:rPr>
              <w:t>2024</w:t>
            </w:r>
          </w:p>
        </w:tc>
        <w:tc>
          <w:tcPr>
            <w:tcW w:w="4513" w:type="dxa"/>
          </w:tcPr>
          <w:p w14:paraId="5B95C6FA"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MOH Statistical Yearbook 2024 and GASTAT Health Determinants Statistics 2024 published</w:t>
            </w:r>
          </w:p>
        </w:tc>
      </w:tr>
      <w:tr w:rsidR="00B63129" w14:paraId="634AE3E3"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2EE4D396" w14:textId="77777777" w:rsidR="00B63129" w:rsidRDefault="001C3E90">
            <w:pPr>
              <w:spacing w:line="240" w:lineRule="auto"/>
            </w:pPr>
            <w:r>
              <w:rPr>
                <w:sz w:val="20"/>
              </w:rPr>
              <w:t>2026</w:t>
            </w:r>
          </w:p>
        </w:tc>
        <w:tc>
          <w:tcPr>
            <w:tcW w:w="4513" w:type="dxa"/>
          </w:tcPr>
          <w:p w14:paraId="1B95F7AA"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HSTP's own stated five-year implementation horizon concludes</w:t>
            </w:r>
          </w:p>
        </w:tc>
      </w:tr>
      <w:tr w:rsidR="00B63129" w14:paraId="463C7903"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4B155EF8" w14:textId="77777777" w:rsidR="00B63129" w:rsidRDefault="001C3E90">
            <w:pPr>
              <w:spacing w:line="240" w:lineRule="auto"/>
            </w:pPr>
            <w:r>
              <w:rPr>
                <w:sz w:val="20"/>
              </w:rPr>
              <w:t>2030</w:t>
            </w:r>
          </w:p>
        </w:tc>
        <w:tc>
          <w:tcPr>
            <w:tcW w:w="4513" w:type="dxa"/>
          </w:tcPr>
          <w:p w14:paraId="0DE93254"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Vision 2030's overall target year (life expectancy target, private-sector delivery share target, PPP investment target)</w:t>
            </w:r>
          </w:p>
        </w:tc>
      </w:tr>
    </w:tbl>
    <w:p w14:paraId="18FB4048" w14:textId="77777777" w:rsidR="00B63129" w:rsidRDefault="00B63129"/>
    <w:p w14:paraId="79DDDBFA" w14:textId="77777777" w:rsidR="00B63129" w:rsidRDefault="001C3E90">
      <w:r>
        <w:t>This timeline matters for how "on schedule" claims are read later in the study: HSTP itself, the specific operational program this thesis evaluates, is scoped to 2021–2026, a materially shorter and nearer-term horizon than Vision 2030's overall 2030 endpoint. Findings about HSTP's outcomes are considered against both horizons explicitly, rather than treating the two as interchangeable.</w:t>
      </w:r>
    </w:p>
    <w:p w14:paraId="4F4CED25" w14:textId="77777777" w:rsidR="00B63129" w:rsidRDefault="001C3E90">
      <w:r>
        <w:t>Roughly a decade into this transformation, the volume of description of what Vision 2030's health reforms are supposed to do considerably exceeds the volume of evidence on what they have actually done. That gap is the starting point for this thesis.</w:t>
      </w:r>
    </w:p>
    <w:p w14:paraId="553290DD" w14:textId="77777777" w:rsidR="00B63129" w:rsidRDefault="001C3E90">
      <w:pPr>
        <w:pStyle w:val="Heading2"/>
      </w:pPr>
      <w:r>
        <w:t>1.2 Problem Statement</w:t>
      </w:r>
    </w:p>
    <w:p w14:paraId="0FEC41C2" w14:textId="77777777" w:rsidR="00B63129" w:rsidRDefault="001C3E90">
      <w:r>
        <w:t xml:space="preserve">The reform now underway asks Saudi citizens to relate to their health system differently than they have for two generations. Care is now a service mediated by mandatory insurance and a regulated private market, delivered by a state that has stepped back from direct provision, in place of the unconditional entitlement it was before. That is a substantial change to what has </w:t>
      </w:r>
      <w:r>
        <w:lastRenderedPageBreak/>
        <w:t>functioned as an informal social contract, and it raises questions that are economic, social, and administrative in roughly equal measure.</w:t>
      </w:r>
    </w:p>
    <w:p w14:paraId="75A37049" w14:textId="77777777" w:rsidR="00B63129" w:rsidRDefault="001C3E90">
      <w:r>
        <w:t>On the economic side, the central claim behind HSTP is that corporatizing hospital operations and shifting financing toward insurance will reduce the fiscal burden on the state while improving efficiency. Whether that claim holds is, at this point, an empirical question rather than a settled fact. A corporatized system could equally shift costs sideways, onto private insurers, onto employers who fund employee coverage, and eventually onto out-of-pocket household spending, without reducing overall system cos</w:t>
      </w:r>
      <w:r>
        <w:t>t at all. There is also a standard risk in this kind of transition: if the new regional Health Clusters or private entrants gain effective monopoly power over specific services or geographies, prices can rise rather than fall, producing a system that is more expensive to access rather than more efficient.</w:t>
      </w:r>
    </w:p>
    <w:p w14:paraId="1A17A54C" w14:textId="77777777" w:rsidR="00B63129" w:rsidRDefault="001C3E90">
      <w:r>
        <w:t>On the social side, a rapid corporatization of a public good tends to produce uneven results across geography and income unless it is actively managed against that outcome. Riyadh, Jeddah, and Dammam are already visibly ahead in private hospital investment and in the rollout of new Health Cluster infrastructure; whether the same holds for the Northern Borders, Asir, or other less urbanized regions is a separate and open question. Sehaty and Nafis illustrate a parallel risk in digital form: tools that meanin</w:t>
      </w:r>
      <w:r>
        <w:t>gfully improve access for a digitally fluent, urban population can function as a barrier for citizens who are older, less connected, or unfamiliar with smartphone-based services, if the digital channel becomes the primary channel rather than one option among several.</w:t>
      </w:r>
    </w:p>
    <w:p w14:paraId="182D02FE" w14:textId="77777777" w:rsidR="00B63129" w:rsidRDefault="001C3E90">
      <w:r>
        <w:t xml:space="preserve">On the administrative side, the question is whether the Health Holding Company and its regional clusters have gained real operating autonomy or only a formal legal status that leaves substantive control with central government, the same distinction Preker and Harding's (2003) comparative work on hospital corporatization identifies as the point where reforms of this type most often fall short of their own design. A cluster with formal autonomy but no </w:t>
      </w:r>
      <w:r>
        <w:lastRenderedPageBreak/>
        <w:t>practical latitude over staffing, procurement, or budget allocation would behave, in the outcomes it produces, much like the ministry department it formally replaced, even though the organizational chart has changed. This is a harder question to answer from public data than the economic or social dimensions above, since it turns on internal governance practices that are not routinely disclosed.</w:t>
      </w:r>
    </w:p>
    <w:p w14:paraId="11D88E76" w14:textId="77777777" w:rsidR="00B63129" w:rsidRDefault="001C3E90">
      <w:r>
        <w:t>The research reviewed for this thesis (see Chapter 2) shows that these questions have not gone unaddressed in the academic literature: there is a growing body of published work describing HSTP's institutional design, documenting the creation of the HHC and Health Clusters, and reviewing the insurance system's coverage expansion. What is comparatively scarce is empirical synthesis that tests the reform's own stated claims (efficiency, quality, equity, and financial protection) against longitudinal data, rath</w:t>
      </w:r>
      <w:r>
        <w:t>er than describing the policy architecture on its own terms. This thesis is positioned in that narrower gap: not as the first study of Vision 2030's health reforms, but as an attempt to evaluate them against the economic and social outcomes the reform explicitly promised to deliver.</w:t>
      </w:r>
    </w:p>
    <w:p w14:paraId="3BDE0395" w14:textId="77777777" w:rsidR="00B63129" w:rsidRDefault="001C3E90">
      <w:pPr>
        <w:pStyle w:val="Heading2"/>
      </w:pPr>
      <w:r>
        <w:t>1.3 Theoretical Framework</w:t>
      </w:r>
    </w:p>
    <w:p w14:paraId="4F3C463E" w14:textId="77777777" w:rsidR="00B63129" w:rsidRDefault="001C3E90">
      <w:r>
        <w:t>Evaluating what a national health reform programme has done to a health system requires a prior account of what a health system is, what it is for, and what the available instruments of reform actually are. This section builds that account from general concepts toward the specific analytical apparatus this study applies. It begins with the definition and functional anatomy of health systems, moves through the comparative typology of financing and organizational models, defines health sector reform and its r</w:t>
      </w:r>
      <w:r>
        <w:t>ecognised varieties and drivers, and then introduces the political-economy, organizational, financing, behavioural, social, and technological theories that bear on the Saudi case. The final subsection narrows this material to the interpretive lenses used in the analysis of the four hypotheses stated earlier in this chapter.</w:t>
      </w:r>
    </w:p>
    <w:p w14:paraId="565F8D91" w14:textId="77777777" w:rsidR="00B63129" w:rsidRDefault="001C3E90">
      <w:pPr>
        <w:pStyle w:val="Heading3"/>
      </w:pPr>
      <w:r>
        <w:lastRenderedPageBreak/>
        <w:t>1.3.1 The Health System: Definition, Building Blocks, and Goals</w:t>
      </w:r>
    </w:p>
    <w:p w14:paraId="2AC6D3BC" w14:textId="77777777" w:rsidR="00B63129" w:rsidRDefault="001C3E90">
      <w:r>
        <w:t>The World Health Organization defines a health system as comprising all organizations, people, and actions whose primary intent is to promote, restore, or maintain health (WHO, 2007). The definition is deliberately broad. It extends past hospitals and clinics to the ministries that finance and steward the sector, the training institutions that produce its workforce, the supply chains that deliver medicines, and the information infrastructure through which performance becomes visible to those who manage it.</w:t>
      </w:r>
    </w:p>
    <w:p w14:paraId="28B5A7E5" w14:textId="77777777" w:rsidR="00B63129" w:rsidRDefault="001C3E90">
      <w:r>
        <w:t>WHO's framework for action disaggregates the system into six building blocks: service delivery; the health workforce; health information systems; access to essential medical products, vaccines, and technologies; health financing; and leadership and governance (WHO, 2007). Each block is a distinct object of policy with its own inputs, its own bottlenecks, and its own indicators. The framework then specifies what the assembled system is supposed to produce: improved health in both level and distribution, resp</w:t>
      </w:r>
      <w:r>
        <w:t>onsiveness to the legitimate non-health expectations of the population, social and financial risk protection, and improved efficiency in the use of resources.</w:t>
      </w:r>
    </w:p>
    <w:p w14:paraId="5BF6B270" w14:textId="77777777" w:rsidR="00B63129" w:rsidRDefault="001C3E90">
      <w:r>
        <w:t>Two features of this framework matter for the present study. The first is that the goals are plural and can conflict. Efficiency gains obtained by concentrating specialised services in high-volume centres may worsen geographic access; expanding the covered population without expanding the benefit package may improve one dimension of financial protection while leaving another untouched. Evaluating a reform therefore means evaluating it against several goals at once rather than against a single headline outco</w:t>
      </w:r>
      <w:r>
        <w:t>me. The second is that the building blocks framework is descriptive rather than causal. It identifies where a system can be acted upon but does not specify which levers produce which outcomes through which mechanism. That gap is what the reform-evaluation literature discussed in subsection 1.3.10 was developed to fill.</w:t>
      </w:r>
    </w:p>
    <w:p w14:paraId="22286003" w14:textId="77777777" w:rsidR="00B63129" w:rsidRDefault="001C3E90">
      <w:pPr>
        <w:pStyle w:val="Heading3"/>
      </w:pPr>
      <w:r>
        <w:lastRenderedPageBreak/>
        <w:t>1.3.2 Comparative Models of Health System Financing and Organization</w:t>
      </w:r>
    </w:p>
    <w:p w14:paraId="01F80718" w14:textId="77777777" w:rsidR="00B63129" w:rsidRDefault="001C3E90">
      <w:r>
        <w:t>Health financing is conventionally decomposed into three functions: revenue collection, the pooling of prepaid resources, and the purchasing of services from providers (Kutzin, 2001). Kutzin's contribution was to insist that these functions are policy instruments and must be kept analytically separate from the objectives they serve, chiefly the protection of households against the financial consequences of illness. The distinction disciplines the comparative analysis of national systems, because two countri</w:t>
      </w:r>
      <w:r>
        <w:t>es can adopt the same instrument, such as mandatory insurance, and achieve opposite results depending on how the pool is constituted and how purchasing is conducted. It also disciplines the evaluation of reform: a change in the revenue source is not by itself evidence of anything about coverage, and a change in provider payment is not by itself evidence of anything about efficiency.</w:t>
      </w:r>
    </w:p>
    <w:p w14:paraId="2334D972" w14:textId="77777777" w:rsidR="00B63129" w:rsidRDefault="001C3E90">
      <w:r>
        <w:t>The standard comparative typology of national systems is organised around who regulates, who finances, and who provides. The tax-financed national health service model, associated with the Beveridge tradition, draws revenue from general taxation, is regulated by the state, and typically delivers care through publicly owned and publicly employed provision. The social health insurance model, associated with the Bismarck tradition, draws revenue from earmarked payroll contributions administered by quasi-autono</w:t>
      </w:r>
      <w:r>
        <w:t>mous sickness funds, with provision often in private or non-state hands. National health insurance combines predominantly public financing through a single or dominant payer with mixed or private provision. At the other end sits the predominantly private system, in which financing rests on voluntary private insurance and direct household payment, and where regulation and provision are largely private. Böhm, Schmid, Götze, Landwehr, and Rothgang (2013) formalised this into a deductive classification across t</w:t>
      </w:r>
      <w:r>
        <w:t xml:space="preserve">he dimensions of regulation, financing, and service provision, each attributable to state, societal, or private actors, and argued for a hierarchy in which regulation constrains financing and financing constrains provision. Their </w:t>
      </w:r>
      <w:r>
        <w:lastRenderedPageBreak/>
        <w:t>empirical application to thirty OECD countries yields five types: the National Health Service, National Health Insurance, Social Health Insurance, Etatist Social Health Insurance, and the Private Health System.</w:t>
      </w:r>
    </w:p>
    <w:p w14:paraId="3D86A6F5" w14:textId="77777777" w:rsidR="00B63129" w:rsidRDefault="001C3E90">
      <w:r>
        <w:t>The typology positions the Saudi case awkwardly, and the awkwardness is analytically productive. In its financing and provision arrangements, the historic Saudi system resembles the national health service type: state-regulated, state-financed, and delivered through publicly owned facilities free at the point of use for citizens. Its revenue base, however, is not general taxation of domestic economic activity but hydrocarbon rent, which places it outside the fiscal logic that generated the Beveridge model i</w:t>
      </w:r>
      <w:r>
        <w:t>n the first place. Alongside this sits a mandatory employer-purchased private insurance segment covering expatriate workers in the private sector, which operates on social insurance principles within a system that is otherwise state-allocative. The reform programme evaluated in this study can be read as a movement of this hybrid toward the national health insurance type, in which the state remains the dominant financier and regulator but separates the purchasing function from provision. Whether that movemen</w:t>
      </w:r>
      <w:r>
        <w:t>t has occurred in substance rather than in institutional form is an empirical question the later chapters address.</w:t>
      </w:r>
    </w:p>
    <w:p w14:paraId="71BFECDA" w14:textId="77777777" w:rsidR="00B63129" w:rsidRDefault="001C3E90">
      <w:pPr>
        <w:pStyle w:val="Heading3"/>
      </w:pPr>
      <w:r>
        <w:t>1.3.3 Health Sector Reform: Definition, Types, and Drivers</w:t>
      </w:r>
    </w:p>
    <w:p w14:paraId="6AEE5DF4" w14:textId="77777777" w:rsidR="00B63129" w:rsidRDefault="001C3E90">
      <w:r>
        <w:t xml:space="preserve">Health sector reform is distinguished from routine administrative adjustment by scope, intent, and duration. Cassels (1995) characterises it as sustained and purposeful change directed at the financing, organization, and management of the health system, undertaken to improve the sector's efficiency, equity, and effectiveness. Three elements of that formulation carry weight. Reform is sustained, meaning it is pursued across multiple budget cycles rather than as a single measure. It is purposeful, meaning it </w:t>
      </w:r>
      <w:r>
        <w:t>proceeds from a stated diagnosis and a stated objective, which is what makes it evaluable against its own logic. And it operates on the structural arrangements of the sector rather than on service volumes alone.</w:t>
      </w:r>
    </w:p>
    <w:p w14:paraId="55975618" w14:textId="77777777" w:rsidR="00B63129" w:rsidRDefault="001C3E90">
      <w:r>
        <w:lastRenderedPageBreak/>
        <w:t>Four types of reform are conventionally distinguished by the object they act upon. Financing reform alters where money comes from and how it moves: shifting between tax revenue, contributory insurance, and household payment; changing the composition and size of risk pools; and changing how providers are paid. Organizational and governance reform alters the distribution of authority and ownership: decentralisation to sub-national bodies, the granting of managerial autonomy to previously budget-dependent faci</w:t>
      </w:r>
      <w:r>
        <w:t>lities, corporatization, the separation of purchaser from provider, and the transfer of assets or functions to private operators. Service delivery reform alters the model of care itself: the balance between primary and hospital care, referral and gatekeeping arrangements, the composition and scope of practice of clinical teams, and the pathways through which chronic conditions are managed. Regulatory reform alters the rules under which actors operate: licensing and accreditation, quality standards and their</w:t>
      </w:r>
      <w:r>
        <w:t xml:space="preserve"> enforcement, pricing rules, and the supervision of insurers and private providers. Real reform programmes combine these types, and the interactions between them frequently determine whether any individual measure achieves its intent.</w:t>
      </w:r>
    </w:p>
    <w:p w14:paraId="29CECBAF" w14:textId="77777777" w:rsidR="00B63129" w:rsidRDefault="001C3E90">
      <w:r>
        <w:t xml:space="preserve">The drivers of reform are more uniform across countries than the reforms themselves. Fiscal pressure is the most common: health expenditure growing faster than the revenue base that supports it forces governments either to raise new revenue, to shift costs to households or employers, or to extract more output from existing resources. Demographic change compounds this, since population growth expands the covered population while population ageing raises per-capita utilisation. The epidemiological transition </w:t>
      </w:r>
      <w:r>
        <w:t xml:space="preserve">described by Omran (1971) exerts pressure of a different kind. Omran's thesis was that as mortality declines and life expectancy rises, the dominant causes of death and disability shift from infectious and deficiency conditions toward degenerative and man-made chronic disease. The cost consequence is structural rather than incremental: chronic conditions such as diabetes, </w:t>
      </w:r>
      <w:r>
        <w:lastRenderedPageBreak/>
        <w:t>cardiovascular disease, and their complications generate continuous long-duration expenditure and rising demand for specialised and long-</w:t>
      </w:r>
      <w:r>
        <w:t>term care, in contrast to the episodic, treatable burden that earlier health systems were designed around. Systems built for acute episodic care confront a burden they are organisationally mismatched to, which is why epidemiological transition tends to generate service delivery reform and prevention policy alongside financing reform. Technological cost escalation and rising public expectations of service quality and responsiveness supply the remaining pressure.</w:t>
      </w:r>
    </w:p>
    <w:p w14:paraId="7D68C0CD" w14:textId="77777777" w:rsidR="00B63129" w:rsidRDefault="001C3E90">
      <w:pPr>
        <w:pStyle w:val="Heading3"/>
      </w:pPr>
      <w:r>
        <w:t>1.3.4 Rentier State Theory and State-Financed Welfare Provision</w:t>
      </w:r>
    </w:p>
    <w:p w14:paraId="36B97C92" w14:textId="77777777" w:rsidR="00B63129" w:rsidRDefault="001C3E90">
      <w:r>
        <w:t>Beblawi and Luciani's (1987) analysis of the rentier state explains why welfare provision in the Gulf developed along a distinct path. Where the state's revenue derives predominantly from external rent rather than from taxing domestic production, the fiscal relationship between government and citizen is inverted. The state does not extract and then account for its extraction; it allocates. Public services including healthcare are distributed as a function of the state's revenue position rather than negotiat</w:t>
      </w:r>
      <w:r>
        <w:t>ed against a tax burden, and citizenship confers entitlement rather than purchased or contributed rights. This produces service systems that are generous in nominal coverage, centrally administered, and politically insulated from the cost-containment pressures that taxation creates elsewhere. It also produces a specific vulnerability: because expenditure commitments are indexed to a volatile external revenue stream, the sustainability of provision is hostage to price cycles in a single commodity.</w:t>
      </w:r>
    </w:p>
    <w:p w14:paraId="04ECCFE0" w14:textId="77777777" w:rsidR="00B63129" w:rsidRDefault="001C3E90">
      <w:r>
        <w:t xml:space="preserve">Gray's (2011) concept of late rentierism describes how Gulf states have adapted without abandoning the underlying structure. In his account, the contemporary rentier state engages in deliberate long-range strategic planning, pursues economic diversification, opens selected sectors to private capital and global integration, and adopts the managerial vocabulary of performance and accountability, while retaining centralised control over the direction of </w:t>
      </w:r>
      <w:r>
        <w:lastRenderedPageBreak/>
        <w:t>change and over the rent stream that finances it. Reform under late rentierism is state-directed marketisation rather than state retreat.</w:t>
      </w:r>
    </w:p>
    <w:p w14:paraId="0BEF67E5" w14:textId="77777777" w:rsidR="00B63129" w:rsidRDefault="001C3E90">
      <w:r>
        <w:t>The theoretical consequence for this study is that health reform in Saudi Arabia cannot be adequately read as a technical exercise in system design. Introducing insurance-based financing, cost-sharing, or corporatized provision into a system that citizens have experienced as an unconditional entitlement is a renegotiation of the implicit social contract, not merely a change in administrative arrangements. Rentier theory predicts that such measures will encounter resistance disproportionate to their fiscal m</w:t>
      </w:r>
      <w:r>
        <w:t>agnitude, that the state will be reluctant to impose direct costs on citizens even while restructuring the supply side, and that reform will therefore tend to concentrate on organization, provider payment, and private participation in delivery before it touches the citizen's point-of-use position. Whether the observed reform trajectory conforms to this prediction is directly relevant to the hypothesis concerning financial protection.</w:t>
      </w:r>
    </w:p>
    <w:p w14:paraId="7A717369" w14:textId="77777777" w:rsidR="00B63129" w:rsidRDefault="001C3E90">
      <w:pPr>
        <w:pStyle w:val="Heading3"/>
      </w:pPr>
      <w:r>
        <w:t>1.3.5 Privatization and Corporatization Along the Organizational Continuum</w:t>
      </w:r>
    </w:p>
    <w:p w14:paraId="6D657E53" w14:textId="77777777" w:rsidR="00B63129" w:rsidRDefault="001C3E90">
      <w:r>
        <w:t>Privatization in health systems is frequently discussed as though it were a single act with a binary outcome. Maarse (2006), examining eight European systems, shows that it is neither. He treats privatization as a multi-dimensional phenomenon operating separately on financing, on service provision, on management, and on capital investment, and finds that movement has been incremental and uneven, with the public-private balance shifting in some dimensions while remaining stable in others. A system can privat</w:t>
      </w:r>
      <w:r>
        <w:t>ise management without privatising ownership, or admit private capital into facility construction while retaining public financing of care. Any assessment of privatization therefore has to specify which dimension is in question.</w:t>
      </w:r>
    </w:p>
    <w:p w14:paraId="69AC27AB" w14:textId="77777777" w:rsidR="00B63129" w:rsidRDefault="001C3E90">
      <w:r>
        <w:t xml:space="preserve">Within the provision dimension, Preker and Harding (2003) locate public hospitals along a continuum of organizational forms defined by the allocation of decision rights and the </w:t>
      </w:r>
      <w:r>
        <w:lastRenderedPageBreak/>
        <w:t xml:space="preserve">exposure to consequence. At one end is the budgetary or public-integrated unit, funded through line-item allocations, staffed by civil servants, with limited authority over inputs, prices, or the disposition of surpluses. Autonomization grants managers greater control over operational decisions while leaving ownership and funding largely unchanged. Corporatization moves further, giving the facility a distinct legal personality, a governing board, control over its inputs and internal allocation, exposure to </w:t>
      </w:r>
      <w:r>
        <w:t>market-like pressures through purchasing arrangements, and residual claimant status over its financial results, while retaining public ownership. Full privatization transfers ownership itself. The organizing insight is that the intermediate forms are the interesting ones, because they attempt to capture the managerial advantages associated with private operation while preserving public ownership and public obligations.</w:t>
      </w:r>
    </w:p>
    <w:p w14:paraId="0C7AAC28" w14:textId="77777777" w:rsidR="00B63129" w:rsidRDefault="001C3E90">
      <w:r>
        <w:t>Hood's (1991) account of New Public Management supplies the administrative doctrine behind these moves: hands-on professional management of public units, explicit standards and measurable indicators of performance, a shift from process controls to output controls, disaggregation of large bureaucracies into managed units, contestability in supply, and private-sector styles of resource discipline. Hood's own treatment is analytically sceptical rather than promotional, noting that the doctrine's claims to univ</w:t>
      </w:r>
      <w:r>
        <w:t>ersal applicability rest on contested assumptions about the transferability of private management to public purposes.</w:t>
      </w:r>
    </w:p>
    <w:p w14:paraId="592B369F" w14:textId="77777777" w:rsidR="00B63129" w:rsidRDefault="001C3E90">
      <w:r>
        <w:t xml:space="preserve">Taken together these sources establish the conditions under which corporatization can be expected to deliver. Efficiency gains depend on decision rights being matched by genuine accountability for results, which in turn requires purchasing arrangements capable of reflecting performance. Equity outcomes depend on whether the social functions previously financed implicitly through the budget, including care for unprofitable patients and services in underserved regions, are explicitly funded once the facility </w:t>
      </w:r>
      <w:r>
        <w:t xml:space="preserve">becomes responsible for its own financial position. Where autonomy is granted without matching accountability, or </w:t>
      </w:r>
      <w:r>
        <w:lastRenderedPageBreak/>
        <w:t>where social functions lose their implicit subsidy without gaining an explicit one, the predicted results are the reverse of the intended ones. This provides the analytical structure for interpreting the Saudi health cluster and holding-company arrangements in later chapters.</w:t>
      </w:r>
    </w:p>
    <w:p w14:paraId="69DB6586" w14:textId="77777777" w:rsidR="00B63129" w:rsidRDefault="001C3E90">
      <w:pPr>
        <w:pStyle w:val="Heading3"/>
      </w:pPr>
      <w:r>
        <w:t>1.3.6 Universal Health Coverage, Out-of-Pocket Payment, and Financial Protection</w:t>
      </w:r>
    </w:p>
    <w:p w14:paraId="20D2B7DF" w14:textId="77777777" w:rsidR="00B63129" w:rsidRDefault="001C3E90">
      <w:r>
        <w:t>Universal health coverage is defined as the condition in which all people can obtain the promotive, preventive, curative, rehabilitative, and palliative health services they need, of sufficient quality to be effective, without exposure to financial hardship in paying for them (WHO, 2010). The definition contains two conditions that must hold jointly. A system that delivers effective services while impoverishing those who use them does not satisfy it, and neither does a system that protects households financ</w:t>
      </w:r>
      <w:r>
        <w:t>ially by leaving their needs unmet. WHO's operationalisation represents progress toward this condition along three dimensions: the proportion of the population covered, the range of services included, and the proportion of costs met from pooled funds rather than by the household directly.</w:t>
      </w:r>
    </w:p>
    <w:p w14:paraId="4EE4B8F5" w14:textId="77777777" w:rsidR="00B63129" w:rsidRDefault="001C3E90">
      <w:r>
        <w:t>Out-of-pocket health expenditure is the payment made by households directly to providers at the point of use, including user fees, co-payments and deductibles under insurance, and the full cost of services and goods excluded from coverage. It is the least equitable financing mechanism available, because it allocates the burden according to the incidence of illness rather than the capacity to pay, and because it falls due at the moment when the household's earning capacity is most likely to be compromised. I</w:t>
      </w:r>
      <w:r>
        <w:t>ts second effect is deterrent: households facing direct payment forgo or delay care, so high out-of-pocket reliance suppresses measured utilisation in ways that can be mistaken for low need.</w:t>
      </w:r>
    </w:p>
    <w:p w14:paraId="37986BC4" w14:textId="77777777" w:rsidR="00B63129" w:rsidRDefault="001C3E90">
      <w:r>
        <w:t xml:space="preserve">Catastrophic health expenditure formalises the point at which out-of-pocket payment disrupts a household's ability to meet its other obligations. Xu, Evans, Kawabata, Zeramdini, Klavus, and Murray (2003), analysing household survey data across fifty-nine countries, define such expenditure as out-of-pocket payment exceeding a threshold share of a household's capacity </w:t>
      </w:r>
      <w:r>
        <w:lastRenderedPageBreak/>
        <w:t>to pay, defined as effective income remaining after subsistence needs are met, and find that the phenomenon is not rare and is strongly associated with reliance on direct payment in the absence of prepayment mechanisms. Wagstaff and van Doorslaer (2003) develop the measurement apparatus further, distinguishing the incidence of catastrophic payment from its intensity, and separating catastrophic payment from impoverishment, the distinct outcome in which health payments push a household below the poverty line</w:t>
      </w:r>
      <w:r>
        <w:t xml:space="preserve"> or push an already-poor household deeper beneath it. Global monitoring under the Sustainable Development Goal framework has applied thresholds of ten and twenty-five per cent of total household consumption or income to track large out-of-pocket spending across countries (WHO &amp; World Bank, 2023).</w:t>
      </w:r>
    </w:p>
    <w:p w14:paraId="6D6B1318" w14:textId="77777777" w:rsidR="00B63129" w:rsidRDefault="001C3E90">
      <w:r>
        <w:t>These concepts constrain what can be inferred from the introduction of mandatory or expanded health insurance. Insurance reduces financial exposure only to the extent that the benefit package covers the services households actually use, that cost-sharing within the package is bounded, and that the population most exposed to catastrophic payment is inside the covered group rather than outside it. Coverage expansion measured by enrolment is therefore an input indicator, not evidence of financial protection, a</w:t>
      </w:r>
      <w:r>
        <w:t>nd the two must be assessed separately.</w:t>
      </w:r>
    </w:p>
    <w:p w14:paraId="3FC87834" w14:textId="77777777" w:rsidR="00B63129" w:rsidRDefault="001C3E90">
      <w:pPr>
        <w:pStyle w:val="Heading3"/>
      </w:pPr>
      <w:r>
        <w:t>1.3.7 Agency Theory and Information Asymmetry in Health Care</w:t>
      </w:r>
    </w:p>
    <w:p w14:paraId="08B83FBB" w14:textId="77777777" w:rsidR="00B63129" w:rsidRDefault="001C3E90">
      <w:r>
        <w:t>Arrow's (1963) analysis established why healthcare markets do not behave like markets for ordinary goods. The patient cannot reliably evaluate the necessity of a recommended intervention or the competence with which it is performed, and faces uncertainty both about whether illness will occur and about whether treatment will work. This places the physician in the position of agent acting on behalf of a principal who cannot monitor the agent's performance, and creates a standing incentive toward supplier-indu</w:t>
      </w:r>
      <w:r>
        <w:t>ced demand wherever the agent's income depends on the volume or intensity of services supplied.</w:t>
      </w:r>
    </w:p>
    <w:p w14:paraId="1F719E6F" w14:textId="77777777" w:rsidR="00B63129" w:rsidRDefault="001C3E90">
      <w:r>
        <w:lastRenderedPageBreak/>
        <w:t>Third-party payment complicates the structure rather than resolving it. Once an insurer or public purchaser stands between patient and provider, the provider becomes agent to two principals whose interests diverge, and the patient's own price sensitivity falls, producing the moral hazard problem in which insured utilisation exceeds what the patient would choose at full cost. The direction of the resulting distortion is determined by the payment mechanism. Fee-for-service payment rewards volume and intensity</w:t>
      </w:r>
      <w:r>
        <w:t xml:space="preserve"> and biases toward over-provision; capitation and global budgets transfer financial risk to the provider and bias toward under-provision and the avoidance of costly patients. Neither is neutral, and the choice between them is a choice about which failure mode the system will tolerate. This is why provider payment design, purchasing capability, and regulatory oversight are the instruments through which agency problems are managed rather than eliminated, and why they are examined directly in the analysis of e</w:t>
      </w:r>
      <w:r>
        <w:t>fficiency and quality outcomes.</w:t>
      </w:r>
    </w:p>
    <w:p w14:paraId="64D7D653" w14:textId="77777777" w:rsidR="00B63129" w:rsidRDefault="001C3E90">
      <w:pPr>
        <w:pStyle w:val="Heading3"/>
      </w:pPr>
      <w:r>
        <w:t>1.3.8 Social Determinants of Health and Health Equity</w:t>
      </w:r>
    </w:p>
    <w:p w14:paraId="47460B5D" w14:textId="77777777" w:rsidR="00B63129" w:rsidRDefault="001C3E90">
      <w:r>
        <w:t>The social determinants perspective holds that the distribution of health within a population is shaped principally by conditions outside the clinical encounter. The WHO Commission on Social Determinants of Health (2008) identifies these as the circumstances in which people are born, grow, live, work, and age, together with the structural drivers that distribute those circumstances unequally: the distribution of income, power, and resources at global, national, and local levels. The Commission's action fram</w:t>
      </w:r>
      <w:r>
        <w:t xml:space="preserve">ework accordingly addresses daily living conditions, the structural inequities that produce them, and the measurement and evaluation capacity needed to track both. Wilkinson and Marmot (2003) set out the empirical basis in accessible form, documenting the social gradient in health, in which health outcomes worsen step-wise down the socio-economic hierarchy rather than dividing the population into a deprived minority and a healthy remainder, and identifying stress, early childhood conditions, </w:t>
      </w:r>
      <w:r>
        <w:lastRenderedPageBreak/>
        <w:t>social exclusio</w:t>
      </w:r>
      <w:r>
        <w:t>n, work and unemployment, social support, addiction, food, and transport as pathways through which social position translates into physiological outcome.</w:t>
      </w:r>
    </w:p>
    <w:p w14:paraId="652EC720" w14:textId="77777777" w:rsidR="00B63129" w:rsidRDefault="001C3E90">
      <w:r>
        <w:t>Health equity is defined against this background as the absence of systematic differences in health that are avoidable and unjust, which is distinct from the absence of all variation. The distinction between horizontal equity, equal treatment for equal need, and vertical equity, appropriately differentiated treatment for differing need, matters when evaluating whether a uniform national policy has equitable effects. So does the distinction between equity of access, equity of utilisation, and equity of outco</w:t>
      </w:r>
      <w:r>
        <w:t>me, since a policy can improve one while leaving the others unmoved. Geographic distribution operates as a determinant in its own right: where specialised capacity concentrates in metropolitan centres, distance and travel cost function as effective barriers regardless of nominal entitlement.</w:t>
      </w:r>
    </w:p>
    <w:p w14:paraId="4E99F662" w14:textId="77777777" w:rsidR="00B63129" w:rsidRDefault="001C3E90">
      <w:r>
        <w:t>The consequence for this study is a constraint on inference. Improvements in national aggregate indicators are consistent with widening internal gaps, since national means can rise while the distribution around them disperses. Assessing whether a reform has advanced equity therefore requires attention to how outcomes are distributed across regions and socio-economic groups, and requires acknowledging that a reform confined to the health sector operates on only part of the causal structure that produces obse</w:t>
      </w:r>
      <w:r>
        <w:t>rved inequalities.</w:t>
      </w:r>
    </w:p>
    <w:p w14:paraId="038DECB1" w14:textId="77777777" w:rsidR="00B63129" w:rsidRDefault="001C3E90">
      <w:pPr>
        <w:pStyle w:val="Heading3"/>
      </w:pPr>
      <w:r>
        <w:t>1.3.9 Digital Health and the Theory of the Digital Divide</w:t>
      </w:r>
    </w:p>
    <w:p w14:paraId="76BDE2AB" w14:textId="77777777" w:rsidR="00B63129" w:rsidRDefault="001C3E90">
      <w:r>
        <w:t xml:space="preserve">Digital health denotes the use of information and communication technologies in the financing, organization, and delivery of care, encompassing electronic health records and their interoperability, telemedicine and remote consultation, electronic prescribing and referral, mobile health applications, and the national platforms through which patients access services and administrators access data. Its theorised benefits operate on several building blocks at once: information systems gain data that governance </w:t>
      </w:r>
      <w:r>
        <w:t xml:space="preserve">can act upon, service delivery </w:t>
      </w:r>
      <w:r>
        <w:lastRenderedPageBreak/>
        <w:t>gains channels that are not constrained by geography, and financing gains the transactional visibility that purchasing arrangements require.</w:t>
      </w:r>
    </w:p>
    <w:p w14:paraId="6DADA5F1" w14:textId="77777777" w:rsidR="00B63129" w:rsidRDefault="001C3E90">
      <w:r>
        <w:t>The distributional consequences of digital delivery are the subject of digital divide theory. Van Dijk (2005) argues against treating the divide as a binary distinction between those with and without connectivity, proposing instead a cumulative and sequential model of four forms of access: motivational access, meaning the disposition to use the technology at all; material or physical access to devices and connections; skills access, comprising the operational, informational, and strategic competences requir</w:t>
      </w:r>
      <w:r>
        <w:t>ed to use the technology productively; and usage access, meaning the actual application of the technology to purposes that yield benefit. Each stage conditions the next, so that resolving physical access does not resolve the divide but relocates it to skills and usage. Van Dijk's central claim is that these forms of access are distributed according to existing social inequalities of education, income, age, and occupation, so that digital technologies tend to reproduce and in some respects deepen the stratif</w:t>
      </w:r>
      <w:r>
        <w:t>ication of the societies that adopt them rather than flattening it.</w:t>
      </w:r>
    </w:p>
    <w:p w14:paraId="39C3F714" w14:textId="77777777" w:rsidR="00B63129" w:rsidRDefault="001C3E90">
      <w:r>
        <w:t>Applied to health, this yields a determinate analytical caution. A digitally mediated service channel can raise aggregate access and utilisation while simultaneously widening relative disparities, because the populations best positioned to convert a new channel into realised benefit are those already advantaged in education, income, and connectivity, while elderly patients, those with limited literacy or digital skills, low-income households, and residents of areas with weaker infrastructure convert it leas</w:t>
      </w:r>
      <w:r>
        <w:t>t. High adoption figures for a digital health platform are therefore not evidence about equity, and are compatible with either a narrowing or a widening of the gaps that matter. The equity implications of digital transformation must be assessed distributionally rather than read off aggregate uptake.</w:t>
      </w:r>
    </w:p>
    <w:p w14:paraId="2DEA7CBA" w14:textId="77777777" w:rsidR="00B63129" w:rsidRDefault="001C3E90">
      <w:pPr>
        <w:pStyle w:val="Heading3"/>
      </w:pPr>
      <w:r>
        <w:lastRenderedPageBreak/>
        <w:t>1.3.10 From General Theory to the Analytical Lenses of This Study</w:t>
      </w:r>
    </w:p>
    <w:p w14:paraId="17BFC9D5" w14:textId="77777777" w:rsidR="00B63129" w:rsidRDefault="001C3E90">
      <w:r>
        <w:t>The material above establishes the components of a health system, the models by which such systems are financed and organised, the recognised varieties and drivers of reform, and the political-economy, organizational, financing, behavioural, social, and technological theories bearing on the Saudi case. What remains is to connect reform instruments to reform outcomes in a form that can carry an evaluation.</w:t>
      </w:r>
    </w:p>
    <w:p w14:paraId="33AEB730" w14:textId="77777777" w:rsidR="00B63129" w:rsidRDefault="001C3E90">
      <w:r>
        <w:t>Roberts, Hsiao, Berman, and Reich (2003) provide that connection through the control knobs framework. They identify five instruments through which governments can deliberately alter health system performance: financing, which determines how resources are raised and pooled; payment, which determines how money reaches providers and what behaviour it rewards; organization, which determines the structure, ownership, and competitive position of provider entities; regulation, which sets and enforces the rules und</w:t>
      </w:r>
      <w:r>
        <w:t>er which actors operate; and behaviour, which addresses the conduct of patients and providers directly. These instruments are assessed against performance goals of health status, citizen satisfaction, and financial risk protection, mediated by the intermediate performance measures of efficiency, access, and quality. The framework's value for this study is that it is explicitly evaluative rather than descriptive: it treats reform as a set of chosen interventions whose effects on specified outcomes can be tra</w:t>
      </w:r>
      <w:r>
        <w:t>ced and assessed, and it insists that the intermediate measures are where the causal work becomes visible. The Health Sector Transformation Program operates on all five knobs, which makes the framework an appropriate organising structure for the analysis that follows.</w:t>
      </w:r>
    </w:p>
    <w:p w14:paraId="50B678DD" w14:textId="77777777" w:rsidR="00B63129" w:rsidRDefault="001C3E90">
      <w:r>
        <w:t xml:space="preserve">Within that structure, this study interprets its findings through three complementary lenses. The first is Theory of Change, in the sense established by Weiss (1995), which requires that the causal logic implicit in a programme be made explicit as a chain running from inputs and activities through intermediate outcomes to intended results, so that evaluation can test </w:t>
      </w:r>
      <w:r>
        <w:lastRenderedPageBreak/>
        <w:t>whether the assumed intermediate steps have in fact occurred rather than testing only the endpoint. Applied here, it means reconstructing the causal chain the Health Sector Transformation Program asserts, from corporatized clusters and expanded insurance to improved efficiency, quality, equity, and protection, and identifying at which link the available evidence supports the chain and at which link it does not.</w:t>
      </w:r>
    </w:p>
    <w:p w14:paraId="03479A9E" w14:textId="77777777" w:rsidR="00B63129" w:rsidRDefault="001C3E90">
      <w:r>
        <w:t>The second is agency theory, following Arrow (1963), applied to the relationships created by the separation of purchasing from provision and by the reform of provider payment. It supplies the mechanism through which organizational restructuring is expected to alter provider behaviour, and it identifies the conditions under which the intended effect fails, principally where monitoring capacity is insufficient for the payment mechanism adopted, or where accountability has not followed the transfer of decision</w:t>
      </w:r>
      <w:r>
        <w:t xml:space="preserve"> rights.</w:t>
      </w:r>
    </w:p>
    <w:p w14:paraId="6D035B30" w14:textId="77777777" w:rsidR="00B63129" w:rsidRDefault="001C3E90">
      <w:r>
        <w:t>The third is the social determinants and health equity perspective established by the WHO Commission on Social Determinants of Health (2008) and Wilkinson and Marmot (2003), applied to the distribution of outcomes across regions and socio-economic groups. It supplies the standard against which distributional claims are assessed and the reason for treating national aggregates as insufficient evidence of equitable improvement.</w:t>
      </w:r>
    </w:p>
    <w:p w14:paraId="34CE3EB2" w14:textId="77777777" w:rsidR="00B63129" w:rsidRDefault="001C3E90">
      <w:r>
        <w:t>These lenses map onto the hypotheses set out earlier in this chapter. Hypothesis 1 (efficiency) is examined primarily through the organization and payment knobs and interpreted through agency theory. Hypothesis 2 (quality) draws on the same instruments together with regulation, and is likewise interpreted through the agency relationship between purchaser, provider, and patient. Hypothesis 3 (equity) is examined through the social determinants lens and the distributional standards it entails. Hypothesis 4 (i</w:t>
      </w:r>
      <w:r>
        <w:t xml:space="preserve">nsurance and financial protection) is examined through the financing knob and interpreted using the universal health coverage, out-of-pocket expenditure, and catastrophic expenditure concepts defined in Section 1.3.6, with rentier state theory supplying the political-economy explanation for the particular </w:t>
      </w:r>
      <w:r>
        <w:lastRenderedPageBreak/>
        <w:t>sequence in which financing reform has been pursued. The detailed application of each lens to the study's findings is developed in the analytical chapters; the purpose here has been to establish the theore</w:t>
      </w:r>
      <w:r>
        <w:t>tical ground on which that application rests.</w:t>
      </w:r>
    </w:p>
    <w:p w14:paraId="6747FF9D" w14:textId="77777777" w:rsidR="00B63129" w:rsidRDefault="001C3E90">
      <w:pPr>
        <w:pStyle w:val="Heading2"/>
      </w:pPr>
      <w:r>
        <w:t>1.4 Significance of the Study</w:t>
      </w:r>
    </w:p>
    <w:p w14:paraId="502618C7" w14:textId="77777777" w:rsidR="00B63129" w:rsidRDefault="001C3E90">
      <w:r>
        <w:rPr>
          <w:b/>
        </w:rPr>
        <w:t>Theoretical significance:</w:t>
      </w:r>
      <w:r>
        <w:t xml:space="preserve"> most of the scholarship on healthcare privatization and corporatization is built on Western, already-industrialized cases: the UK's NHS reforms, Australia's system, and the wave of restructuring across Latin America and Eastern Europe in the 1990s. Saudi Arabia is a different case: a resource-rich state voluntarily dismantling elements of its own welfare provision while still possessing the fiscal capacity to fund the old model, motivated by long-run sustainability rather than short-run crisis. This case s</w:t>
      </w:r>
      <w:r>
        <w:t>its within a growing, though still developing, literature on "late rentierism" (Gray, 2011) and Saudi-specific reform political economy (Hertog, 2024), which this thesis draws on rather than treats as absent; the more precise claim, developed further in Chapter 2, is that this literature is well populated on institutional description but thin specifically on empirical, outcome-focused evaluation of the health sector, which is the gap this thesis addresses. This thesis's claims are scoped to Saudi Arabia; an</w:t>
      </w:r>
      <w:r>
        <w:t xml:space="preserve">y relevance to other Gulf states pursuing similar diversification agendas is left for future comparative work rather than asserted here. The one partial exception, discussed in Chapter 2, is the regional health-economics-capacity literature (AlRuthia et al., 2025), which situates Saudi Arabia's specific PPP pipeline pattern inside a documented GCC-wide trend rather than treating it as a country-specific anomaly; even there, this thesis draws on the regional literature to interpret a Saudi-specific finding, </w:t>
      </w:r>
      <w:r>
        <w:t>rather than extending the Saudi finding outward to claim anything about the other five GCC states.</w:t>
      </w:r>
    </w:p>
    <w:p w14:paraId="609175F7" w14:textId="77777777" w:rsidR="00B63129" w:rsidRDefault="001C3E90">
      <w:r>
        <w:rPr>
          <w:b/>
        </w:rPr>
        <w:t>Practical significance:</w:t>
      </w:r>
      <w:r>
        <w:t xml:space="preserve"> for the Ministry of Health, the Health Holding Company, and the Council of Health Insurance, an independent, data-grounded assessment of where the reform is and is not meeting its own targets functions as a diagnostic rather than an endorsement or </w:t>
      </w:r>
      <w:r>
        <w:lastRenderedPageBreak/>
        <w:t>an indictment: the kind of input that allows a correction mid-course rather than after the 2030 deadline has passed. For investors evaluating the Saudi healthcare market, the same analysis clarifies where demand, insurance coverage, and regulatory risk actually s</w:t>
      </w:r>
      <w:r>
        <w:t>tand, as opposed to where the policy documents project them to stand. For Saudi citizens, whose relationship with the health system is what is actually changing, this thesis attempts to hold the reform to the concrete outcomes (cost, access, quality) that determine whether the transformation is felt as an improvement or as a cost shifted downward. For the roughly one-third of Saudi Arabia's population that is expatriate, and whose insurance coverage is tied to formal employment rather than citizenship, this</w:t>
      </w:r>
      <w:r>
        <w:t xml:space="preserve"> thesis's attention to the dependent-levy policy's effect on insurance enrollment is relevant in its own right: it identifies a specific, dated policy lever, separate from the reform's healthcare-specific mechanisms, with a demonstrable bearing on coverage for a population without the citizen-facing MOH fallback. The analysis is framed against UN Sustainable Development Goal 3 (health and well-being) and Goal 10 (reduced inequality), both of which the Saudi government has itself invoked in connection with V</w:t>
      </w:r>
      <w:r>
        <w:t>ision 2030.</w:t>
      </w:r>
    </w:p>
    <w:p w14:paraId="47675F3E" w14:textId="77777777" w:rsidR="00B63129" w:rsidRDefault="001C3E90">
      <w:pPr>
        <w:pStyle w:val="Heading2"/>
      </w:pPr>
      <w:r>
        <w:t>1.5 Objectives of the Study</w:t>
      </w:r>
    </w:p>
    <w:p w14:paraId="63BDB78C" w14:textId="77777777" w:rsidR="00B63129" w:rsidRDefault="001C3E90">
      <w:r>
        <w:t>This thesis pursues five objectives:</w:t>
      </w:r>
    </w:p>
    <w:p w14:paraId="00375087" w14:textId="77777777" w:rsidR="00B63129" w:rsidRDefault="001C3E90">
      <w:pPr>
        <w:pStyle w:val="ListNumber"/>
        <w:spacing w:line="360" w:lineRule="auto"/>
      </w:pPr>
      <w:r>
        <w:t>To assess whether the shift of operational authority from the MOH to the Health Holding Company and regional Health Clusters is associated with a measurable change in government health expenditure.</w:t>
      </w:r>
    </w:p>
    <w:p w14:paraId="6518F646" w14:textId="77777777" w:rsidR="00B63129" w:rsidRDefault="001C3E90">
      <w:pPr>
        <w:pStyle w:val="ListNumber"/>
        <w:spacing w:line="360" w:lineRule="auto"/>
      </w:pPr>
      <w:r>
        <w:t>To evaluate how the expansion of mandatory cooperative health insurance has affected out-of-pocket healthcare spending by Saudi households.</w:t>
      </w:r>
    </w:p>
    <w:p w14:paraId="09ACD438" w14:textId="77777777" w:rsidR="00B63129" w:rsidRDefault="001C3E90">
      <w:pPr>
        <w:pStyle w:val="ListNumber"/>
        <w:spacing w:line="360" w:lineRule="auto"/>
      </w:pPr>
      <w:r>
        <w:t>To assess whether the shift toward value-based, corporatized care is associated with improvements in patient-reported quality and satisfaction, drawing on the existing body of published survey research.</w:t>
      </w:r>
    </w:p>
    <w:p w14:paraId="465622B6" w14:textId="77777777" w:rsidR="00B63129" w:rsidRDefault="001C3E90">
      <w:pPr>
        <w:pStyle w:val="ListNumber"/>
        <w:spacing w:line="360" w:lineRule="auto"/>
      </w:pPr>
      <w:r>
        <w:lastRenderedPageBreak/>
        <w:t>To examine whether digital health platforms (Sehaty, Nafis) and broader Health Cluster investment are distributed evenly across urban and rural regions, or whether they track existing geographic advantage.</w:t>
      </w:r>
    </w:p>
    <w:p w14:paraId="717E8D0F" w14:textId="77777777" w:rsidR="00B63129" w:rsidRDefault="001C3E90">
      <w:pPr>
        <w:pStyle w:val="ListNumber"/>
        <w:spacing w:line="360" w:lineRule="auto"/>
      </w:pPr>
      <w:r>
        <w:t>To identify the structural and data-availability constraints that limit a full assessment of HSTP's socio-economic impact at this stage, and to set out what a future, primary-data study would need to resolve them.</w:t>
      </w:r>
    </w:p>
    <w:p w14:paraId="1EF67CB3" w14:textId="77777777" w:rsidR="00B63129" w:rsidRDefault="001C3E90">
      <w:pPr>
        <w:pStyle w:val="Heading2"/>
      </w:pPr>
      <w:r>
        <w:t>1.6 Research Questions</w:t>
      </w:r>
    </w:p>
    <w:p w14:paraId="711AA96E" w14:textId="77777777" w:rsidR="00B63129" w:rsidRDefault="001C3E90">
      <w:r>
        <w:rPr>
          <w:b/>
        </w:rPr>
        <w:t>Economic</w:t>
      </w:r>
    </w:p>
    <w:p w14:paraId="26E2C8F7" w14:textId="77777777" w:rsidR="00B63129" w:rsidRDefault="001C3E90">
      <w:pPr>
        <w:pStyle w:val="ListNumber"/>
        <w:spacing w:line="360" w:lineRule="auto"/>
      </w:pPr>
      <w:r>
        <w:t>Is the shift toward regional Health Clusters and public-private partnerships associated with a reduction in government health expenditure as a share of GDP or national budget?</w:t>
      </w:r>
    </w:p>
    <w:p w14:paraId="654463B3" w14:textId="77777777" w:rsidR="00B63129" w:rsidRDefault="001C3E90">
      <w:pPr>
        <w:pStyle w:val="ListNumber"/>
        <w:spacing w:line="360" w:lineRule="auto"/>
      </w:pPr>
      <w:r>
        <w:t>How has the expansion of mandatory health insurance affected household out-of-pocket healthcare spending, and what does that trend suggest about investor confidence in the sector?</w:t>
      </w:r>
    </w:p>
    <w:p w14:paraId="0BB1BE2B" w14:textId="77777777" w:rsidR="00B63129" w:rsidRDefault="001C3E90">
      <w:r>
        <w:rPr>
          <w:b/>
        </w:rPr>
        <w:t>Social</w:t>
      </w:r>
    </w:p>
    <w:p w14:paraId="3CD93FED" w14:textId="77777777" w:rsidR="00B63129" w:rsidRDefault="001C3E90">
      <w:pPr>
        <w:pStyle w:val="ListNumber"/>
        <w:spacing w:line="360" w:lineRule="auto"/>
      </w:pPr>
      <w:r>
        <w:t>Does the existing published evidence on patient satisfaction support the claim that corporatized, value-based care has improved perceived quality of care?</w:t>
      </w:r>
    </w:p>
    <w:p w14:paraId="75764BCC" w14:textId="77777777" w:rsidR="00B63129" w:rsidRDefault="001C3E90">
      <w:pPr>
        <w:pStyle w:val="ListNumber"/>
        <w:spacing w:line="360" w:lineRule="auto"/>
      </w:pPr>
      <w:r>
        <w:t>Is there a measurable gap between healthcare access and quality in Riyadh, Jeddah, and Dammam compared with less urbanized regions?</w:t>
      </w:r>
    </w:p>
    <w:p w14:paraId="5646D61B" w14:textId="77777777" w:rsidR="00B63129" w:rsidRDefault="001C3E90">
      <w:r>
        <w:rPr>
          <w:b/>
        </w:rPr>
        <w:t>Technological and systemic</w:t>
      </w:r>
    </w:p>
    <w:p w14:paraId="7690B388" w14:textId="77777777" w:rsidR="00B63129" w:rsidRDefault="001C3E90">
      <w:pPr>
        <w:pStyle w:val="ListNumber"/>
        <w:spacing w:line="360" w:lineRule="auto"/>
      </w:pPr>
      <w:r>
        <w:t>Is there evidence that low digital literacy or limited connectivity constrains the reach of telehealth and digital diagnostic tools among specific population groups?</w:t>
      </w:r>
    </w:p>
    <w:p w14:paraId="28444D90" w14:textId="77777777" w:rsidR="00B63129" w:rsidRDefault="001C3E90">
      <w:pPr>
        <w:pStyle w:val="ListNumber"/>
        <w:spacing w:line="360" w:lineRule="auto"/>
      </w:pPr>
      <w:r>
        <w:t>What structural, financial, or cultural frictions does the secondary literature and available public data identify as obstacles to the transition from a state-run to a value-based system?</w:t>
      </w:r>
    </w:p>
    <w:p w14:paraId="5F60492E" w14:textId="77777777" w:rsidR="00B63129" w:rsidRDefault="001C3E90">
      <w:pPr>
        <w:pStyle w:val="Heading2"/>
      </w:pPr>
      <w:r>
        <w:t>1.7 Research Hypotheses</w:t>
      </w:r>
    </w:p>
    <w:p w14:paraId="0BE44893" w14:textId="77777777" w:rsidR="00B63129" w:rsidRDefault="001C3E90">
      <w:r>
        <w:rPr>
          <w:b/>
        </w:rPr>
        <w:t>Hypothesis 1 (Efficiency).</w:t>
      </w:r>
    </w:p>
    <w:p w14:paraId="4FC0E13B" w14:textId="77777777" w:rsidR="00B63129" w:rsidRDefault="001C3E90">
      <w:r>
        <w:t>H₀: Corporatization of healthcare delivery through Health Clusters shows no association with a reduction in government health expenditure.</w:t>
      </w:r>
    </w:p>
    <w:p w14:paraId="358D6642" w14:textId="77777777" w:rsidR="00B63129" w:rsidRDefault="001C3E90">
      <w:r>
        <w:lastRenderedPageBreak/>
        <w:t>H₁: Corporatization is associated with a measurable reduction in government health expenditure as a share of GDP or national budget.</w:t>
      </w:r>
    </w:p>
    <w:p w14:paraId="0C98B2F1" w14:textId="77777777" w:rsidR="00B63129" w:rsidRDefault="001C3E90">
      <w:r>
        <w:rPr>
          <w:b/>
        </w:rPr>
        <w:t>Hypothesis 2 (Quality).</w:t>
      </w:r>
    </w:p>
    <w:p w14:paraId="59158D88" w14:textId="77777777" w:rsidR="00B63129" w:rsidRDefault="001C3E90">
      <w:r>
        <w:t>H₀: Published patient satisfaction data show no meaningful improvement under the corporatized, value-based care model relative to the prior MOH-run model.</w:t>
      </w:r>
    </w:p>
    <w:p w14:paraId="2AE38D46" w14:textId="77777777" w:rsidR="00B63129" w:rsidRDefault="001C3E90">
      <w:r>
        <w:t>H₁: Published patient satisfaction data show a measurable improvement under the corporatized model.</w:t>
      </w:r>
    </w:p>
    <w:p w14:paraId="76AF7B5C" w14:textId="77777777" w:rsidR="00B63129" w:rsidRDefault="001C3E90">
      <w:r>
        <w:rPr>
          <w:b/>
        </w:rPr>
        <w:t>Hypothesis 3 (Equity).</w:t>
      </w:r>
    </w:p>
    <w:p w14:paraId="451C7CD2" w14:textId="77777777" w:rsidR="00B63129" w:rsidRDefault="001C3E90">
      <w:r>
        <w:t>H₀: There is no measurable difference in healthcare access, quality, or digital health service usage between urban and rural populations.</w:t>
      </w:r>
    </w:p>
    <w:p w14:paraId="70ED5CA0" w14:textId="77777777" w:rsidR="00B63129" w:rsidRDefault="001C3E90">
      <w:r>
        <w:t>H₁: Urban populations show a measurable advantage in healthcare access, quality, and digital health service usage over rural populations.</w:t>
      </w:r>
    </w:p>
    <w:p w14:paraId="5D076C3F" w14:textId="77777777" w:rsidR="00B63129" w:rsidRDefault="001C3E90">
      <w:r>
        <w:rPr>
          <w:b/>
        </w:rPr>
        <w:t>Hypothesis 4 (Insurance).</w:t>
      </w:r>
    </w:p>
    <w:p w14:paraId="00D08C20" w14:textId="77777777" w:rsidR="00B63129" w:rsidRDefault="001C3E90">
      <w:r>
        <w:t>H₀: Expansion of mandatory health insurance shows no association with a reduction in household out-of-pocket healthcare expenditure.</w:t>
      </w:r>
    </w:p>
    <w:p w14:paraId="5B9C55EE" w14:textId="77777777" w:rsidR="00B63129" w:rsidRDefault="001C3E90">
      <w:r>
        <w:t>H₁: Expansion of mandatory health insurance is associated with a measurable reduction in household out-of-pocket healthcare expenditure.</w:t>
      </w:r>
    </w:p>
    <w:p w14:paraId="17996F0B" w14:textId="77777777" w:rsidR="00B63129" w:rsidRDefault="001C3E90">
      <w:pPr>
        <w:pStyle w:val="Heading2"/>
      </w:pPr>
      <w:r>
        <w:t>1.8 Scope and Limitations</w:t>
      </w:r>
    </w:p>
    <w:p w14:paraId="7445C74B" w14:textId="77777777" w:rsidR="00B63129" w:rsidRDefault="001C3E90">
      <w:r>
        <w:rPr>
          <w:b/>
        </w:rPr>
        <w:t>Delimitations:</w:t>
      </w:r>
      <w:r>
        <w:t xml:space="preserve"> the thesis is confined to the socio-economic dimensions of Vision 2030's health reforms (cost, access, financing, and equity) and does not address clinical outcomes, treatment efficacy, or the biomedical content of care. Geographically, it covers the Kingdom as a whole, with particular attention to the urban–provincial divide. Temporally, the analysis frame runs from 2016 (the launch of Vision 2030) through the present, the period in which HSTP has moved from design to implementation.</w:t>
      </w:r>
    </w:p>
    <w:p w14:paraId="33FB8155" w14:textId="77777777" w:rsidR="00B63129" w:rsidRDefault="001C3E90">
      <w:r>
        <w:rPr>
          <w:b/>
        </w:rPr>
        <w:lastRenderedPageBreak/>
        <w:t>Limitations:</w:t>
      </w:r>
      <w:r>
        <w:t xml:space="preserve"> this thesis uses a desk-based, secondary-data design rather than primary survey or interview data. Three limitations follow directly from that choice. First, detailed financial data from individual Health Clusters and the Health Holding Company are not publicly disclosed at a granular level; the analysis relies on aggregated national statistics and acknowledges where Health Cluster-level claims cannot be independently verified. Second, the evidence on patient satisfaction (Hypothesis 2) is drawn from studi</w:t>
      </w:r>
      <w:r>
        <w:t>es conducted at different times, in different regions, and with different instruments; this thesis synthesizes that evidence rather than measuring satisfaction directly, and the resulting picture is necessarily less precise than a purpose-built survey would provide. Third, association observed in longitudinal public data cannot establish causation; where government health expenditure or out-of-pocket spending moves in a particular direction, this thesis reports that movement and considers competing explanat</w:t>
      </w:r>
      <w:r>
        <w:t>ions, but does not claim the reform alone produced it.</w:t>
      </w:r>
    </w:p>
    <w:p w14:paraId="529D61BC" w14:textId="77777777" w:rsidR="00B63129" w:rsidRDefault="001C3E90">
      <w:pPr>
        <w:pStyle w:val="Heading2"/>
      </w:pPr>
      <w:r>
        <w:t>1.9 Structure of the Study</w:t>
      </w:r>
    </w:p>
    <w:p w14:paraId="7ABB4A8D" w14:textId="77777777" w:rsidR="00B63129" w:rsidRDefault="001C3E90">
      <w:r>
        <w:t>Chapter 2 reviews the empirical and institutional literature on rentier-state transitions, comparative healthcare privatization, the specific institutional history of Vision 2030's health reforms, health insurance and out-of-pocket spending, and the digital divide, and states explicitly what distinguishes this study's approach from the work reviewed. Chapter 3 details the secondary-data research design, the specific public data sources used, and their limitations. Chapter 4 presents findings organized aroun</w:t>
      </w:r>
      <w:r>
        <w:t>d the four hypotheses. Chapter 5 discusses those findings against the theoretical framework set out in this chapter, states the study's limitations plainly, and closes with policy recommendations and directions for future primary-data research.</w:t>
      </w:r>
    </w:p>
    <w:p w14:paraId="7E27FA94" w14:textId="77777777" w:rsidR="00B63129" w:rsidRDefault="001C3E90">
      <w:r>
        <w:br w:type="page"/>
      </w:r>
    </w:p>
    <w:p w14:paraId="5EC50D9A" w14:textId="77777777" w:rsidR="00B63129" w:rsidRDefault="001C3E90">
      <w:pPr>
        <w:pStyle w:val="Heading1"/>
      </w:pPr>
      <w:r>
        <w:lastRenderedPageBreak/>
        <w:t>Chapter 2: Literature Review</w:t>
      </w:r>
    </w:p>
    <w:p w14:paraId="48A7C74E" w14:textId="77777777" w:rsidR="00B63129" w:rsidRDefault="001C3E90">
      <w:pPr>
        <w:pStyle w:val="Heading2"/>
      </w:pPr>
      <w:r>
        <w:t>2.1 Rentier State Transition and the GCC Reform Pattern</w:t>
      </w:r>
    </w:p>
    <w:p w14:paraId="6795C690" w14:textId="77777777" w:rsidR="00B63129" w:rsidRDefault="001C3E90">
      <w:r>
        <w:t>Chapter 1 introduced rentier state theory (Beblawi &amp; Luciani, 1987) and Gray's (2011) concept of late rentierism as the lens for reading how Gulf states like Saudi Arabia have historically financed, and are now restructuring, public services such as healthcare. The empirical and historical literature reviewed here situates Vision 2030's health reforms within that lens rather than treating them as a policy shift without precedent or theoretical grounding.</w:t>
      </w:r>
    </w:p>
    <w:p w14:paraId="77EF6A3C" w14:textId="77777777" w:rsidR="00B63129" w:rsidRDefault="001C3E90">
      <w:r>
        <w:t>That arrangement becomes harder to sustain as two conditions change: when the revenue base itself becomes less reliable, and when the cost of the services being distributed grows faster than the revenue funding them. Both conditions apply to Saudi Arabia's health sector at present. Oil price volatility and the global transition toward renewable energy put long-run pressure on the revenue side, while population growth, rising life expectancy, and the shift toward chronic disease put sustained upward pressure</w:t>
      </w:r>
      <w:r>
        <w:t xml:space="preserve"> on the cost side. Gray's (2011) late-rentierism framework describes exactly this transition: a rentier state that retains the fiscal capacity to continue distributing rents but begins restructuring how it distributes them, in anticipation of future constraint rather than in response to an immediate fiscal crisis. Hertog's (2024) analysis of Vision 2030's political economy situates the health reforms within this broader pattern, arguing that the older Saudi social contract, built on state spending and state</w:t>
      </w:r>
      <w:r>
        <w:t xml:space="preserve"> employment, is eroding gradually rather than collapsing, which is consistent with a reform process that redesigns institutions before the fiscal pressure becomes acute rather than after. Herb's (2014) comparative study of rentier bargains in Kuwait and the UAE, while not about Saudi Arabia or healthcare specifically, establishes a useful benchmark for this thesis: rentier states renegotiate their distributive bargains at different speeds and through different institutional channels depending on domestic po</w:t>
      </w:r>
      <w:r>
        <w:t xml:space="preserve">litical constraints, which is a caution against </w:t>
      </w:r>
      <w:r>
        <w:lastRenderedPageBreak/>
        <w:t xml:space="preserve">assuming Saudi Arabia's health-sector transition will follow the same pace or shape as reforms elsewhere in the Gulf. Vision 2030's health reforms sit at this junction, and the literature on GCC governance frames the shift underway (the move of the Ministry of Health from direct provider to regulator, with hospital operation handed to the Health Holding Company and its regional clusters) as a broader regional pattern of moving from a "provider state" toward a </w:t>
      </w:r>
      <w:r>
        <w:t>"regulatory state" model (Chowdhury, Mok, &amp; Leenen, 2021).</w:t>
      </w:r>
    </w:p>
    <w:p w14:paraId="36CB7D87" w14:textId="77777777" w:rsidR="00B63129" w:rsidRDefault="001C3E90">
      <w:r>
        <w:t>The health-sector reforms this thesis focuses on did not arrive alone; they were part of a wider package of fiscal-consolidation measures under the same Fiscal Balance Program that introduced the VAT changes in Table 1.1, including a levy on expatriate workers' dependents phased in from 2017 (Arab News, 2016; discussed in Chapter 4, Section 4.4). None of these instruments is healthcare-specific, but together they illustrate Gray's (2011) late-rentierism pattern operating across several policy domains at onc</w:t>
      </w:r>
      <w:r>
        <w:t>e rather than in healthcare in isolation: a state broadening its non-oil revenue base and reducing the cost of servicing its non-citizen population through several distinct fiscal levers introduced within the same multi-year program, of which the healthcare reforms this thesis evaluates are one part among several. This matters for how Chapter 4's findings should be read: where a trend in the health data coincides with a milestone in Table 1.1, the coincidence is at least as likely to reflect this broader fi</w:t>
      </w:r>
      <w:r>
        <w:t>scal program as a healthcare-specific policy effect, and Chapter 4 treats that ambiguity explicitly rather than defaulting to a healthcare-specific explanation for every observed shift.</w:t>
      </w:r>
    </w:p>
    <w:p w14:paraId="379B7617" w14:textId="77777777" w:rsidR="00B63129" w:rsidRDefault="001C3E90">
      <w:pPr>
        <w:pStyle w:val="Heading2"/>
      </w:pPr>
      <w:r>
        <w:t>2.2 Comparative Healthcare Privatization and Corporatization Studies</w:t>
      </w:r>
    </w:p>
    <w:p w14:paraId="620E2639" w14:textId="77777777" w:rsidR="00B63129" w:rsidRDefault="001C3E90">
      <w:r>
        <w:t xml:space="preserve">Chapter 1 introduced New Public Management (Hood, 1991) and the public-to-private corporatization continuum (Preker &amp; Harding, 2003) as the conceptual vocabulary for reforms of this kind. The Health Holding Company's structure, with Health Clusters operating as autonomous regional entities rather than departments of a central ministry, is a </w:t>
      </w:r>
      <w:r>
        <w:lastRenderedPageBreak/>
        <w:t>recognizable instance of that template applied to health, and more specifically an instance of what Preker and Harding call "corporatized" status: formal legal and managerial autonomy for public hospitals short of full privatization. Their comparative cases across middle-income and transition economies found that corporatized status does not automatically translate into real operational autonomy; parent ministries and holding entities often retain effective control over budgets, staffing, and major decision</w:t>
      </w:r>
      <w:r>
        <w:t>s even after the formal governance structure changes. Whether the Health Holding Company and its Health Clusters have crossed that line from formal to real autonomy is not something this thesis's data can test directly, but it is the specific question Preker and Harding's framework raises and that Chapter 4's efficiency findings should be read against.</w:t>
      </w:r>
    </w:p>
    <w:p w14:paraId="53DD38B0" w14:textId="77777777" w:rsidR="00B63129" w:rsidRDefault="001C3E90">
      <w:r>
        <w:t>Whether that template delivers on its efficiency promise is contested rather than settled. Alayed, Alrumeh, Alkanhal, and Alhuthil's (2024) systematic review of privatization's effects on healthcare systems finds a mixed evidence base: some settings show gains in efficiency and reduced waiting times following competitive reform, while others show that privatization, absent strong regulatory capacity, produces fragmented care and rising costs rather than falling ones. The recurring risk identified across thi</w:t>
      </w:r>
      <w:r>
        <w:t xml:space="preserve">s literature is stratification: a system in which the quality of care a patient receives correlates with income or insurance status rather than need, a pattern documented most clearly in health systems that privatized rapidly without building the regulatory infrastructure to prevent it. This is the tension the Saudi reform has to manage directly: HSTP explicitly retains the Ministry of Health as regulator specifically to avoid this outcome, but a regulator's stated intent and its actual capacity to enforce </w:t>
      </w:r>
      <w:r>
        <w:t>equitable access are separate questions, and the second is the one this thesis is positioned to examine.</w:t>
      </w:r>
    </w:p>
    <w:p w14:paraId="68D4ABED" w14:textId="77777777" w:rsidR="00B63129" w:rsidRDefault="001C3E90">
      <w:r>
        <w:t xml:space="preserve">Within the Gulf specifically, the reform pattern is not unique to Saudi Arabia. AlRuthia and colleagues' (2025) regional overview, prepared for the Gulf Health Economics Association, </w:t>
      </w:r>
      <w:r>
        <w:lastRenderedPageBreak/>
        <w:t>and government-level reporting summarized in Table 2.1 both describe a shared GCC-wide trend toward mandatory, employer-linked insurance for the expatriate workforce alongside continued free or subsidized care for citizens, with the balance of government-versus-private financing varying substantially by country. Their review frames the underlying pressure in terms directly relevant to this thesis's efficiency hypothesis: GCC states built universal, oil-funded healthcare coverage decades ago, but as populati</w:t>
      </w:r>
      <w:r>
        <w:t xml:space="preserve">on and healthcare demand keep growing, financing that coverage without weighing the value of the health technologies being reimbursed has become steadily harder to sustain. AlRuthia and colleagues identify a specific institutional gap behind that pressure: most GCC health systems, Saudi Arabia included, lack the health economics and outcomes research (HEOR) capacity to systematically evaluate whether a given technology or treatment pathway is worth its cost before it is adopted into the reimbursed benefits </w:t>
      </w:r>
      <w:r>
        <w:t>package, which leaves cost growth to be managed after the fact through blunter instruments such as the PPP financing push and insurance mandate this thesis evaluates directly, rather than through upstream technology assessment.</w:t>
      </w:r>
    </w:p>
    <w:p w14:paraId="41D483D5" w14:textId="77777777" w:rsidR="00B63129" w:rsidRDefault="001C3E90">
      <w:r>
        <w:rPr>
          <w:b/>
        </w:rPr>
        <w:t>Table 2.1: Comparative GCC Healthcare Financing Models</w:t>
      </w:r>
    </w:p>
    <w:tbl>
      <w:tblPr>
        <w:tblStyle w:val="LightGrid-Accent1"/>
        <w:tblW w:w="0" w:type="auto"/>
        <w:jc w:val="center"/>
        <w:tblLook w:val="04A0" w:firstRow="1" w:lastRow="0" w:firstColumn="1" w:lastColumn="0" w:noHBand="0" w:noVBand="1"/>
      </w:tblPr>
      <w:tblGrid>
        <w:gridCol w:w="2256"/>
        <w:gridCol w:w="2256"/>
        <w:gridCol w:w="2256"/>
        <w:gridCol w:w="2256"/>
      </w:tblGrid>
      <w:tr w:rsidR="00B63129" w14:paraId="3AB3EA96" w14:textId="77777777" w:rsidTr="00B631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6" w:type="dxa"/>
          </w:tcPr>
          <w:p w14:paraId="10D248F7" w14:textId="77777777" w:rsidR="00B63129" w:rsidRDefault="001C3E90">
            <w:pPr>
              <w:spacing w:line="240" w:lineRule="auto"/>
            </w:pPr>
            <w:r>
              <w:rPr>
                <w:sz w:val="20"/>
              </w:rPr>
              <w:t>Country</w:t>
            </w:r>
          </w:p>
        </w:tc>
        <w:tc>
          <w:tcPr>
            <w:tcW w:w="2256" w:type="dxa"/>
          </w:tcPr>
          <w:p w14:paraId="6E45E340" w14:textId="77777777" w:rsidR="00B63129" w:rsidRDefault="001C3E90">
            <w:pPr>
              <w:spacing w:line="240" w:lineRule="auto"/>
              <w:cnfStyle w:val="100000000000" w:firstRow="1" w:lastRow="0" w:firstColumn="0" w:lastColumn="0" w:oddVBand="0" w:evenVBand="0" w:oddHBand="0" w:evenHBand="0" w:firstRowFirstColumn="0" w:firstRowLastColumn="0" w:lastRowFirstColumn="0" w:lastRowLastColumn="0"/>
            </w:pPr>
            <w:r>
              <w:rPr>
                <w:sz w:val="20"/>
              </w:rPr>
              <w:t>Citizen Care Model</w:t>
            </w:r>
          </w:p>
        </w:tc>
        <w:tc>
          <w:tcPr>
            <w:tcW w:w="2256" w:type="dxa"/>
          </w:tcPr>
          <w:p w14:paraId="0A2BFEF2" w14:textId="77777777" w:rsidR="00B63129" w:rsidRDefault="001C3E90">
            <w:pPr>
              <w:spacing w:line="240" w:lineRule="auto"/>
              <w:cnfStyle w:val="100000000000" w:firstRow="1" w:lastRow="0" w:firstColumn="0" w:lastColumn="0" w:oddVBand="0" w:evenVBand="0" w:oddHBand="0" w:evenHBand="0" w:firstRowFirstColumn="0" w:firstRowLastColumn="0" w:lastRowFirstColumn="0" w:lastRowLastColumn="0"/>
            </w:pPr>
            <w:r>
              <w:rPr>
                <w:sz w:val="20"/>
              </w:rPr>
              <w:t>Expatriate/Private-Sector Coverage</w:t>
            </w:r>
          </w:p>
        </w:tc>
        <w:tc>
          <w:tcPr>
            <w:tcW w:w="2256" w:type="dxa"/>
          </w:tcPr>
          <w:p w14:paraId="54E04495" w14:textId="77777777" w:rsidR="00B63129" w:rsidRDefault="001C3E90">
            <w:pPr>
              <w:spacing w:line="240" w:lineRule="auto"/>
              <w:cnfStyle w:val="100000000000" w:firstRow="1" w:lastRow="0" w:firstColumn="0" w:lastColumn="0" w:oddVBand="0" w:evenVBand="0" w:oddHBand="0" w:evenHBand="0" w:firstRowFirstColumn="0" w:firstRowLastColumn="0" w:lastRowFirstColumn="0" w:lastRowLastColumn="0"/>
            </w:pPr>
            <w:r>
              <w:rPr>
                <w:sz w:val="20"/>
              </w:rPr>
              <w:t>Government Share of Health Financing</w:t>
            </w:r>
          </w:p>
        </w:tc>
      </w:tr>
      <w:tr w:rsidR="00B63129" w14:paraId="645655D6"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6" w:type="dxa"/>
          </w:tcPr>
          <w:p w14:paraId="233B49E5" w14:textId="77777777" w:rsidR="00B63129" w:rsidRDefault="001C3E90">
            <w:pPr>
              <w:spacing w:line="240" w:lineRule="auto"/>
            </w:pPr>
            <w:r>
              <w:rPr>
                <w:sz w:val="20"/>
              </w:rPr>
              <w:t>Saudi Arabia</w:t>
            </w:r>
          </w:p>
        </w:tc>
        <w:tc>
          <w:tcPr>
            <w:tcW w:w="2256" w:type="dxa"/>
          </w:tcPr>
          <w:p w14:paraId="348EA205"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MOH-funded free/subsidized care, transitioning toward HHC/Health Cluster delivery</w:t>
            </w:r>
          </w:p>
        </w:tc>
        <w:tc>
          <w:tcPr>
            <w:tcW w:w="2256" w:type="dxa"/>
          </w:tcPr>
          <w:p w14:paraId="5EEA6CC3"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Mandatory private insurance since 2023 reforms, regulated via CHI/Insurance Authority</w:t>
            </w:r>
          </w:p>
        </w:tc>
        <w:tc>
          <w:tcPr>
            <w:tcW w:w="2256" w:type="dxa"/>
          </w:tcPr>
          <w:p w14:paraId="625B5199"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Moderate-high</w:t>
            </w:r>
          </w:p>
        </w:tc>
      </w:tr>
      <w:tr w:rsidR="00B63129" w14:paraId="3F3A5D43"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6" w:type="dxa"/>
          </w:tcPr>
          <w:p w14:paraId="5F27EB3A" w14:textId="77777777" w:rsidR="00B63129" w:rsidRDefault="001C3E90">
            <w:pPr>
              <w:spacing w:line="240" w:lineRule="auto"/>
            </w:pPr>
            <w:r>
              <w:rPr>
                <w:sz w:val="20"/>
              </w:rPr>
              <w:t>UAE</w:t>
            </w:r>
          </w:p>
        </w:tc>
        <w:tc>
          <w:tcPr>
            <w:tcW w:w="2256" w:type="dxa"/>
          </w:tcPr>
          <w:p w14:paraId="1977ECE9"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Free or low-cost citizen care</w:t>
            </w:r>
          </w:p>
        </w:tc>
        <w:tc>
          <w:tcPr>
            <w:tcW w:w="2256" w:type="dxa"/>
          </w:tcPr>
          <w:p w14:paraId="28C85C25"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Mandatory in Dubai and Abu Dhabi; nationwide mandate effective January 2025</w:t>
            </w:r>
          </w:p>
        </w:tc>
        <w:tc>
          <w:tcPr>
            <w:tcW w:w="2256" w:type="dxa"/>
          </w:tcPr>
          <w:p w14:paraId="2983C572"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Lowest in the GCC (~52%)</w:t>
            </w:r>
          </w:p>
        </w:tc>
      </w:tr>
      <w:tr w:rsidR="00B63129" w14:paraId="77593FBD"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6" w:type="dxa"/>
          </w:tcPr>
          <w:p w14:paraId="3D18ABAE" w14:textId="77777777" w:rsidR="00B63129" w:rsidRDefault="001C3E90">
            <w:pPr>
              <w:spacing w:line="240" w:lineRule="auto"/>
            </w:pPr>
            <w:r>
              <w:rPr>
                <w:sz w:val="20"/>
              </w:rPr>
              <w:t>Bahrain</w:t>
            </w:r>
          </w:p>
        </w:tc>
        <w:tc>
          <w:tcPr>
            <w:tcW w:w="2256" w:type="dxa"/>
          </w:tcPr>
          <w:p w14:paraId="767F11F7"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Largely free citizen care</w:t>
            </w:r>
          </w:p>
        </w:tc>
        <w:tc>
          <w:tcPr>
            <w:tcW w:w="2256" w:type="dxa"/>
          </w:tcPr>
          <w:p w14:paraId="03E1362F"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Expanding mandatory insurance requirements for expatriate workers</w:t>
            </w:r>
          </w:p>
        </w:tc>
        <w:tc>
          <w:tcPr>
            <w:tcW w:w="2256" w:type="dxa"/>
          </w:tcPr>
          <w:p w14:paraId="71E84984"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Moderate</w:t>
            </w:r>
          </w:p>
        </w:tc>
      </w:tr>
      <w:tr w:rsidR="00B63129" w14:paraId="6CAD4AFC"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6" w:type="dxa"/>
          </w:tcPr>
          <w:p w14:paraId="35EF405A" w14:textId="77777777" w:rsidR="00B63129" w:rsidRDefault="001C3E90">
            <w:pPr>
              <w:spacing w:line="240" w:lineRule="auto"/>
            </w:pPr>
            <w:r>
              <w:rPr>
                <w:sz w:val="20"/>
              </w:rPr>
              <w:t>Kuwait</w:t>
            </w:r>
          </w:p>
        </w:tc>
        <w:tc>
          <w:tcPr>
            <w:tcW w:w="2256" w:type="dxa"/>
          </w:tcPr>
          <w:p w14:paraId="36849EED"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Free citizen care, fixed co-payments for services</w:t>
            </w:r>
          </w:p>
        </w:tc>
        <w:tc>
          <w:tcPr>
            <w:tcW w:w="2256" w:type="dxa"/>
          </w:tcPr>
          <w:p w14:paraId="18D1C8F6"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Employer-linked coverage; public-private partnership programs</w:t>
            </w:r>
          </w:p>
        </w:tc>
        <w:tc>
          <w:tcPr>
            <w:tcW w:w="2256" w:type="dxa"/>
          </w:tcPr>
          <w:p w14:paraId="43173732"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Highest in the GCC (~87%)</w:t>
            </w:r>
          </w:p>
        </w:tc>
      </w:tr>
      <w:tr w:rsidR="00B63129" w14:paraId="2F08A1F6" w14:textId="77777777" w:rsidTr="00B631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6" w:type="dxa"/>
          </w:tcPr>
          <w:p w14:paraId="4F228CDF" w14:textId="77777777" w:rsidR="00B63129" w:rsidRDefault="001C3E90">
            <w:pPr>
              <w:spacing w:line="240" w:lineRule="auto"/>
            </w:pPr>
            <w:r>
              <w:rPr>
                <w:sz w:val="20"/>
              </w:rPr>
              <w:t>Oman</w:t>
            </w:r>
          </w:p>
        </w:tc>
        <w:tc>
          <w:tcPr>
            <w:tcW w:w="2256" w:type="dxa"/>
          </w:tcPr>
          <w:p w14:paraId="7B83336E"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Largely free citizen care</w:t>
            </w:r>
          </w:p>
        </w:tc>
        <w:tc>
          <w:tcPr>
            <w:tcW w:w="2256" w:type="dxa"/>
          </w:tcPr>
          <w:p w14:paraId="7358FCCB"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Expatriate insurance requirements expanding</w:t>
            </w:r>
          </w:p>
        </w:tc>
        <w:tc>
          <w:tcPr>
            <w:tcW w:w="2256" w:type="dxa"/>
          </w:tcPr>
          <w:p w14:paraId="37E6DF13" w14:textId="77777777" w:rsidR="00B63129" w:rsidRDefault="001C3E90">
            <w:pPr>
              <w:spacing w:line="240" w:lineRule="auto"/>
              <w:cnfStyle w:val="000000100000" w:firstRow="0" w:lastRow="0" w:firstColumn="0" w:lastColumn="0" w:oddVBand="0" w:evenVBand="0" w:oddHBand="1" w:evenHBand="0" w:firstRowFirstColumn="0" w:firstRowLastColumn="0" w:lastRowFirstColumn="0" w:lastRowLastColumn="0"/>
            </w:pPr>
            <w:r>
              <w:rPr>
                <w:sz w:val="20"/>
              </w:rPr>
              <w:t>Moderate-high</w:t>
            </w:r>
          </w:p>
        </w:tc>
      </w:tr>
      <w:tr w:rsidR="00B63129" w14:paraId="57D9287E" w14:textId="77777777" w:rsidTr="00B63129">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6" w:type="dxa"/>
          </w:tcPr>
          <w:p w14:paraId="793A2DD6" w14:textId="77777777" w:rsidR="00B63129" w:rsidRDefault="001C3E90">
            <w:pPr>
              <w:spacing w:line="240" w:lineRule="auto"/>
            </w:pPr>
            <w:r>
              <w:rPr>
                <w:sz w:val="20"/>
              </w:rPr>
              <w:t>Qatar</w:t>
            </w:r>
          </w:p>
        </w:tc>
        <w:tc>
          <w:tcPr>
            <w:tcW w:w="2256" w:type="dxa"/>
          </w:tcPr>
          <w:p w14:paraId="47FD51EB"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Free citizen care, moving toward proposed universal insurance</w:t>
            </w:r>
          </w:p>
        </w:tc>
        <w:tc>
          <w:tcPr>
            <w:tcW w:w="2256" w:type="dxa"/>
          </w:tcPr>
          <w:p w14:paraId="5C3C82DB"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Increased private-sector integration</w:t>
            </w:r>
          </w:p>
        </w:tc>
        <w:tc>
          <w:tcPr>
            <w:tcW w:w="2256" w:type="dxa"/>
          </w:tcPr>
          <w:p w14:paraId="1874E746" w14:textId="77777777" w:rsidR="00B63129" w:rsidRDefault="001C3E90">
            <w:pPr>
              <w:spacing w:line="240" w:lineRule="auto"/>
              <w:cnfStyle w:val="000000010000" w:firstRow="0" w:lastRow="0" w:firstColumn="0" w:lastColumn="0" w:oddVBand="0" w:evenVBand="0" w:oddHBand="0" w:evenHBand="1" w:firstRowFirstColumn="0" w:firstRowLastColumn="0" w:lastRowFirstColumn="0" w:lastRowLastColumn="0"/>
            </w:pPr>
            <w:r>
              <w:rPr>
                <w:sz w:val="20"/>
              </w:rPr>
              <w:t>Moderate</w:t>
            </w:r>
          </w:p>
        </w:tc>
      </w:tr>
    </w:tbl>
    <w:p w14:paraId="40F34F3A" w14:textId="77777777" w:rsidR="00B63129" w:rsidRDefault="00B63129"/>
    <w:p w14:paraId="51333BA9" w14:textId="77777777" w:rsidR="00B63129" w:rsidRDefault="001C3E90">
      <w:r>
        <w:rPr>
          <w:i/>
        </w:rPr>
        <w:lastRenderedPageBreak/>
        <w:t>Source: AlRuthia et al. (2025); government/regulatory reporting.</w:t>
      </w:r>
    </w:p>
    <w:p w14:paraId="3584A932" w14:textId="77777777" w:rsidR="00B63129" w:rsidRDefault="001C3E90">
      <w:r>
        <w:t>Saudi Arabia's HSTP is best read as a more structurally ambitious version of a shift already underway across the GCC, rather than an isolated policy experiment. Table 2.1's government-financing-share column places Saudi Arabia in the middle of this range rather than at either extreme: Kuwait's roughly 87% government share reflects a system that has retained direct state financing more fully than its neighbors, while the UAE's roughly 52% reflects the opposite path, an earlier and deeper shift toward private</w:t>
      </w:r>
      <w:r>
        <w:t xml:space="preserve"> and employer-based financing. HSTP's stated 2030 targets would move Saudi Arabia further toward the UAE's end of that range without fully adopting it, which frames the reform less as a choice between a state-run and a privatized model and more as a question of how far along an already-established regional spectrum the country moves, and how quickly.</w:t>
      </w:r>
    </w:p>
    <w:p w14:paraId="3D5BC519" w14:textId="77777777" w:rsidR="00B63129" w:rsidRDefault="001C3E90">
      <w:r>
        <w:t>Alsubahi, Pavlova, Alzahrani, Ahmad, and Groot's (2024) systematic review of patient-perceived healthcare quality across GCC countries adds a cautionary note to this regional picture: patients across the GCC, not only in Saudi Arabia, commonly report diagnostic and medication errors, poor provider-patient communication, missed appointments, and difficulty accessing emergency care, suggesting that care-quality problems are a regional pattern rather than something unique to any single country's reform path.</w:t>
      </w:r>
    </w:p>
    <w:p w14:paraId="04A51312" w14:textId="77777777" w:rsidR="00B63129" w:rsidRDefault="001C3E90">
      <w:pPr>
        <w:pStyle w:val="Heading2"/>
      </w:pPr>
      <w:r>
        <w:t>2.3 The Saudi Journey: Institutional Reform Literature</w:t>
      </w:r>
    </w:p>
    <w:p w14:paraId="4BD95BDA" w14:textId="77777777" w:rsidR="00B63129" w:rsidRDefault="001C3E90">
      <w:r>
        <w:t>Walston, Al-Harbi, and Al-Omar (2008) documented the strains on the Saudi system as it existed prior to Vision 2030: heavy reliance on expatriate physicians, a curative rather than preventive orientation, and rising cost pressure from an aging population and a growing chronic-disease burden. Their diagnosis, a system that had succeeded at expanding basic access but was not structured to manage long-run chronic care costs, anticipated much of the rationale HSTP would later use to justify reform.</w:t>
      </w:r>
    </w:p>
    <w:p w14:paraId="6CA58A84" w14:textId="77777777" w:rsidR="00B63129" w:rsidRDefault="001C3E90">
      <w:r>
        <w:lastRenderedPageBreak/>
        <w:t>The more recent literature shifts from diagnosis to description of the reform itself. Chowdhury, Mok, and Leenen (2021) describe the "new model of care" introduced under HSTP, detailing the transfer of hospital operations to the Health Holding Company and the reorganization of MOH facilities into regional clusters. Alasiri and Mohammed (2022) provide a broader institutional overview of healthcare transformation since Vision 2030's launch, cataloguing the program's stated goals across access, quality, and fi</w:t>
      </w:r>
      <w:r>
        <w:t>nancing. Suleiman and Ming's (2025) more recent institutional review reaches a similar descriptive conclusion but adds an implementation-focused caveat largely absent from the earlier overviews. Their account foregrounds the shift toward patient-centered, individualized care, the National Guidelines Center's role in standardizing clinical protocols nationwide, and electronic health records and telemedicine as the technical backbone of the reformed model, themes that echo the digital-platform literature disc</w:t>
      </w:r>
      <w:r>
        <w:t>ussed in Section 2.5. Where the review adds something the earlier institutional overviews do not is its treatment of implementation obstacles: insufficient resources in remote and lower-income regions, a shortage of healthcare professionals willing to work outside urban centers, staff resistance rooted in "fear of the unknown" and concern over professional autonomy, an uneven digital divide limiting telemedicine reach, and the data-security exposure that comes with rapid digitization. None of these obstacle</w:t>
      </w:r>
      <w:r>
        <w:t>s is new to the broader reform literature individually, but Suleiman and Ming's (2025) review is unusual among the sources surveyed here for naming them together as a connected set of implementation risks rather than treating each as an isolated footnote, a useful counterweight to the more programmatic tone of the literature it otherwise resembles. Rahman and Al-Borie (2020) and Rahman (2020), writing separately, both use document analysis to trace how Vision 2030's stated healthcare objectives translate in</w:t>
      </w:r>
      <w:r>
        <w:t>to specific policy instruments: public-private partnerships, insurance expansion, and the corporatization of MOH facilities.</w:t>
      </w:r>
    </w:p>
    <w:p w14:paraId="25BFDF5E" w14:textId="77777777" w:rsidR="00B63129" w:rsidRDefault="001C3E90">
      <w:r>
        <w:lastRenderedPageBreak/>
        <w:t>What this body of work shares is a largely institutional and descriptive orientation: it documents what the reform is designed to do and how its component parts fit together, generally drawing on policy documents and structured interviews with system architects rather than on longitudinal outcome data. A more critical strand of the literature complicates this picture. Alkhamis's (2017) review of the broader privatization literature finds only weak, low-validity evidence that privatization improves access to</w:t>
      </w:r>
      <w:r>
        <w:t xml:space="preserve"> care in general, and reports that it could not identify peer-reviewed studies examining this question specifically for Saudi Arabia at the time of the review, a gap in the evidence base rather than a finding about the Saudi case itself. Alayed and colleagues' (2024) systematic review revisits the same question seven years later with a larger pool of studies available, and still reports a mixed evidence base on access and quality outcomes rather than a settled consensus in either direction. Read together, t</w:t>
      </w:r>
      <w:r>
        <w:t>he two reviews describe a literature that has grown without converging: more studies exist now than in 2017, but they do not agree with each other any more than the earlier, thinner literature did. This is the specific point at which the existing literature stops short of empirical resolution, and where this thesis is positioned to contribute: an assessment of what the available longitudinal data show HSTP has actually done, building on a body of work that already covers what HSTP intends.</w:t>
      </w:r>
    </w:p>
    <w:p w14:paraId="4CE8E4E7" w14:textId="77777777" w:rsidR="00B63129" w:rsidRDefault="001C3E90">
      <w:pPr>
        <w:pStyle w:val="Heading2"/>
      </w:pPr>
      <w:r>
        <w:t>2.4 Health Insurance, Corporatization, and Out-of-Pocket Spending</w:t>
      </w:r>
    </w:p>
    <w:p w14:paraId="1DA23DE6" w14:textId="77777777" w:rsidR="00B63129" w:rsidRDefault="001C3E90">
      <w:r>
        <w:t>The financing side of the reform has drawn a somewhat more empirical literature than the institutional side, in part because household expenditure surveys are easier to conduct than system-wide financial audits. Al-Hanawi, Mwale, and Kamninga (2020) examined how health insurance coverage affects health-seeking behavior in Saudi Arabia, finding that insured individuals are more likely to seek care when needed, a finding relevant to the reform's stated goal of expanding effective access alongside formal insur</w:t>
      </w:r>
      <w:r>
        <w:t xml:space="preserve">ance coverage. Alzahrani, Pavlova, Alsubahi, Ahmad, and Groot's (2025) systematic review of the </w:t>
      </w:r>
      <w:r>
        <w:lastRenderedPageBreak/>
        <w:t>cooperative health insurance system's contribution to universal health coverage finds substantial gains in nominal coverage over the past decade, alongside persistent gaps in coverage depth for specific services.</w:t>
      </w:r>
    </w:p>
    <w:p w14:paraId="742D5B12" w14:textId="77777777" w:rsidR="00B63129" w:rsidRDefault="001C3E90">
      <w:r>
        <w:t xml:space="preserve">Al-Hanawi and colleagues' (2020) finding that insured individuals seek care more readily carries an implication for how out-of-pocket spending trends should be read, since the two findings pull in different directions if considered together. If mandatory insurance is working as the health-seeking-behavior literature predicts, more insured individuals should be visiting providers rather than deferring care, which would tend to raise total health-system utilization and, all else equal, put upward rather than </w:t>
      </w:r>
      <w:r>
        <w:t>downward pressure on total spending even where insurance is absorbing a larger share of each individual bill. A declining out-of-pocket share is therefore a statement about the share insurance absorbs, not about total utilization or total spending, and the two are not the same claim: out-of-pocket burden as a percentage of current health expenditure can fall even while total visits, and total spending, rise, if the growth in insured, insurance-covered utilization outpaces the growth in the smaller uninsured</w:t>
      </w:r>
      <w:r>
        <w:t xml:space="preserve"> or partially covered residual. This distinction matters for what this thesis's Chapter 4 findings on out-of-pocket spending do and do not imply, and is returned to directly there.</w:t>
      </w:r>
    </w:p>
    <w:p w14:paraId="0B0BBC6D" w14:textId="77777777" w:rsidR="00B63129" w:rsidRDefault="001C3E90">
      <w:r>
        <w:t>The out-of-pocket expenditure literature is the most directly relevant to this thesis's fourth hypothesis, and it points to two related but distinct forms of inequality. Al-Hanawi's (2021) national decomposition finds that out-of-pocket burden in Saudi Arabia is concentrated specifically among lower-income households (concentration index = −0.151). Separately, Almalki and colleagues' (2022) study of household spending in Riyadh by number of chronic conditions, and Al-Hanawi and Njagi's (2022) Blinder-Oaxaca</w:t>
      </w:r>
      <w:r>
        <w:t xml:space="preserve"> decomposition comparing chronically and non-chronically ill households, both find that burden also rises with chronic-disease status. Read together, these studies show that out-of-pocket burden in Saudi Arabia is not distributed evenly along either income or health-status lines, with poorer households and </w:t>
      </w:r>
      <w:r>
        <w:lastRenderedPageBreak/>
        <w:t>chronic-disease households, the latter precisely the population Vision 2030's health reforms are meant to serve better, each bearing a disproportionate share.</w:t>
      </w:r>
    </w:p>
    <w:p w14:paraId="5C4850E0" w14:textId="77777777" w:rsidR="00B63129" w:rsidRDefault="001C3E90">
      <w:r>
        <w:t>A related but separate policy, affecting insurance coverage rather than out-of-pocket burden directly, belongs alongside this literature: the fiscal-consolidation measures introduced under the government's Fiscal Balance Program: Balanced Budget 2020 (Arab News, 2016). Among these was a monthly levy on expatriate workers' dependents, phased in from July 2017 at SR100 per dependent and rising SR100 annually to SR400 by 2020, confirmed at the time by Finance Minister Mohammed Al-Jadaan. This is a fiscal and l</w:t>
      </w:r>
      <w:r>
        <w:t>abor-market policy rather than a healthcare-specific one, and it does not appear in the healthcare-reform literature reviewed above, but it bears on this thesis's insurance analysis because coverage under the cooperative health insurance scheme is tied overwhelmingly to expatriate formal employment, and a policy that raises the cost of retaining expatriate dependents in the Kingdom plausibly affects the size of the insured expatriate population independently of anything the health insurance reform itself ha</w:t>
      </w:r>
      <w:r>
        <w:t>s done.</w:t>
      </w:r>
    </w:p>
    <w:p w14:paraId="5D5392D1" w14:textId="77777777" w:rsidR="00B63129" w:rsidRDefault="001C3E90">
      <w:pPr>
        <w:pStyle w:val="Heading2"/>
      </w:pPr>
      <w:r>
        <w:t>2.5 Digital Health and the Digital Divide: Saudi Evidence</w:t>
      </w:r>
    </w:p>
    <w:p w14:paraId="6A3435EA" w14:textId="77777777" w:rsidR="00B63129" w:rsidRDefault="001C3E90">
      <w:r>
        <w:t>Sehaty and Nafis are frequently cited in Saudi policy literature as evidence of the health system's digital-first orientation, but the empirical literature on their actual reach is more cautious than the policy framing. Meraya and colleagues (2025) surveyed 466 older Saudi adults with chronic conditions in the Jazan region on telehealth use; consistent with Saudi Arabia's near-universal mobile network coverage, including in rural areas (the national regulator reports mobile voice and internet coverage reach</w:t>
      </w:r>
      <w:r>
        <w:t xml:space="preserve">ing 99% of villages and hamlets; Communications, Space and Technology Commission, 2024), the broader Saudi telehealth-adoption literature attributes non-use less to outright lack of infrastructure than to digital literacy gaps, device access, and unfamiliarity with the platforms themselves (Alodhialah, Almutairi, &amp; Almutairi, 2024). Alqahtani and Almaghaslah's (2025) cross-sectional study in </w:t>
      </w:r>
      <w:r>
        <w:lastRenderedPageBreak/>
        <w:t xml:space="preserve">the Aseer region similarly found mixed elderly attitudes toward mobile health applications, reinforcing that the gap </w:t>
      </w:r>
      <w:r>
        <w:t>is substantially a literacy and trust gap rather than a purely infrastructural one, consistent with the digital-divide concept introduced in Chapter 1.</w:t>
      </w:r>
    </w:p>
    <w:p w14:paraId="7005319D" w14:textId="77777777" w:rsidR="00B63129" w:rsidRDefault="001C3E90">
      <w:r>
        <w:t>This matters for how the equity/digital-divide hypothesis in this thesis should be framed. The original assumption, namely that rural populations lack the infrastructure to use Sehaty and Nafis, is only partly supported by the literature; Saudi Arabia's mobile network coverage does not, in fact, stop at the city limits. The more precise and better-evidenced claim is that usage gaps track age and digital literacy at least as strongly as geography, and that urban and rural elderly populations may face a simil</w:t>
      </w:r>
      <w:r>
        <w:t>ar barrier for different underlying reasons.</w:t>
      </w:r>
    </w:p>
    <w:p w14:paraId="124D4B8D" w14:textId="77777777" w:rsidR="00B63129" w:rsidRDefault="001C3E90">
      <w:pPr>
        <w:pStyle w:val="Heading2"/>
      </w:pPr>
      <w:r>
        <w:t>2.6 Synthesis and Gap Statement</w:t>
      </w:r>
    </w:p>
    <w:p w14:paraId="3A5808E9" w14:textId="77777777" w:rsidR="00B63129" w:rsidRDefault="001C3E90">
      <w:pPr>
        <w:jc w:val="center"/>
      </w:pPr>
      <w:r>
        <w:rPr>
          <w:noProof/>
        </w:rPr>
        <w:drawing>
          <wp:inline distT="0" distB="0" distL="0" distR="0" wp14:anchorId="2C820332" wp14:editId="12C14E7D">
            <wp:extent cx="5486400" cy="28581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1_literature_by_year.png"/>
                    <pic:cNvPicPr/>
                  </pic:nvPicPr>
                  <pic:blipFill>
                    <a:blip r:embed="rId7"/>
                    <a:stretch>
                      <a:fillRect/>
                    </a:stretch>
                  </pic:blipFill>
                  <pic:spPr>
                    <a:xfrm>
                      <a:off x="0" y="0"/>
                      <a:ext cx="5486400" cy="2858139"/>
                    </a:xfrm>
                    <a:prstGeom prst="rect">
                      <a:avLst/>
                    </a:prstGeom>
                  </pic:spPr>
                </pic:pic>
              </a:graphicData>
            </a:graphic>
          </wp:inline>
        </w:drawing>
      </w:r>
    </w:p>
    <w:p w14:paraId="5E5A9E52" w14:textId="77777777" w:rsidR="00B63129" w:rsidRDefault="001C3E90">
      <w:pPr>
        <w:spacing w:line="240" w:lineRule="auto"/>
        <w:jc w:val="center"/>
      </w:pPr>
      <w:r>
        <w:rPr>
          <w:i/>
          <w:sz w:val="20"/>
        </w:rPr>
        <w:t>Figure 2.1: Literature Base by Publication Year (n=22 academic sources)</w:t>
      </w:r>
    </w:p>
    <w:p w14:paraId="55789B29" w14:textId="77777777" w:rsidR="00B63129" w:rsidRDefault="001C3E90">
      <w:r>
        <w:t xml:space="preserve">The publication-year distribution of this thesis's academic sources (Figure 2.1) makes the timing point below concrete: 14 of the 22 academic sources cited (roughly two-thirds) were published in 2020 or later, clustered in the HSTP-implementation era rather than the earlier 2016–2019 design period. This confirms that the descriptive and institutional literature has caught up with the reform since it launched, reinforcing the case against an "under-studied" </w:t>
      </w:r>
      <w:r>
        <w:lastRenderedPageBreak/>
        <w:t>framing, while also showing the literature base is concentrated in a narrow recent window rather than reflecting decades of accumulated scholarship on Saudi health reform specifically.</w:t>
      </w:r>
    </w:p>
    <w:p w14:paraId="0EE558E7" w14:textId="77777777" w:rsidR="00B63129" w:rsidRDefault="001C3E90">
      <w:r>
        <w:t>Four observations follow from this review. First, the descriptive and institutional literature on HSTP is substantial and growing: the reform's design, its component institutions, and its stated objectives are well documented, and an "under-studied" characterization of this topic is, on the evidence gathered here, an overstatement of the actual gap. Second, the empirical literature that does exist is fragmented by topic: out-of-pocket spending has been studied with some rigor, digital health adoption has be</w:t>
      </w:r>
      <w:r>
        <w:t>en studied specifically among older adults, but no existing study brings government expenditure trends, out-of-pocket spending trends, patient satisfaction evidence, and regional equity data together against a single set of hypotheses covering the 2016–2026 period as a whole. Third, several of this thesis's hypotheses need to be stated more precisely than a first-pass reading of the topic would suggest, particularly the claim that rural populations are excluded from digital health tools by infrastructure al</w:t>
      </w:r>
      <w:r>
        <w:t>one, which the literature in Section 2.5 does not support as cleanly as assumed. Fourth, the regional health-economics literature reviewed in Section 2.2 (AlRuthia et al., 2025) points to an institutional-capacity explanation for cost and pipeline outcomes, specifically the absence of systematic health-technology-assessment capacity across the GCC, that sits one level upstream of the financial and behavioral explanations the rest of this literature offers.</w:t>
      </w:r>
    </w:p>
    <w:p w14:paraId="0F9043B4" w14:textId="77777777" w:rsidR="00B63129" w:rsidRDefault="001C3E90">
      <w:r>
        <w:rPr>
          <w:b/>
        </w:rPr>
        <w:t>What distinguishes this study.</w:t>
      </w:r>
      <w:r>
        <w:t xml:space="preserve"> Two features separate this thesis from the literature reviewed above, both of which follow directly from the second and third observations. First, scope of synthesis: existing work treats HSTP's economic, social, financing, and digital dimensions as separate research questions studied by separate literatures with little overlap in authorship or method (institutional case studies for governance, household surveys for out-of-pocket spending, adoption studies for telehealth). This thesis instead tests all fou</w:t>
      </w:r>
      <w:r>
        <w:t xml:space="preserve">r dimensions, efficiency, quality, equity, and financial protection, against a single, common set of </w:t>
      </w:r>
      <w:r>
        <w:lastRenderedPageBreak/>
        <w:t>hypotheses and a common time frame, which none of the sources reviewed here attempts. Second, evaluative rather than descriptive orientation: the institutional literature (Section 2.3) documents what HSTP is designed to do; this thesis instead asks what the available longitudinal public data show it has actually done against its own stated targets, a question the existing literature raises implicitly (throug</w:t>
      </w:r>
      <w:r>
        <w:t>h the mixed and non-converging findings in Alkhamis, 2017, and Alayed et al., 2024) but does not answer directly for the reform as a whole. The chapters that follow test the hypotheses set out in Chapter 1 against this literature and against secondary public data sources, with the more precise framing this review has established.</w:t>
      </w:r>
    </w:p>
    <w:sectPr w:rsidR="00B63129" w:rsidSect="00034616">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A93AC" w14:textId="77777777" w:rsidR="001C3E90" w:rsidRDefault="001C3E90">
      <w:pPr>
        <w:spacing w:line="240" w:lineRule="auto"/>
      </w:pPr>
      <w:r>
        <w:separator/>
      </w:r>
    </w:p>
  </w:endnote>
  <w:endnote w:type="continuationSeparator" w:id="0">
    <w:p w14:paraId="3CA69A13" w14:textId="77777777" w:rsidR="001C3E90" w:rsidRDefault="001C3E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2943C" w14:textId="77777777" w:rsidR="00B63129" w:rsidRDefault="001C3E90">
    <w:pPr>
      <w:pStyle w:val="Footer"/>
      <w:jc w:val="center"/>
    </w:pPr>
    <w:r>
      <w:fldChar w:fldCharType="begin"/>
    </w:r>
    <w:r>
      <w:instrText>PAGE</w:instrText>
    </w:r>
    <w:r w:rsidR="00640DDA">
      <w:fldChar w:fldCharType="separate"/>
    </w:r>
    <w:r w:rsidR="00640DD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81FFD" w14:textId="77777777" w:rsidR="001C3E90" w:rsidRDefault="001C3E90">
      <w:pPr>
        <w:spacing w:line="240" w:lineRule="auto"/>
      </w:pPr>
      <w:r>
        <w:separator/>
      </w:r>
    </w:p>
  </w:footnote>
  <w:footnote w:type="continuationSeparator" w:id="0">
    <w:p w14:paraId="0D7F0CFC" w14:textId="77777777" w:rsidR="001C3E90" w:rsidRDefault="001C3E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59680574">
    <w:abstractNumId w:val="8"/>
  </w:num>
  <w:num w:numId="2" w16cid:durableId="2143424009">
    <w:abstractNumId w:val="6"/>
  </w:num>
  <w:num w:numId="3" w16cid:durableId="1786657873">
    <w:abstractNumId w:val="5"/>
  </w:num>
  <w:num w:numId="4" w16cid:durableId="901451242">
    <w:abstractNumId w:val="4"/>
  </w:num>
  <w:num w:numId="5" w16cid:durableId="319114821">
    <w:abstractNumId w:val="7"/>
  </w:num>
  <w:num w:numId="6" w16cid:durableId="595938899">
    <w:abstractNumId w:val="3"/>
  </w:num>
  <w:num w:numId="7" w16cid:durableId="1541359273">
    <w:abstractNumId w:val="2"/>
  </w:num>
  <w:num w:numId="8" w16cid:durableId="981958185">
    <w:abstractNumId w:val="1"/>
  </w:num>
  <w:num w:numId="9" w16cid:durableId="1285622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3E90"/>
    <w:rsid w:val="0029639D"/>
    <w:rsid w:val="00326F90"/>
    <w:rsid w:val="00640DDA"/>
    <w:rsid w:val="00AA1D8D"/>
    <w:rsid w:val="00B47730"/>
    <w:rsid w:val="00B63129"/>
    <w:rsid w:val="00C85C9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995E8F"/>
  <w14:defaultImageDpi w14:val="300"/>
  <w15:docId w15:val="{8830B2D7-4DAE-4AD1-BAC6-BEE8713B4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360" w:after="160" w:line="240" w:lineRule="auto"/>
      <w:outlineLvl w:val="0"/>
    </w:pPr>
    <w:rPr>
      <w:rFonts w:asciiTheme="majorHAnsi" w:eastAsiaTheme="majorEastAsia" w:hAnsiTheme="majorHAnsi" w:cstheme="majorBid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360" w:after="160" w:line="240" w:lineRule="auto"/>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360" w:after="160" w:line="240" w:lineRule="auto"/>
      <w:outlineLvl w:val="2"/>
    </w:pPr>
    <w:rPr>
      <w:rFonts w:asciiTheme="majorHAnsi" w:eastAsiaTheme="majorEastAsia" w:hAnsiTheme="majorHAnsi" w:cstheme="majorBidi"/>
      <w:b/>
      <w:bCs/>
      <w:i/>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11008</Words>
  <Characters>62749</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mukhtar alkhalifah</cp:lastModifiedBy>
  <cp:revision>1</cp:revision>
  <dcterms:created xsi:type="dcterms:W3CDTF">2013-12-23T23:15:00Z</dcterms:created>
  <dcterms:modified xsi:type="dcterms:W3CDTF">2026-08-22T08:29:00Z</dcterms:modified>
  <cp:category/>
</cp:coreProperties>
</file>